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p>
    <w:p>
      <w:pPr>
        <w:rPr>
          <w:rFonts w:eastAsia="仿宋_GB2312"/>
          <w:sz w:val="36"/>
          <w:szCs w:val="36"/>
        </w:rPr>
      </w:pPr>
    </w:p>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（污染影响类）</w:t>
      </w:r>
    </w:p>
    <w:p>
      <w:pPr>
        <w:adjustRightInd w:val="0"/>
        <w:snapToGrid w:val="0"/>
        <w:spacing w:line="288" w:lineRule="auto"/>
        <w:jc w:val="center"/>
        <w:rPr>
          <w:rFonts w:eastAsia="华文仿宋"/>
          <w:kern w:val="44"/>
          <w:sz w:val="32"/>
          <w:szCs w:val="32"/>
        </w:rPr>
      </w:pPr>
    </w:p>
    <w:p>
      <w:pPr>
        <w:adjustRightInd w:val="0"/>
        <w:snapToGrid w:val="0"/>
        <w:spacing w:line="288" w:lineRule="auto"/>
        <w:jc w:val="center"/>
        <w:rPr>
          <w:rFonts w:eastAsia="华文仿宋"/>
          <w:kern w:val="44"/>
          <w:sz w:val="32"/>
          <w:szCs w:val="32"/>
        </w:rPr>
      </w:pPr>
      <w:r>
        <w:rPr>
          <w:rFonts w:eastAsia="华文仿宋"/>
          <w:kern w:val="44"/>
          <w:sz w:val="32"/>
          <w:szCs w:val="32"/>
        </w:rPr>
        <w:t>（公示本）</w:t>
      </w:r>
    </w:p>
    <w:p>
      <w:pPr>
        <w:jc w:val="center"/>
        <w:rPr>
          <w:rFonts w:eastAsia="仿宋"/>
          <w:sz w:val="52"/>
          <w:szCs w:val="52"/>
        </w:rPr>
      </w:pPr>
    </w:p>
    <w:p>
      <w:pPr>
        <w:pStyle w:val="14"/>
      </w:pPr>
    </w:p>
    <w:p>
      <w:pPr>
        <w:ind w:firstLine="1040"/>
        <w:rPr>
          <w:rFonts w:eastAsia="仿宋"/>
          <w:sz w:val="44"/>
          <w:szCs w:val="44"/>
        </w:rPr>
      </w:pPr>
    </w:p>
    <w:p>
      <w:pPr>
        <w:pStyle w:val="14"/>
        <w:rPr>
          <w:rFonts w:eastAsia="仿宋"/>
          <w:sz w:val="44"/>
          <w:szCs w:val="44"/>
        </w:rPr>
      </w:pPr>
    </w:p>
    <w:p>
      <w:pPr>
        <w:ind w:firstLine="1040"/>
        <w:rPr>
          <w:rFonts w:eastAsia="仿宋"/>
          <w:sz w:val="44"/>
          <w:szCs w:val="44"/>
        </w:rPr>
      </w:pPr>
    </w:p>
    <w:tbl>
      <w:tblPr>
        <w:tblStyle w:val="20"/>
        <w:tblW w:w="7948" w:type="dxa"/>
        <w:jc w:val="center"/>
        <w:tblInd w:w="0" w:type="dxa"/>
        <w:tblLayout w:type="fixed"/>
        <w:tblCellMar>
          <w:top w:w="0" w:type="dxa"/>
          <w:left w:w="108" w:type="dxa"/>
          <w:bottom w:w="0" w:type="dxa"/>
          <w:right w:w="108" w:type="dxa"/>
        </w:tblCellMar>
      </w:tblPr>
      <w:tblGrid>
        <w:gridCol w:w="2032"/>
        <w:gridCol w:w="5916"/>
      </w:tblGrid>
      <w:tr>
        <w:tblPrEx>
          <w:tblLayout w:type="fixed"/>
          <w:tblCellMar>
            <w:top w:w="0" w:type="dxa"/>
            <w:left w:w="108" w:type="dxa"/>
            <w:bottom w:w="0" w:type="dxa"/>
            <w:right w:w="108" w:type="dxa"/>
          </w:tblCellMar>
        </w:tblPrEx>
        <w:trPr>
          <w:trHeight w:val="170" w:hRule="atLeast"/>
          <w:jc w:val="center"/>
        </w:trPr>
        <w:tc>
          <w:tcPr>
            <w:tcW w:w="2032" w:type="dxa"/>
            <w:tcBorders>
              <w:tl2br w:val="nil"/>
              <w:tr2bl w:val="nil"/>
            </w:tcBorders>
            <w:vAlign w:val="center"/>
          </w:tcPr>
          <w:p>
            <w:pPr>
              <w:adjustRightInd w:val="0"/>
              <w:snapToGrid w:val="0"/>
              <w:spacing w:line="288" w:lineRule="auto"/>
              <w:jc w:val="center"/>
              <w:rPr>
                <w:rFonts w:eastAsia="仿宋_GB2312"/>
                <w:spacing w:val="30"/>
                <w:sz w:val="32"/>
                <w:szCs w:val="32"/>
              </w:rPr>
            </w:pPr>
            <w:r>
              <w:rPr>
                <w:rFonts w:eastAsia="仿宋_GB2312"/>
                <w:spacing w:val="30"/>
                <w:sz w:val="32"/>
                <w:szCs w:val="32"/>
              </w:rPr>
              <w:t>项目名称:</w:t>
            </w:r>
          </w:p>
        </w:tc>
        <w:tc>
          <w:tcPr>
            <w:tcW w:w="5916" w:type="dxa"/>
            <w:tcBorders>
              <w:tl2br w:val="nil"/>
              <w:tr2bl w:val="nil"/>
            </w:tcBorders>
            <w:vAlign w:val="center"/>
          </w:tcPr>
          <w:p>
            <w:pPr>
              <w:adjustRightInd w:val="0"/>
              <w:snapToGrid w:val="0"/>
              <w:spacing w:line="288" w:lineRule="auto"/>
              <w:ind w:firstLine="320" w:firstLineChars="100"/>
              <w:jc w:val="left"/>
              <w:rPr>
                <w:rFonts w:eastAsia="仿宋_GB2312"/>
                <w:sz w:val="32"/>
                <w:szCs w:val="32"/>
              </w:rPr>
            </w:pPr>
            <w:r>
              <w:rPr>
                <w:sz w:val="32"/>
              </w:rPr>
              <w:pict>
                <v:line id="_x0000_s1026" o:spid="_x0000_s1026" o:spt="20" style="position:absolute;left:0pt;flip:y;margin-left:4.25pt;margin-top:19.1pt;height:0.85pt;width:276.25pt;z-index:251660288;mso-width-relative:page;mso-height-relative:page;" coordsize="21600,21600" o:gfxdata="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j/xMtYAAAAHAQAADwAAAAAAAAABACAAAAAiAAAAZHJzL2Rvd25yZXYueG1sUEsBAhQAFAAAAAgA&#10;h07iQFcHCOTuAQAAtAMAAA4AAAAAAAAAAQAgAAAAJQEAAGRycy9lMm9Eb2MueG1sUEsFBgAAAAAG&#10;AAYAWQEAAIUFAAAAAA==&#10;">
                  <v:path arrowok="t"/>
                  <v:fill focussize="0,0"/>
                  <v:stroke/>
                  <v:imagedata o:title=""/>
                  <o:lock v:ext="edit"/>
                </v:line>
              </w:pict>
            </w:r>
            <w:r>
              <w:rPr>
                <w:rFonts w:eastAsia="仿宋_GB2312"/>
                <w:sz w:val="32"/>
                <w:szCs w:val="32"/>
              </w:rPr>
              <w:t>大竹县同兴矸石砖厂新型烧结砖综合</w:t>
            </w:r>
          </w:p>
          <w:p>
            <w:pPr>
              <w:adjustRightInd w:val="0"/>
              <w:snapToGrid w:val="0"/>
              <w:spacing w:line="288" w:lineRule="auto"/>
              <w:jc w:val="left"/>
              <w:rPr>
                <w:rFonts w:eastAsia="仿宋_GB2312"/>
                <w:sz w:val="32"/>
                <w:szCs w:val="32"/>
                <w:u w:val="single"/>
              </w:rPr>
            </w:pPr>
            <w:r>
              <w:rPr>
                <w:rFonts w:hint="eastAsia" w:eastAsia="仿宋_GB2312"/>
                <w:sz w:val="32"/>
                <w:szCs w:val="32"/>
                <w:u w:val="single"/>
              </w:rPr>
              <w:t xml:space="preserve">           </w:t>
            </w:r>
            <w:r>
              <w:rPr>
                <w:rFonts w:eastAsia="仿宋_GB2312"/>
                <w:sz w:val="32"/>
                <w:szCs w:val="32"/>
                <w:u w:val="single"/>
              </w:rPr>
              <w:t>利用污泥技改项目</w:t>
            </w:r>
            <w:r>
              <w:rPr>
                <w:rFonts w:hint="eastAsia" w:eastAsia="仿宋_GB2312"/>
                <w:sz w:val="32"/>
                <w:szCs w:val="32"/>
                <w:u w:val="single"/>
              </w:rPr>
              <w:t xml:space="preserve">             </w:t>
            </w:r>
          </w:p>
        </w:tc>
      </w:tr>
      <w:tr>
        <w:tblPrEx>
          <w:tblLayout w:type="fixed"/>
          <w:tblCellMar>
            <w:top w:w="0" w:type="dxa"/>
            <w:left w:w="108" w:type="dxa"/>
            <w:bottom w:w="0" w:type="dxa"/>
            <w:right w:w="108" w:type="dxa"/>
          </w:tblCellMar>
        </w:tblPrEx>
        <w:trPr>
          <w:trHeight w:val="90" w:hRule="atLeast"/>
          <w:jc w:val="center"/>
        </w:trPr>
        <w:tc>
          <w:tcPr>
            <w:tcW w:w="2032" w:type="dxa"/>
            <w:tcBorders>
              <w:tl2br w:val="nil"/>
              <w:tr2bl w:val="nil"/>
            </w:tcBorders>
            <w:vAlign w:val="center"/>
          </w:tcPr>
          <w:p>
            <w:pPr>
              <w:adjustRightInd w:val="0"/>
              <w:spacing w:line="192" w:lineRule="auto"/>
              <w:jc w:val="center"/>
              <w:rPr>
                <w:rFonts w:eastAsia="黑体"/>
                <w:bCs/>
                <w:sz w:val="32"/>
                <w:szCs w:val="32"/>
              </w:rPr>
            </w:pPr>
          </w:p>
        </w:tc>
        <w:tc>
          <w:tcPr>
            <w:tcW w:w="5916" w:type="dxa"/>
            <w:tcBorders>
              <w:tl2br w:val="nil"/>
              <w:tr2bl w:val="nil"/>
            </w:tcBorders>
            <w:vAlign w:val="center"/>
          </w:tcPr>
          <w:p>
            <w:pPr>
              <w:adjustRightInd w:val="0"/>
              <w:spacing w:line="192" w:lineRule="auto"/>
              <w:jc w:val="center"/>
              <w:rPr>
                <w:rFonts w:eastAsia="黑体"/>
                <w:bCs/>
                <w:sz w:val="32"/>
                <w:szCs w:val="32"/>
              </w:rPr>
            </w:pPr>
          </w:p>
        </w:tc>
      </w:tr>
      <w:tr>
        <w:tblPrEx>
          <w:tblLayout w:type="fixed"/>
          <w:tblCellMar>
            <w:top w:w="0" w:type="dxa"/>
            <w:left w:w="108" w:type="dxa"/>
            <w:bottom w:w="0" w:type="dxa"/>
            <w:right w:w="108" w:type="dxa"/>
          </w:tblCellMar>
        </w:tblPrEx>
        <w:trPr>
          <w:trHeight w:val="176" w:hRule="atLeast"/>
          <w:jc w:val="center"/>
        </w:trPr>
        <w:tc>
          <w:tcPr>
            <w:tcW w:w="2032" w:type="dxa"/>
            <w:tcBorders>
              <w:tl2br w:val="nil"/>
              <w:tr2bl w:val="nil"/>
            </w:tcBorders>
            <w:vAlign w:val="center"/>
          </w:tcPr>
          <w:p>
            <w:pPr>
              <w:adjustRightInd w:val="0"/>
              <w:snapToGrid w:val="0"/>
              <w:spacing w:line="288" w:lineRule="auto"/>
              <w:jc w:val="center"/>
              <w:rPr>
                <w:rFonts w:eastAsia="仿宋_GB2312"/>
                <w:spacing w:val="-30"/>
                <w:sz w:val="32"/>
                <w:szCs w:val="32"/>
              </w:rPr>
            </w:pPr>
            <w:r>
              <w:rPr>
                <w:rFonts w:eastAsia="仿宋_GB2312"/>
                <w:spacing w:val="-30"/>
                <w:sz w:val="32"/>
                <w:szCs w:val="32"/>
              </w:rPr>
              <w:t>建设单位(盖章):</w:t>
            </w:r>
          </w:p>
        </w:tc>
        <w:tc>
          <w:tcPr>
            <w:tcW w:w="5916" w:type="dxa"/>
            <w:tcBorders>
              <w:tl2br w:val="nil"/>
              <w:tr2bl w:val="nil"/>
            </w:tcBorders>
            <w:vAlign w:val="center"/>
          </w:tcPr>
          <w:p>
            <w:pPr>
              <w:adjustRightInd w:val="0"/>
              <w:snapToGrid w:val="0"/>
              <w:spacing w:line="288" w:lineRule="auto"/>
              <w:jc w:val="center"/>
              <w:rPr>
                <w:rFonts w:eastAsia="仿宋_GB2312"/>
                <w:spacing w:val="-14"/>
                <w:sz w:val="32"/>
                <w:szCs w:val="32"/>
              </w:rPr>
            </w:pPr>
            <w:r>
              <w:rPr>
                <w:sz w:val="32"/>
              </w:rPr>
              <w:pict>
                <v:line id="_x0000_s1027" o:spid="_x0000_s1027" o:spt="20" style="position:absolute;left:0pt;flip:y;margin-left:4.3pt;margin-top:20pt;height:0.85pt;width:276.25pt;z-index:251661312;mso-width-relative:page;mso-height-relative:page;" coordsize="21600,21600" o:gfxdata="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jVKnnVAAAABwEA&#10;AA8AAAAAAAAAAQAgAAAAIgAAAGRycy9kb3ducmV2LnhtbFBLAQIUABQAAAAIAIdO4kBovE3B5AEA&#10;AKgDAAAOAAAAAAAAAAEAIAAAACQBAABkcnMvZTJvRG9jLnhtbFBLBQYAAAAABgAGAFkBAAB6BQAA&#10;AAA=&#10;">
                  <v:path arrowok="t"/>
                  <v:fill focussize="0,0"/>
                  <v:stroke/>
                  <v:imagedata o:title=""/>
                  <o:lock v:ext="edit"/>
                </v:line>
              </w:pict>
            </w:r>
            <w:r>
              <w:rPr>
                <w:rFonts w:eastAsia="仿宋_GB2312"/>
                <w:spacing w:val="-14"/>
                <w:sz w:val="32"/>
                <w:szCs w:val="32"/>
              </w:rPr>
              <w:t>大竹县同兴矸石砖厂</w:t>
            </w:r>
          </w:p>
        </w:tc>
      </w:tr>
      <w:tr>
        <w:tblPrEx>
          <w:tblLayout w:type="fixed"/>
          <w:tblCellMar>
            <w:top w:w="0" w:type="dxa"/>
            <w:left w:w="108" w:type="dxa"/>
            <w:bottom w:w="0" w:type="dxa"/>
            <w:right w:w="108" w:type="dxa"/>
          </w:tblCellMar>
        </w:tblPrEx>
        <w:trPr>
          <w:trHeight w:val="176" w:hRule="atLeast"/>
          <w:jc w:val="center"/>
        </w:trPr>
        <w:tc>
          <w:tcPr>
            <w:tcW w:w="2032" w:type="dxa"/>
            <w:tcBorders>
              <w:tl2br w:val="nil"/>
              <w:tr2bl w:val="nil"/>
            </w:tcBorders>
            <w:vAlign w:val="center"/>
          </w:tcPr>
          <w:p>
            <w:pPr>
              <w:adjustRightInd w:val="0"/>
              <w:snapToGrid w:val="0"/>
              <w:spacing w:line="16" w:lineRule="atLeast"/>
              <w:jc w:val="center"/>
              <w:rPr>
                <w:rFonts w:eastAsia="仿宋_GB2312"/>
                <w:sz w:val="32"/>
                <w:szCs w:val="32"/>
              </w:rPr>
            </w:pPr>
          </w:p>
        </w:tc>
        <w:tc>
          <w:tcPr>
            <w:tcW w:w="5916" w:type="dxa"/>
            <w:tcBorders>
              <w:tl2br w:val="nil"/>
              <w:tr2bl w:val="nil"/>
            </w:tcBorders>
            <w:vAlign w:val="center"/>
          </w:tcPr>
          <w:p>
            <w:pPr>
              <w:adjustRightInd w:val="0"/>
              <w:snapToGrid w:val="0"/>
              <w:spacing w:line="16" w:lineRule="atLeast"/>
              <w:ind w:firstLine="1037"/>
              <w:jc w:val="center"/>
              <w:rPr>
                <w:rFonts w:eastAsia="仿宋_GB2312"/>
                <w:sz w:val="32"/>
                <w:szCs w:val="32"/>
              </w:rPr>
            </w:pPr>
          </w:p>
        </w:tc>
      </w:tr>
      <w:tr>
        <w:tblPrEx>
          <w:tblLayout w:type="fixed"/>
          <w:tblCellMar>
            <w:top w:w="0" w:type="dxa"/>
            <w:left w:w="108" w:type="dxa"/>
            <w:bottom w:w="0" w:type="dxa"/>
            <w:right w:w="108" w:type="dxa"/>
          </w:tblCellMar>
        </w:tblPrEx>
        <w:trPr>
          <w:trHeight w:val="176" w:hRule="atLeast"/>
          <w:jc w:val="center"/>
        </w:trPr>
        <w:tc>
          <w:tcPr>
            <w:tcW w:w="2032" w:type="dxa"/>
            <w:tcBorders>
              <w:tl2br w:val="nil"/>
              <w:tr2bl w:val="nil"/>
            </w:tcBorders>
            <w:vAlign w:val="center"/>
          </w:tcPr>
          <w:p>
            <w:pPr>
              <w:adjustRightInd w:val="0"/>
              <w:snapToGrid w:val="0"/>
              <w:spacing w:line="288" w:lineRule="auto"/>
              <w:jc w:val="center"/>
              <w:rPr>
                <w:rFonts w:eastAsia="仿宋_GB2312"/>
                <w:spacing w:val="30"/>
                <w:sz w:val="32"/>
                <w:szCs w:val="32"/>
              </w:rPr>
            </w:pPr>
            <w:r>
              <w:rPr>
                <w:rFonts w:eastAsia="仿宋_GB2312"/>
                <w:spacing w:val="30"/>
                <w:sz w:val="32"/>
                <w:szCs w:val="32"/>
              </w:rPr>
              <w:t>编制日期：</w:t>
            </w:r>
          </w:p>
        </w:tc>
        <w:tc>
          <w:tcPr>
            <w:tcW w:w="5916" w:type="dxa"/>
            <w:tcBorders>
              <w:tl2br w:val="nil"/>
              <w:tr2bl w:val="nil"/>
            </w:tcBorders>
            <w:vAlign w:val="center"/>
          </w:tcPr>
          <w:p>
            <w:pPr>
              <w:adjustRightInd w:val="0"/>
              <w:snapToGrid w:val="0"/>
              <w:spacing w:line="288" w:lineRule="auto"/>
              <w:jc w:val="left"/>
              <w:rPr>
                <w:rFonts w:eastAsia="仿宋_GB2312"/>
                <w:sz w:val="32"/>
                <w:szCs w:val="32"/>
                <w:u w:val="single"/>
              </w:rPr>
            </w:pPr>
            <w:r>
              <w:rPr>
                <w:rFonts w:hint="eastAsia" w:eastAsia="仿宋_GB2312"/>
                <w:sz w:val="32"/>
                <w:szCs w:val="32"/>
                <w:u w:val="single"/>
              </w:rPr>
              <w:t xml:space="preserve">            2</w:t>
            </w:r>
            <w:r>
              <w:rPr>
                <w:rFonts w:eastAsia="仿宋_GB2312"/>
                <w:sz w:val="32"/>
                <w:szCs w:val="32"/>
                <w:u w:val="single"/>
              </w:rPr>
              <w:t>02</w:t>
            </w:r>
            <w:r>
              <w:rPr>
                <w:rFonts w:hint="eastAsia" w:eastAsia="仿宋_GB2312"/>
                <w:sz w:val="32"/>
                <w:szCs w:val="32"/>
                <w:u w:val="single"/>
              </w:rPr>
              <w:t>3</w:t>
            </w:r>
            <w:r>
              <w:rPr>
                <w:rFonts w:eastAsia="仿宋_GB2312"/>
                <w:sz w:val="32"/>
                <w:szCs w:val="32"/>
                <w:u w:val="single"/>
              </w:rPr>
              <w:t>年</w:t>
            </w:r>
            <w:r>
              <w:rPr>
                <w:rFonts w:hint="eastAsia" w:eastAsia="仿宋_GB2312"/>
                <w:sz w:val="32"/>
                <w:szCs w:val="32"/>
                <w:u w:val="single"/>
              </w:rPr>
              <w:t>5</w:t>
            </w:r>
            <w:r>
              <w:rPr>
                <w:rFonts w:eastAsia="仿宋_GB2312"/>
                <w:sz w:val="32"/>
                <w:szCs w:val="32"/>
                <w:u w:val="single"/>
              </w:rPr>
              <w:t>月</w:t>
            </w:r>
            <w:r>
              <w:rPr>
                <w:rFonts w:hint="eastAsia" w:eastAsia="仿宋_GB2312"/>
                <w:sz w:val="32"/>
                <w:szCs w:val="32"/>
                <w:u w:val="single"/>
              </w:rPr>
              <w:t xml:space="preserve">                                               </w:t>
            </w:r>
          </w:p>
        </w:tc>
      </w:tr>
    </w:tbl>
    <w:p>
      <w:pPr>
        <w:ind w:firstLine="1040"/>
        <w:rPr>
          <w:rFonts w:eastAsia="仿宋"/>
          <w:sz w:val="44"/>
          <w:szCs w:val="44"/>
        </w:rPr>
      </w:pPr>
    </w:p>
    <w:p>
      <w:pPr>
        <w:pStyle w:val="14"/>
      </w:pPr>
      <w:bookmarkStart w:id="0" w:name="_Hlk57884087"/>
    </w:p>
    <w:p>
      <w:pPr>
        <w:pStyle w:val="14"/>
      </w:pPr>
    </w:p>
    <w:p>
      <w:pPr>
        <w:pStyle w:val="14"/>
      </w:pPr>
    </w:p>
    <w:bookmarkEnd w:id="0"/>
    <w:p>
      <w:pPr>
        <w:adjustRightInd w:val="0"/>
        <w:snapToGrid w:val="0"/>
        <w:spacing w:line="288" w:lineRule="auto"/>
        <w:jc w:val="center"/>
        <w:rPr>
          <w:rFonts w:eastAsia="楷体_GB2312"/>
          <w:sz w:val="36"/>
          <w:szCs w:val="36"/>
        </w:rPr>
      </w:pPr>
      <w:r>
        <w:rPr>
          <w:rFonts w:eastAsia="楷体_GB2312"/>
          <w:sz w:val="36"/>
          <w:szCs w:val="36"/>
        </w:rPr>
        <w:t>中华人民共和国生态环境部</w:t>
      </w:r>
      <w:r>
        <w:rPr>
          <w:rFonts w:hint="eastAsia" w:eastAsia="楷体_GB2312"/>
          <w:sz w:val="36"/>
          <w:szCs w:val="36"/>
        </w:rPr>
        <w:t xml:space="preserve">   </w:t>
      </w:r>
      <w:r>
        <w:rPr>
          <w:rFonts w:eastAsia="楷体_GB2312"/>
          <w:sz w:val="36"/>
          <w:szCs w:val="36"/>
        </w:rPr>
        <w:t>制</w:t>
      </w:r>
    </w:p>
    <w:p>
      <w:pPr>
        <w:widowControl/>
        <w:spacing w:line="288" w:lineRule="auto"/>
        <w:jc w:val="left"/>
        <w:rPr>
          <w:rFonts w:eastAsia="仿宋_GB2312"/>
          <w:sz w:val="36"/>
          <w:szCs w:val="36"/>
        </w:rPr>
        <w:sectPr>
          <w:footerReference r:id="rId3" w:type="default"/>
          <w:pgSz w:w="11906" w:h="16838"/>
          <w:pgMar w:top="1701" w:right="1531" w:bottom="1701" w:left="1531" w:header="851" w:footer="1077" w:gutter="0"/>
          <w:pgNumType w:fmt="numberInDash" w:start="3"/>
          <w:cols w:space="720" w:num="1"/>
        </w:sectPr>
      </w:pPr>
    </w:p>
    <w:p>
      <w:pPr>
        <w:pStyle w:val="14"/>
        <w:sectPr>
          <w:pgSz w:w="11906" w:h="16838"/>
          <w:pgMar w:top="1701" w:right="1531" w:bottom="1701" w:left="1531" w:header="851" w:footer="1077" w:gutter="0"/>
          <w:pgNumType w:fmt="numberInDash" w:start="3"/>
          <w:cols w:space="720" w:num="1"/>
        </w:sectPr>
      </w:pPr>
    </w:p>
    <w:p>
      <w:pPr>
        <w:pStyle w:val="18"/>
        <w:jc w:val="center"/>
        <w:outlineLvl w:val="0"/>
        <w:rPr>
          <w:rFonts w:ascii="Times New Roman" w:hAnsi="Times New Roman" w:eastAsia="黑体" w:cs="Times New Roman"/>
          <w:snapToGrid w:val="0"/>
          <w:sz w:val="30"/>
          <w:szCs w:val="30"/>
        </w:rPr>
      </w:pPr>
      <w:r>
        <w:rPr>
          <w:rFonts w:ascii="Times New Roman" w:hAnsi="Times New Roman" w:eastAsia="黑体" w:cs="Times New Roman"/>
          <w:snapToGrid w:val="0"/>
          <w:sz w:val="30"/>
          <w:szCs w:val="30"/>
        </w:rPr>
        <w:t>一、建设项目基本情况</w:t>
      </w:r>
    </w:p>
    <w:tbl>
      <w:tblPr>
        <w:tblStyle w:val="20"/>
        <w:tblpPr w:leftFromText="180" w:rightFromText="180" w:vertAnchor="text" w:tblpXSpec="center" w:tblpY="1"/>
        <w:tblOverlap w:val="never"/>
        <w:tblW w:w="88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40"/>
        <w:gridCol w:w="1879"/>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trPr>
        <w:tc>
          <w:tcPr>
            <w:tcW w:w="2140" w:type="dxa"/>
            <w:tcBorders>
              <w:top w:val="single" w:color="auto" w:sz="8"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建设项目名称</w:t>
            </w:r>
          </w:p>
        </w:tc>
        <w:tc>
          <w:tcPr>
            <w:tcW w:w="6730" w:type="dxa"/>
            <w:gridSpan w:val="3"/>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szCs w:val="21"/>
              </w:rPr>
            </w:pPr>
            <w:r>
              <w:rPr>
                <w:szCs w:val="21"/>
              </w:rPr>
              <w:t>大竹县同兴矸石砖厂新型烧结砖综合利用污泥技改项目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项目代码</w:t>
            </w:r>
          </w:p>
        </w:tc>
        <w:tc>
          <w:tcPr>
            <w:tcW w:w="6730"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kern w:val="0"/>
                <w:szCs w:val="21"/>
              </w:rPr>
              <w:t>“</w:t>
            </w:r>
            <w:r>
              <w:rPr>
                <w:rFonts w:hint="eastAsia"/>
                <w:kern w:val="0"/>
                <w:szCs w:val="21"/>
              </w:rPr>
              <w:t>2212-511724-07-02-972517</w:t>
            </w:r>
            <w:r>
              <w:rPr>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建设单位联系人</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游雪花</w:t>
            </w:r>
          </w:p>
        </w:tc>
        <w:tc>
          <w:tcPr>
            <w:tcW w:w="22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联系方式</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pacing w:val="-10"/>
                <w:szCs w:val="21"/>
              </w:rPr>
              <w:t>13668396479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建设地点</w:t>
            </w:r>
          </w:p>
        </w:tc>
        <w:tc>
          <w:tcPr>
            <w:tcW w:w="6730"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u w:val="single"/>
              </w:rPr>
            </w:pPr>
            <w:r>
              <w:rPr>
                <w:szCs w:val="21"/>
                <w:u w:val="single"/>
              </w:rPr>
              <w:t>四川</w:t>
            </w:r>
            <w:r>
              <w:rPr>
                <w:szCs w:val="21"/>
              </w:rPr>
              <w:t>省</w:t>
            </w:r>
            <w:r>
              <w:rPr>
                <w:szCs w:val="21"/>
                <w:u w:val="single"/>
              </w:rPr>
              <w:t>达州</w:t>
            </w:r>
            <w:r>
              <w:rPr>
                <w:szCs w:val="21"/>
              </w:rPr>
              <w:t>市</w:t>
            </w:r>
            <w:r>
              <w:rPr>
                <w:szCs w:val="21"/>
                <w:u w:val="single"/>
              </w:rPr>
              <w:t>大竹</w:t>
            </w:r>
            <w:r>
              <w:rPr>
                <w:szCs w:val="21"/>
              </w:rPr>
              <w:t>县</w:t>
            </w:r>
            <w:r>
              <w:rPr>
                <w:szCs w:val="21"/>
                <w:u w:val="single"/>
              </w:rPr>
              <w:t>高明</w:t>
            </w:r>
            <w:r>
              <w:rPr>
                <w:szCs w:val="21"/>
              </w:rPr>
              <w:t>镇</w:t>
            </w:r>
            <w:r>
              <w:rPr>
                <w:rFonts w:hint="eastAsia"/>
                <w:szCs w:val="21"/>
                <w:u w:val="single"/>
              </w:rPr>
              <w:t>同心村9组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地理坐标</w:t>
            </w:r>
          </w:p>
        </w:tc>
        <w:tc>
          <w:tcPr>
            <w:tcW w:w="6730" w:type="dxa"/>
            <w:gridSpan w:val="3"/>
            <w:tcBorders>
              <w:top w:val="single" w:color="auto" w:sz="4" w:space="0"/>
              <w:left w:val="single" w:color="auto" w:sz="4" w:space="0"/>
              <w:bottom w:val="single" w:color="auto" w:sz="4" w:space="0"/>
              <w:right w:val="single" w:color="auto" w:sz="8" w:space="0"/>
            </w:tcBorders>
            <w:vAlign w:val="center"/>
          </w:tcPr>
          <w:p>
            <w:pPr>
              <w:jc w:val="center"/>
              <w:rPr>
                <w:szCs w:val="21"/>
              </w:rPr>
            </w:pPr>
            <w:r>
              <w:rPr>
                <w:szCs w:val="21"/>
              </w:rPr>
              <w:t>（</w:t>
            </w:r>
            <w:r>
              <w:rPr>
                <w:szCs w:val="21"/>
                <w:u w:val="single"/>
              </w:rPr>
              <w:t xml:space="preserve"> 107 </w:t>
            </w:r>
            <w:r>
              <w:rPr>
                <w:szCs w:val="21"/>
              </w:rPr>
              <w:t>度</w:t>
            </w:r>
            <w:r>
              <w:rPr>
                <w:rFonts w:hint="eastAsia"/>
                <w:szCs w:val="21"/>
                <w:u w:val="single"/>
              </w:rPr>
              <w:t>22</w:t>
            </w:r>
            <w:r>
              <w:rPr>
                <w:szCs w:val="21"/>
              </w:rPr>
              <w:t>分</w:t>
            </w:r>
            <w:r>
              <w:rPr>
                <w:rFonts w:hint="eastAsia"/>
                <w:szCs w:val="21"/>
                <w:u w:val="single"/>
              </w:rPr>
              <w:t>5.610</w:t>
            </w:r>
            <w:r>
              <w:rPr>
                <w:szCs w:val="21"/>
              </w:rPr>
              <w:t>秒，</w:t>
            </w:r>
            <w:r>
              <w:rPr>
                <w:szCs w:val="21"/>
                <w:u w:val="single"/>
              </w:rPr>
              <w:t xml:space="preserve"> 3</w:t>
            </w:r>
            <w:r>
              <w:rPr>
                <w:rFonts w:hint="eastAsia"/>
                <w:szCs w:val="21"/>
                <w:u w:val="single"/>
              </w:rPr>
              <w:t>0</w:t>
            </w:r>
            <w:r>
              <w:rPr>
                <w:szCs w:val="21"/>
              </w:rPr>
              <w:t>度</w:t>
            </w:r>
            <w:r>
              <w:rPr>
                <w:rFonts w:hint="eastAsia"/>
                <w:szCs w:val="21"/>
                <w:u w:val="single"/>
              </w:rPr>
              <w:t>33</w:t>
            </w:r>
            <w:r>
              <w:rPr>
                <w:szCs w:val="21"/>
              </w:rPr>
              <w:t>分</w:t>
            </w:r>
            <w:r>
              <w:rPr>
                <w:rFonts w:hint="eastAsia"/>
                <w:szCs w:val="21"/>
                <w:u w:val="single"/>
              </w:rPr>
              <w:t>27.840</w:t>
            </w:r>
            <w:r>
              <w:rPr>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28" w:hRule="atLeast"/>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国民经济</w:t>
            </w:r>
          </w:p>
          <w:p>
            <w:pPr>
              <w:adjustRightInd w:val="0"/>
              <w:snapToGrid w:val="0"/>
              <w:jc w:val="center"/>
              <w:rPr>
                <w:szCs w:val="21"/>
              </w:rPr>
            </w:pPr>
            <w:r>
              <w:rPr>
                <w:szCs w:val="21"/>
              </w:rPr>
              <w:t>行业类别</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N7723固体废物</w:t>
            </w:r>
          </w:p>
          <w:p>
            <w:pPr>
              <w:adjustRightInd w:val="0"/>
              <w:snapToGrid w:val="0"/>
              <w:jc w:val="center"/>
              <w:rPr>
                <w:szCs w:val="21"/>
              </w:rPr>
            </w:pPr>
            <w:r>
              <w:rPr>
                <w:rFonts w:hint="eastAsia"/>
                <w:szCs w:val="21"/>
              </w:rPr>
              <w:t>治理、C3031 粘土砖瓦及建筑砌块制造</w:t>
            </w:r>
          </w:p>
        </w:tc>
        <w:tc>
          <w:tcPr>
            <w:tcW w:w="22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bookmarkStart w:id="1" w:name="_Hlk49843745"/>
            <w:r>
              <w:rPr>
                <w:szCs w:val="21"/>
              </w:rPr>
              <w:t>建设项目</w:t>
            </w:r>
          </w:p>
          <w:p>
            <w:pPr>
              <w:adjustRightInd w:val="0"/>
              <w:snapToGrid w:val="0"/>
              <w:jc w:val="center"/>
              <w:rPr>
                <w:szCs w:val="21"/>
              </w:rPr>
            </w:pPr>
            <w:r>
              <w:rPr>
                <w:szCs w:val="21"/>
              </w:rPr>
              <w:t>行业类别</w:t>
            </w:r>
            <w:bookmarkEnd w:id="1"/>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rPr>
                <w:szCs w:val="21"/>
              </w:rPr>
            </w:pPr>
            <w:r>
              <w:rPr>
                <w:rFonts w:hint="eastAsia"/>
                <w:szCs w:val="21"/>
              </w:rPr>
              <w:t>103一般工业固体废物(含污水处理污泥)、建筑施工废弃物处置及综合利用、56 砖瓦、石材等建筑材料制造303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建设性质</w:t>
            </w:r>
          </w:p>
        </w:tc>
        <w:tc>
          <w:tcPr>
            <w:tcW w:w="1879" w:type="dxa"/>
            <w:tcBorders>
              <w:top w:val="single" w:color="auto" w:sz="4" w:space="0"/>
              <w:left w:val="single" w:color="auto" w:sz="4" w:space="0"/>
              <w:bottom w:val="single" w:color="auto" w:sz="4" w:space="0"/>
              <w:right w:val="single" w:color="auto" w:sz="4" w:space="0"/>
            </w:tcBorders>
            <w:vAlign w:val="center"/>
          </w:tcPr>
          <w:p>
            <w:pPr>
              <w:jc w:val="left"/>
              <w:rPr>
                <w:szCs w:val="21"/>
              </w:rPr>
            </w:pPr>
            <w:sdt>
              <w:sdtPr>
                <w:rPr>
                  <w:szCs w:val="21"/>
                </w:rPr>
                <w:id w:val="629664090"/>
              </w:sdtPr>
              <w:sdtEndPr>
                <w:rPr>
                  <w:szCs w:val="21"/>
                </w:rPr>
              </w:sdtEndPr>
              <w:sdtContent>
                <w:r>
                  <w:rPr>
                    <w:rFonts w:hint="eastAsia" w:ascii="MS Gothic" w:hAnsi="MS Gothic" w:eastAsia="MS Gothic"/>
                    <w:szCs w:val="21"/>
                  </w:rPr>
                  <w:t>☐</w:t>
                </w:r>
              </w:sdtContent>
            </w:sdt>
            <w:r>
              <w:rPr>
                <w:szCs w:val="21"/>
              </w:rPr>
              <w:t>新建（迁建）</w:t>
            </w:r>
          </w:p>
          <w:p>
            <w:pPr>
              <w:jc w:val="left"/>
              <w:rPr>
                <w:szCs w:val="21"/>
              </w:rPr>
            </w:pPr>
            <w:sdt>
              <w:sdtPr>
                <w:rPr>
                  <w:szCs w:val="21"/>
                </w:rPr>
                <w:id w:val="-1287350356"/>
              </w:sdtPr>
              <w:sdtEndPr>
                <w:rPr>
                  <w:szCs w:val="21"/>
                </w:rPr>
              </w:sdtEndPr>
              <w:sdtContent>
                <w:sdt>
                  <w:sdtPr>
                    <w:rPr>
                      <w:szCs w:val="21"/>
                    </w:rPr>
                    <w:id w:val="-1578274196"/>
                  </w:sdtPr>
                  <w:sdtEndPr>
                    <w:rPr>
                      <w:szCs w:val="21"/>
                    </w:rPr>
                  </w:sdtEndPr>
                  <w:sdtContent>
                    <w:r>
                      <w:rPr>
                        <w:rFonts w:hint="eastAsia" w:ascii="MS Gothic" w:hAnsi="MS Gothic" w:eastAsia="MS Gothic"/>
                        <w:szCs w:val="21"/>
                      </w:rPr>
                      <w:t>☐</w:t>
                    </w:r>
                  </w:sdtContent>
                </w:sdt>
              </w:sdtContent>
            </w:sdt>
            <w:r>
              <w:rPr>
                <w:szCs w:val="21"/>
              </w:rPr>
              <w:t>改建</w:t>
            </w:r>
          </w:p>
          <w:p>
            <w:pPr>
              <w:jc w:val="left"/>
              <w:rPr>
                <w:szCs w:val="21"/>
              </w:rPr>
            </w:pPr>
            <w:sdt>
              <w:sdtPr>
                <w:rPr>
                  <w:szCs w:val="21"/>
                </w:rPr>
                <w:id w:val="-35431507"/>
              </w:sdtPr>
              <w:sdtEndPr>
                <w:rPr>
                  <w:szCs w:val="21"/>
                </w:rPr>
              </w:sdtEndPr>
              <w:sdtContent>
                <w:r>
                  <w:rPr>
                    <w:rFonts w:hint="eastAsia" w:ascii="MS Gothic" w:hAnsi="MS Gothic" w:eastAsia="MS Gothic" w:cs="MS Gothic"/>
                    <w:szCs w:val="21"/>
                  </w:rPr>
                  <w:t>☐</w:t>
                </w:r>
              </w:sdtContent>
            </w:sdt>
            <w:r>
              <w:rPr>
                <w:szCs w:val="21"/>
              </w:rPr>
              <w:t>扩建</w:t>
            </w:r>
          </w:p>
          <w:p>
            <w:pPr>
              <w:jc w:val="left"/>
              <w:rPr>
                <w:szCs w:val="21"/>
              </w:rPr>
            </w:pPr>
            <w:sdt>
              <w:sdtPr>
                <w:rPr>
                  <w:szCs w:val="21"/>
                </w:rPr>
                <w:id w:val="-1484306231"/>
              </w:sdtPr>
              <w:sdtEndPr>
                <w:rPr>
                  <w:szCs w:val="21"/>
                </w:rPr>
              </w:sdtEndPr>
              <w:sdtContent>
                <w:r>
                  <w:rPr>
                    <w:szCs w:val="21"/>
                  </w:rPr>
                  <w:sym w:font="Wingdings 2" w:char="F052"/>
                </w:r>
              </w:sdtContent>
            </w:sdt>
            <w:r>
              <w:rPr>
                <w:szCs w:val="21"/>
              </w:rPr>
              <w:t>技术改造</w:t>
            </w:r>
          </w:p>
        </w:tc>
        <w:tc>
          <w:tcPr>
            <w:tcW w:w="22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建设项目</w:t>
            </w:r>
          </w:p>
          <w:p>
            <w:pPr>
              <w:adjustRightInd w:val="0"/>
              <w:snapToGrid w:val="0"/>
              <w:jc w:val="center"/>
              <w:rPr>
                <w:szCs w:val="21"/>
              </w:rPr>
            </w:pPr>
            <w:r>
              <w:rPr>
                <w:szCs w:val="21"/>
              </w:rPr>
              <w:t>申报情形</w:t>
            </w:r>
          </w:p>
        </w:tc>
        <w:tc>
          <w:tcPr>
            <w:tcW w:w="2639" w:type="dxa"/>
            <w:tcBorders>
              <w:top w:val="single" w:color="auto" w:sz="4" w:space="0"/>
              <w:left w:val="single" w:color="auto" w:sz="4" w:space="0"/>
              <w:bottom w:val="single" w:color="auto" w:sz="4" w:space="0"/>
              <w:right w:val="single" w:color="auto" w:sz="8" w:space="0"/>
            </w:tcBorders>
            <w:vAlign w:val="center"/>
          </w:tcPr>
          <w:p>
            <w:pPr>
              <w:jc w:val="left"/>
              <w:rPr>
                <w:szCs w:val="21"/>
              </w:rPr>
            </w:pPr>
            <w:sdt>
              <w:sdtPr>
                <w:rPr>
                  <w:szCs w:val="21"/>
                </w:rPr>
                <w:id w:val="609859715"/>
              </w:sdtPr>
              <w:sdtEndPr>
                <w:rPr>
                  <w:szCs w:val="21"/>
                </w:rPr>
              </w:sdtEndPr>
              <w:sdtContent>
                <w:r>
                  <w:rPr>
                    <w:szCs w:val="21"/>
                  </w:rPr>
                  <w:sym w:font="Wingdings 2" w:char="F052"/>
                </w:r>
              </w:sdtContent>
            </w:sdt>
            <w:r>
              <w:rPr>
                <w:szCs w:val="21"/>
              </w:rPr>
              <w:t>首次申报项目</w:t>
            </w:r>
          </w:p>
          <w:p>
            <w:pPr>
              <w:jc w:val="left"/>
              <w:rPr>
                <w:szCs w:val="21"/>
              </w:rPr>
            </w:pPr>
            <w:sdt>
              <w:sdtPr>
                <w:rPr>
                  <w:szCs w:val="21"/>
                </w:rPr>
                <w:id w:val="2096352931"/>
              </w:sdtPr>
              <w:sdtEndPr>
                <w:rPr>
                  <w:szCs w:val="21"/>
                </w:rPr>
              </w:sdtEndPr>
              <w:sdtContent>
                <w:r>
                  <w:rPr>
                    <w:rFonts w:hint="eastAsia" w:ascii="MS Gothic" w:hAnsi="MS Gothic" w:eastAsia="MS Gothic"/>
                    <w:szCs w:val="21"/>
                  </w:rPr>
                  <w:t>☐</w:t>
                </w:r>
              </w:sdtContent>
            </w:sdt>
            <w:r>
              <w:rPr>
                <w:szCs w:val="21"/>
              </w:rPr>
              <w:t>不予批准后再次申报项目</w:t>
            </w:r>
          </w:p>
          <w:p>
            <w:pPr>
              <w:jc w:val="left"/>
              <w:rPr>
                <w:szCs w:val="21"/>
              </w:rPr>
            </w:pPr>
            <w:sdt>
              <w:sdtPr>
                <w:rPr>
                  <w:szCs w:val="21"/>
                </w:rPr>
                <w:id w:val="-1039577924"/>
              </w:sdtPr>
              <w:sdtEndPr>
                <w:rPr>
                  <w:szCs w:val="21"/>
                </w:rPr>
              </w:sdtEndPr>
              <w:sdtContent>
                <w:r>
                  <w:rPr>
                    <w:rFonts w:hint="eastAsia" w:ascii="MS Gothic" w:hAnsi="MS Gothic" w:eastAsia="MS Gothic" w:cs="MS Gothic"/>
                    <w:szCs w:val="21"/>
                  </w:rPr>
                  <w:t>☐</w:t>
                </w:r>
              </w:sdtContent>
            </w:sdt>
            <w:r>
              <w:rPr>
                <w:szCs w:val="21"/>
              </w:rPr>
              <w:t>超五年重新审核项目</w:t>
            </w:r>
          </w:p>
          <w:p>
            <w:pPr>
              <w:jc w:val="left"/>
              <w:rPr>
                <w:szCs w:val="21"/>
              </w:rPr>
            </w:pPr>
            <w:sdt>
              <w:sdtPr>
                <w:rPr>
                  <w:szCs w:val="21"/>
                </w:rPr>
                <w:id w:val="-277028319"/>
              </w:sdtPr>
              <w:sdtEndPr>
                <w:rPr>
                  <w:szCs w:val="21"/>
                </w:rPr>
              </w:sdtEndPr>
              <w:sdtContent>
                <w:r>
                  <w:rPr>
                    <w:rFonts w:hint="eastAsia" w:ascii="MS Gothic" w:hAnsi="MS Gothic" w:eastAsia="MS Gothic" w:cs="MS Gothic"/>
                    <w:szCs w:val="21"/>
                  </w:rPr>
                  <w:t>☐</w:t>
                </w:r>
              </w:sdtContent>
            </w:sdt>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项目审批（核准/</w:t>
            </w:r>
          </w:p>
          <w:p>
            <w:pPr>
              <w:adjustRightInd w:val="0"/>
              <w:snapToGrid w:val="0"/>
              <w:jc w:val="center"/>
              <w:rPr>
                <w:szCs w:val="21"/>
              </w:rPr>
            </w:pPr>
            <w:r>
              <w:rPr>
                <w:szCs w:val="21"/>
              </w:rPr>
              <w:t>备案）部门（选填）</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大竹县经济和信息化局</w:t>
            </w:r>
          </w:p>
        </w:tc>
        <w:tc>
          <w:tcPr>
            <w:tcW w:w="22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项目审批（核准/</w:t>
            </w:r>
          </w:p>
          <w:p>
            <w:pPr>
              <w:adjustRightInd w:val="0"/>
              <w:snapToGrid w:val="0"/>
              <w:jc w:val="center"/>
              <w:rPr>
                <w:szCs w:val="21"/>
              </w:rPr>
            </w:pPr>
            <w:r>
              <w:rPr>
                <w:szCs w:val="21"/>
              </w:rPr>
              <w:t>备案）文号（选填）</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szCs w:val="21"/>
              </w:rPr>
              <w:t>川投资备【</w:t>
            </w:r>
            <w:r>
              <w:rPr>
                <w:rFonts w:hint="eastAsia"/>
                <w:kern w:val="0"/>
                <w:szCs w:val="21"/>
              </w:rPr>
              <w:t>2212-511724-07-02-972517</w:t>
            </w:r>
            <w:r>
              <w:rPr>
                <w:szCs w:val="21"/>
              </w:rPr>
              <w:t>】</w:t>
            </w:r>
            <w:r>
              <w:rPr>
                <w:rFonts w:hint="eastAsia"/>
                <w:szCs w:val="21"/>
              </w:rPr>
              <w:t>JX</w:t>
            </w:r>
            <w:r>
              <w:rPr>
                <w:szCs w:val="21"/>
              </w:rPr>
              <w:t>QB-0789号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总投资（万元）</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12</w:t>
            </w:r>
            <w:r>
              <w:rPr>
                <w:szCs w:val="21"/>
              </w:rPr>
              <w:t>0.00</w:t>
            </w:r>
          </w:p>
        </w:tc>
        <w:tc>
          <w:tcPr>
            <w:tcW w:w="2212"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环保投资（万元）</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43.00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环保投资占比（%）</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35.8%</w:t>
            </w:r>
          </w:p>
        </w:tc>
        <w:tc>
          <w:tcPr>
            <w:tcW w:w="2212"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施工工期</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2</w:t>
            </w:r>
            <w:r>
              <w:rPr>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09" w:hRule="atLeast"/>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是否开工建设</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sym w:font="Wingdings 2" w:char="0052"/>
            </w:r>
            <w:r>
              <w:rPr>
                <w:szCs w:val="21"/>
              </w:rPr>
              <w:t>否</w:t>
            </w:r>
          </w:p>
          <w:p>
            <w:pPr>
              <w:adjustRightInd w:val="0"/>
              <w:snapToGrid w:val="0"/>
              <w:rPr>
                <w:szCs w:val="21"/>
              </w:rPr>
            </w:pPr>
            <w:r>
              <w:rPr>
                <w:szCs w:val="21"/>
              </w:rPr>
              <w:sym w:font="Wingdings 2" w:char="F0A3"/>
            </w:r>
            <w:r>
              <w:rPr>
                <w:szCs w:val="21"/>
              </w:rPr>
              <w:t>是：</w:t>
            </w:r>
          </w:p>
        </w:tc>
        <w:tc>
          <w:tcPr>
            <w:tcW w:w="2212"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pacing w:val="-6"/>
                <w:szCs w:val="21"/>
              </w:rPr>
            </w:pPr>
            <w:r>
              <w:rPr>
                <w:spacing w:val="-6"/>
                <w:szCs w:val="21"/>
              </w:rPr>
              <w:t>用地（用海）</w:t>
            </w:r>
          </w:p>
          <w:p>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550" w:hRule="atLeast"/>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60" w:lineRule="auto"/>
              <w:jc w:val="center"/>
              <w:rPr>
                <w:kern w:val="0"/>
                <w:szCs w:val="21"/>
              </w:rPr>
            </w:pPr>
            <w:r>
              <w:rPr>
                <w:kern w:val="0"/>
                <w:szCs w:val="21"/>
              </w:rPr>
              <w:t>专项评价设置情况</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00" w:lineRule="exact"/>
              <w:ind w:firstLine="420" w:firstLineChars="200"/>
              <w:jc w:val="left"/>
              <w:rPr>
                <w:kern w:val="0"/>
                <w:szCs w:val="21"/>
              </w:rPr>
            </w:pPr>
            <w:r>
              <w:rPr>
                <w:kern w:val="0"/>
                <w:szCs w:val="21"/>
              </w:rPr>
              <w:t>根据建设项目环境影响报告表编制技术指南（污染影响类）（试行），本项目需设置</w:t>
            </w:r>
            <w:r>
              <w:rPr>
                <w:rFonts w:hint="eastAsia"/>
                <w:kern w:val="0"/>
                <w:szCs w:val="21"/>
              </w:rPr>
              <w:t>大气</w:t>
            </w:r>
            <w:r>
              <w:rPr>
                <w:kern w:val="0"/>
                <w:szCs w:val="21"/>
              </w:rPr>
              <w:t>专项评价，对照情况见下表</w:t>
            </w:r>
            <w:r>
              <w:rPr>
                <w:rFonts w:hint="eastAsia"/>
                <w:kern w:val="0"/>
                <w:szCs w:val="21"/>
              </w:rPr>
              <w:t>。</w:t>
            </w:r>
          </w:p>
          <w:p>
            <w:pPr>
              <w:tabs>
                <w:tab w:val="left" w:pos="3653"/>
              </w:tabs>
              <w:autoSpaceDE w:val="0"/>
              <w:autoSpaceDN w:val="0"/>
              <w:adjustRightInd w:val="0"/>
              <w:spacing w:line="400" w:lineRule="exact"/>
              <w:ind w:firstLine="360" w:firstLineChars="200"/>
              <w:jc w:val="center"/>
              <w:rPr>
                <w:rFonts w:eastAsia="黑体"/>
                <w:kern w:val="0"/>
                <w:sz w:val="18"/>
                <w:szCs w:val="18"/>
              </w:rPr>
            </w:pPr>
            <w:r>
              <w:rPr>
                <w:rFonts w:eastAsia="黑体"/>
                <w:kern w:val="0"/>
                <w:sz w:val="18"/>
                <w:szCs w:val="18"/>
              </w:rPr>
              <w:t>表1-1</w:t>
            </w:r>
            <w:r>
              <w:rPr>
                <w:rFonts w:hint="eastAsia" w:eastAsia="黑体"/>
                <w:kern w:val="0"/>
                <w:sz w:val="18"/>
                <w:szCs w:val="18"/>
              </w:rPr>
              <w:t xml:space="preserve">  </w:t>
            </w:r>
            <w:r>
              <w:rPr>
                <w:rFonts w:eastAsia="黑体"/>
                <w:kern w:val="0"/>
                <w:sz w:val="18"/>
                <w:szCs w:val="18"/>
              </w:rPr>
              <w:t xml:space="preserve"> 专项评价设置原则对照表</w:t>
            </w:r>
          </w:p>
          <w:tbl>
            <w:tblPr>
              <w:tblStyle w:val="20"/>
              <w:tblW w:w="63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305"/>
              <w:gridCol w:w="3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840" w:type="dxa"/>
                  <w:vAlign w:val="center"/>
                </w:tcPr>
                <w:p>
                  <w:pPr>
                    <w:adjustRightInd w:val="0"/>
                    <w:snapToGrid w:val="0"/>
                    <w:jc w:val="center"/>
                    <w:rPr>
                      <w:b/>
                      <w:bCs/>
                      <w:sz w:val="15"/>
                      <w:szCs w:val="15"/>
                    </w:rPr>
                  </w:pPr>
                  <w:r>
                    <w:rPr>
                      <w:b/>
                      <w:bCs/>
                      <w:sz w:val="15"/>
                      <w:szCs w:val="15"/>
                    </w:rPr>
                    <w:t>专项评价类别</w:t>
                  </w:r>
                </w:p>
              </w:tc>
              <w:tc>
                <w:tcPr>
                  <w:tcW w:w="2305" w:type="dxa"/>
                  <w:vAlign w:val="center"/>
                </w:tcPr>
                <w:p>
                  <w:pPr>
                    <w:adjustRightInd w:val="0"/>
                    <w:snapToGrid w:val="0"/>
                    <w:jc w:val="center"/>
                    <w:rPr>
                      <w:b/>
                      <w:bCs/>
                      <w:sz w:val="15"/>
                      <w:szCs w:val="15"/>
                    </w:rPr>
                  </w:pPr>
                  <w:r>
                    <w:rPr>
                      <w:b/>
                      <w:bCs/>
                      <w:sz w:val="15"/>
                      <w:szCs w:val="15"/>
                    </w:rPr>
                    <w:t>设置原则</w:t>
                  </w:r>
                </w:p>
              </w:tc>
              <w:tc>
                <w:tcPr>
                  <w:tcW w:w="3237" w:type="dxa"/>
                  <w:vAlign w:val="center"/>
                </w:tcPr>
                <w:p>
                  <w:pPr>
                    <w:adjustRightInd w:val="0"/>
                    <w:snapToGrid w:val="0"/>
                    <w:jc w:val="center"/>
                    <w:rPr>
                      <w:b/>
                      <w:bCs/>
                      <w:sz w:val="15"/>
                      <w:szCs w:val="15"/>
                    </w:rPr>
                  </w:pPr>
                  <w:r>
                    <w:rPr>
                      <w:b/>
                      <w:bCs/>
                      <w:sz w:val="15"/>
                      <w:szCs w:val="15"/>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840" w:type="dxa"/>
                  <w:vAlign w:val="center"/>
                </w:tcPr>
                <w:p>
                  <w:pPr>
                    <w:adjustRightInd w:val="0"/>
                    <w:snapToGrid w:val="0"/>
                    <w:jc w:val="center"/>
                    <w:rPr>
                      <w:sz w:val="15"/>
                      <w:szCs w:val="15"/>
                    </w:rPr>
                  </w:pPr>
                  <w:r>
                    <w:rPr>
                      <w:sz w:val="15"/>
                      <w:szCs w:val="15"/>
                    </w:rPr>
                    <w:t>大气</w:t>
                  </w:r>
                </w:p>
              </w:tc>
              <w:tc>
                <w:tcPr>
                  <w:tcW w:w="2305" w:type="dxa"/>
                  <w:vAlign w:val="center"/>
                </w:tcPr>
                <w:p>
                  <w:pPr>
                    <w:adjustRightInd w:val="0"/>
                    <w:snapToGrid w:val="0"/>
                    <w:jc w:val="center"/>
                    <w:rPr>
                      <w:sz w:val="15"/>
                      <w:szCs w:val="15"/>
                    </w:rPr>
                  </w:pPr>
                  <w:r>
                    <w:rPr>
                      <w:sz w:val="15"/>
                      <w:szCs w:val="15"/>
                    </w:rPr>
                    <w:t>排放废气含有毒有害污染物</w:t>
                  </w:r>
                  <w:r>
                    <w:rPr>
                      <w:sz w:val="15"/>
                      <w:szCs w:val="15"/>
                      <w:vertAlign w:val="superscript"/>
                    </w:rPr>
                    <w:t>1</w:t>
                  </w:r>
                  <w:r>
                    <w:rPr>
                      <w:sz w:val="15"/>
                      <w:szCs w:val="15"/>
                    </w:rPr>
                    <w:t>、二噁英、苯并[a]芘、氰化物、氯气且厂界外500米范围内有环境空气保护目标</w:t>
                  </w:r>
                  <w:r>
                    <w:rPr>
                      <w:sz w:val="15"/>
                      <w:szCs w:val="15"/>
                      <w:vertAlign w:val="superscript"/>
                    </w:rPr>
                    <w:t>2</w:t>
                  </w:r>
                  <w:r>
                    <w:rPr>
                      <w:sz w:val="15"/>
                      <w:szCs w:val="15"/>
                    </w:rPr>
                    <w:t>的建设项目</w:t>
                  </w:r>
                </w:p>
              </w:tc>
              <w:tc>
                <w:tcPr>
                  <w:tcW w:w="3237" w:type="dxa"/>
                  <w:vAlign w:val="center"/>
                </w:tcPr>
                <w:p>
                  <w:pPr>
                    <w:adjustRightInd w:val="0"/>
                    <w:snapToGrid w:val="0"/>
                    <w:jc w:val="left"/>
                    <w:rPr>
                      <w:sz w:val="15"/>
                      <w:szCs w:val="15"/>
                    </w:rPr>
                  </w:pPr>
                  <w:r>
                    <w:rPr>
                      <w:sz w:val="15"/>
                      <w:szCs w:val="15"/>
                    </w:rPr>
                    <w:t>本项目运营期废气污染物因子包括PM</w:t>
                  </w:r>
                  <w:r>
                    <w:rPr>
                      <w:sz w:val="15"/>
                      <w:szCs w:val="15"/>
                      <w:vertAlign w:val="subscript"/>
                    </w:rPr>
                    <w:t>10</w:t>
                  </w:r>
                  <w:r>
                    <w:rPr>
                      <w:sz w:val="15"/>
                      <w:szCs w:val="15"/>
                    </w:rPr>
                    <w:t>、SO</w:t>
                  </w:r>
                  <w:r>
                    <w:rPr>
                      <w:sz w:val="15"/>
                      <w:szCs w:val="15"/>
                      <w:vertAlign w:val="subscript"/>
                    </w:rPr>
                    <w:t>2</w:t>
                  </w:r>
                  <w:r>
                    <w:rPr>
                      <w:sz w:val="15"/>
                      <w:szCs w:val="15"/>
                    </w:rPr>
                    <w:t>、NO</w:t>
                  </w:r>
                  <w:r>
                    <w:rPr>
                      <w:sz w:val="15"/>
                      <w:szCs w:val="15"/>
                      <w:vertAlign w:val="subscript"/>
                    </w:rPr>
                    <w:t>x</w:t>
                  </w:r>
                  <w:r>
                    <w:rPr>
                      <w:sz w:val="15"/>
                      <w:szCs w:val="15"/>
                    </w:rPr>
                    <w:t>、</w:t>
                  </w:r>
                  <w:r>
                    <w:rPr>
                      <w:rFonts w:hint="eastAsia"/>
                      <w:sz w:val="15"/>
                      <w:szCs w:val="15"/>
                    </w:rPr>
                    <w:t>HCL、氟化物、</w:t>
                  </w:r>
                  <w:r>
                    <w:rPr>
                      <w:sz w:val="15"/>
                      <w:szCs w:val="15"/>
                    </w:rPr>
                    <w:t>NH</w:t>
                  </w:r>
                  <w:r>
                    <w:rPr>
                      <w:sz w:val="15"/>
                      <w:szCs w:val="15"/>
                      <w:vertAlign w:val="subscript"/>
                    </w:rPr>
                    <w:t>3</w:t>
                  </w:r>
                  <w:r>
                    <w:rPr>
                      <w:rFonts w:hint="eastAsia"/>
                      <w:sz w:val="15"/>
                      <w:szCs w:val="15"/>
                    </w:rPr>
                    <w:t>、</w:t>
                  </w:r>
                  <w:r>
                    <w:rPr>
                      <w:sz w:val="15"/>
                      <w:szCs w:val="15"/>
                    </w:rPr>
                    <w:t>H</w:t>
                  </w:r>
                  <w:r>
                    <w:rPr>
                      <w:sz w:val="15"/>
                      <w:szCs w:val="15"/>
                      <w:vertAlign w:val="subscript"/>
                    </w:rPr>
                    <w:t>2</w:t>
                  </w:r>
                  <w:r>
                    <w:rPr>
                      <w:sz w:val="15"/>
                      <w:szCs w:val="15"/>
                    </w:rPr>
                    <w:t>S</w:t>
                  </w:r>
                  <w:r>
                    <w:rPr>
                      <w:rFonts w:hint="eastAsia"/>
                      <w:sz w:val="15"/>
                      <w:szCs w:val="15"/>
                    </w:rPr>
                    <w:t>、</w:t>
                  </w:r>
                  <w:r>
                    <w:rPr>
                      <w:sz w:val="15"/>
                      <w:szCs w:val="15"/>
                    </w:rPr>
                    <w:t>砷、汞、铅、镉、铜、锌、镍、铬等以及二噁英类；含有毒有害气体</w:t>
                  </w:r>
                  <w:r>
                    <w:rPr>
                      <w:rFonts w:hint="eastAsia"/>
                      <w:sz w:val="15"/>
                      <w:szCs w:val="15"/>
                    </w:rPr>
                    <w:t>和</w:t>
                  </w:r>
                  <w:r>
                    <w:rPr>
                      <w:sz w:val="15"/>
                      <w:szCs w:val="15"/>
                    </w:rPr>
                    <w:t>二噁英，</w:t>
                  </w:r>
                  <w:r>
                    <w:rPr>
                      <w:rFonts w:hint="eastAsia"/>
                      <w:sz w:val="15"/>
                      <w:szCs w:val="15"/>
                    </w:rPr>
                    <w:t>且项目厂界外5</w:t>
                  </w:r>
                  <w:r>
                    <w:rPr>
                      <w:sz w:val="15"/>
                      <w:szCs w:val="15"/>
                    </w:rPr>
                    <w:t>00</w:t>
                  </w:r>
                  <w:r>
                    <w:rPr>
                      <w:rFonts w:hint="eastAsia"/>
                      <w:sz w:val="15"/>
                      <w:szCs w:val="15"/>
                    </w:rPr>
                    <w:t>米范围内有环境空气保护目标，</w:t>
                  </w:r>
                  <w:r>
                    <w:rPr>
                      <w:b/>
                      <w:bCs/>
                      <w:sz w:val="15"/>
                      <w:szCs w:val="15"/>
                    </w:rPr>
                    <w:t>因此本项目需设置大气专项评价。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840" w:type="dxa"/>
                  <w:vAlign w:val="center"/>
                </w:tcPr>
                <w:p>
                  <w:pPr>
                    <w:adjustRightInd w:val="0"/>
                    <w:snapToGrid w:val="0"/>
                    <w:jc w:val="center"/>
                    <w:rPr>
                      <w:sz w:val="15"/>
                      <w:szCs w:val="15"/>
                    </w:rPr>
                  </w:pPr>
                  <w:r>
                    <w:rPr>
                      <w:sz w:val="15"/>
                      <w:szCs w:val="15"/>
                    </w:rPr>
                    <w:t>地表水</w:t>
                  </w:r>
                </w:p>
              </w:tc>
              <w:tc>
                <w:tcPr>
                  <w:tcW w:w="2305" w:type="dxa"/>
                  <w:vAlign w:val="center"/>
                </w:tcPr>
                <w:p>
                  <w:pPr>
                    <w:adjustRightInd w:val="0"/>
                    <w:snapToGrid w:val="0"/>
                    <w:jc w:val="left"/>
                    <w:rPr>
                      <w:sz w:val="15"/>
                      <w:szCs w:val="15"/>
                    </w:rPr>
                  </w:pPr>
                  <w:r>
                    <w:rPr>
                      <w:sz w:val="15"/>
                      <w:szCs w:val="15"/>
                    </w:rPr>
                    <w:t>新增工业废水直排建设项目（槽罐车外送污水处理厂的除外）；新增废水直排的污水集中处理厂</w:t>
                  </w:r>
                </w:p>
              </w:tc>
              <w:tc>
                <w:tcPr>
                  <w:tcW w:w="3237" w:type="dxa"/>
                  <w:vAlign w:val="center"/>
                </w:tcPr>
                <w:p>
                  <w:pPr>
                    <w:adjustRightInd w:val="0"/>
                    <w:snapToGrid w:val="0"/>
                    <w:jc w:val="left"/>
                    <w:rPr>
                      <w:sz w:val="15"/>
                      <w:szCs w:val="15"/>
                    </w:rPr>
                  </w:pPr>
                  <w:r>
                    <w:rPr>
                      <w:sz w:val="15"/>
                      <w:szCs w:val="15"/>
                    </w:rPr>
                    <w:t>本项目实施后不新增废水排放；项目不新增劳动定员，不新增生活污水。</w:t>
                  </w:r>
                  <w:r>
                    <w:rPr>
                      <w:b/>
                      <w:bCs/>
                      <w:sz w:val="15"/>
                      <w:szCs w:val="15"/>
                    </w:rPr>
                    <w:t>故本项目无需开展地表水专项评价。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 w:hRule="atLeast"/>
              </w:trPr>
              <w:tc>
                <w:tcPr>
                  <w:tcW w:w="840" w:type="dxa"/>
                  <w:vAlign w:val="center"/>
                </w:tcPr>
                <w:p>
                  <w:pPr>
                    <w:adjustRightInd w:val="0"/>
                    <w:snapToGrid w:val="0"/>
                    <w:jc w:val="center"/>
                    <w:rPr>
                      <w:sz w:val="15"/>
                      <w:szCs w:val="15"/>
                    </w:rPr>
                  </w:pPr>
                  <w:r>
                    <w:rPr>
                      <w:sz w:val="15"/>
                      <w:szCs w:val="15"/>
                    </w:rPr>
                    <w:t>环境风险</w:t>
                  </w:r>
                </w:p>
              </w:tc>
              <w:tc>
                <w:tcPr>
                  <w:tcW w:w="2305" w:type="dxa"/>
                  <w:vAlign w:val="center"/>
                </w:tcPr>
                <w:p>
                  <w:pPr>
                    <w:adjustRightInd w:val="0"/>
                    <w:snapToGrid w:val="0"/>
                    <w:jc w:val="left"/>
                    <w:rPr>
                      <w:sz w:val="15"/>
                      <w:szCs w:val="15"/>
                    </w:rPr>
                  </w:pPr>
                  <w:r>
                    <w:rPr>
                      <w:sz w:val="15"/>
                      <w:szCs w:val="15"/>
                    </w:rPr>
                    <w:t>有毒有害和易燃易爆危险物质存储量超过临界量</w:t>
                  </w:r>
                  <w:r>
                    <w:rPr>
                      <w:sz w:val="15"/>
                      <w:szCs w:val="15"/>
                      <w:vertAlign w:val="superscript"/>
                    </w:rPr>
                    <w:t>3</w:t>
                  </w:r>
                  <w:r>
                    <w:rPr>
                      <w:sz w:val="15"/>
                      <w:szCs w:val="15"/>
                    </w:rPr>
                    <w:t>的建设项目</w:t>
                  </w:r>
                </w:p>
              </w:tc>
              <w:tc>
                <w:tcPr>
                  <w:tcW w:w="3237" w:type="dxa"/>
                  <w:vAlign w:val="center"/>
                </w:tcPr>
                <w:p>
                  <w:pPr>
                    <w:adjustRightInd w:val="0"/>
                    <w:snapToGrid w:val="0"/>
                    <w:jc w:val="left"/>
                    <w:rPr>
                      <w:sz w:val="15"/>
                      <w:szCs w:val="15"/>
                    </w:rPr>
                  </w:pPr>
                  <w:r>
                    <w:rPr>
                      <w:sz w:val="15"/>
                      <w:szCs w:val="15"/>
                    </w:rPr>
                    <w:t>本项目Q&lt;1，</w:t>
                  </w:r>
                  <w:r>
                    <w:rPr>
                      <w:b/>
                      <w:bCs/>
                      <w:sz w:val="15"/>
                      <w:szCs w:val="15"/>
                    </w:rPr>
                    <w:t>故本项目无需开展环境风险专项评价。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840" w:type="dxa"/>
                  <w:vAlign w:val="center"/>
                </w:tcPr>
                <w:p>
                  <w:pPr>
                    <w:adjustRightInd w:val="0"/>
                    <w:snapToGrid w:val="0"/>
                    <w:jc w:val="center"/>
                    <w:rPr>
                      <w:sz w:val="15"/>
                      <w:szCs w:val="15"/>
                    </w:rPr>
                  </w:pPr>
                  <w:r>
                    <w:rPr>
                      <w:sz w:val="15"/>
                      <w:szCs w:val="15"/>
                    </w:rPr>
                    <w:t>生态</w:t>
                  </w:r>
                </w:p>
              </w:tc>
              <w:tc>
                <w:tcPr>
                  <w:tcW w:w="2305" w:type="dxa"/>
                  <w:vAlign w:val="center"/>
                </w:tcPr>
                <w:p>
                  <w:pPr>
                    <w:adjustRightInd w:val="0"/>
                    <w:snapToGrid w:val="0"/>
                    <w:jc w:val="left"/>
                    <w:rPr>
                      <w:sz w:val="15"/>
                      <w:szCs w:val="15"/>
                    </w:rPr>
                  </w:pPr>
                  <w:r>
                    <w:rPr>
                      <w:sz w:val="15"/>
                      <w:szCs w:val="15"/>
                    </w:rPr>
                    <w:t>取水口下游500米范围内有重要水生生物的自然产卵场、索饵场、越冬场和洄游通道的新增河道取水的污染类建设项目</w:t>
                  </w:r>
                </w:p>
              </w:tc>
              <w:tc>
                <w:tcPr>
                  <w:tcW w:w="3237" w:type="dxa"/>
                  <w:vAlign w:val="center"/>
                </w:tcPr>
                <w:p>
                  <w:pPr>
                    <w:adjustRightInd w:val="0"/>
                    <w:snapToGrid w:val="0"/>
                    <w:jc w:val="left"/>
                    <w:rPr>
                      <w:sz w:val="15"/>
                      <w:szCs w:val="15"/>
                    </w:rPr>
                  </w:pPr>
                  <w:r>
                    <w:rPr>
                      <w:sz w:val="15"/>
                      <w:szCs w:val="15"/>
                    </w:rPr>
                    <w:t>本项目不涉及取水，</w:t>
                  </w:r>
                  <w:r>
                    <w:rPr>
                      <w:b/>
                      <w:bCs/>
                      <w:sz w:val="15"/>
                      <w:szCs w:val="15"/>
                    </w:rPr>
                    <w:t>故本项目无需开展生态专项评价。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840" w:type="dxa"/>
                  <w:vAlign w:val="center"/>
                </w:tcPr>
                <w:p>
                  <w:pPr>
                    <w:adjustRightInd w:val="0"/>
                    <w:snapToGrid w:val="0"/>
                    <w:jc w:val="center"/>
                    <w:rPr>
                      <w:sz w:val="15"/>
                      <w:szCs w:val="15"/>
                    </w:rPr>
                  </w:pPr>
                  <w:r>
                    <w:rPr>
                      <w:sz w:val="15"/>
                      <w:szCs w:val="15"/>
                    </w:rPr>
                    <w:t>海洋</w:t>
                  </w:r>
                </w:p>
              </w:tc>
              <w:tc>
                <w:tcPr>
                  <w:tcW w:w="2305" w:type="dxa"/>
                  <w:vAlign w:val="center"/>
                </w:tcPr>
                <w:p>
                  <w:pPr>
                    <w:adjustRightInd w:val="0"/>
                    <w:snapToGrid w:val="0"/>
                    <w:jc w:val="left"/>
                    <w:rPr>
                      <w:sz w:val="15"/>
                      <w:szCs w:val="15"/>
                    </w:rPr>
                  </w:pPr>
                  <w:r>
                    <w:rPr>
                      <w:sz w:val="15"/>
                      <w:szCs w:val="15"/>
                    </w:rPr>
                    <w:t>直接向海排放污染物的海洋工程建设项目</w:t>
                  </w:r>
                </w:p>
              </w:tc>
              <w:tc>
                <w:tcPr>
                  <w:tcW w:w="3237" w:type="dxa"/>
                  <w:vAlign w:val="center"/>
                </w:tcPr>
                <w:p>
                  <w:pPr>
                    <w:adjustRightInd w:val="0"/>
                    <w:snapToGrid w:val="0"/>
                    <w:jc w:val="left"/>
                    <w:rPr>
                      <w:sz w:val="15"/>
                      <w:szCs w:val="15"/>
                    </w:rPr>
                  </w:pPr>
                  <w:r>
                    <w:rPr>
                      <w:sz w:val="15"/>
                      <w:szCs w:val="15"/>
                    </w:rPr>
                    <w:t>本项目不属于海洋工程建设项目，</w:t>
                  </w:r>
                  <w:r>
                    <w:rPr>
                      <w:b/>
                      <w:bCs/>
                      <w:sz w:val="15"/>
                      <w:szCs w:val="15"/>
                    </w:rPr>
                    <w:t>故本项目无需开展海洋专项评价。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840" w:type="dxa"/>
                  <w:vAlign w:val="center"/>
                </w:tcPr>
                <w:p>
                  <w:pPr>
                    <w:adjustRightInd w:val="0"/>
                    <w:snapToGrid w:val="0"/>
                    <w:jc w:val="center"/>
                    <w:rPr>
                      <w:sz w:val="15"/>
                      <w:szCs w:val="15"/>
                    </w:rPr>
                  </w:pPr>
                  <w:r>
                    <w:rPr>
                      <w:sz w:val="15"/>
                      <w:szCs w:val="15"/>
                    </w:rPr>
                    <w:t>地下水</w:t>
                  </w:r>
                </w:p>
              </w:tc>
              <w:tc>
                <w:tcPr>
                  <w:tcW w:w="2305" w:type="dxa"/>
                  <w:vAlign w:val="center"/>
                </w:tcPr>
                <w:p>
                  <w:pPr>
                    <w:adjustRightInd w:val="0"/>
                    <w:snapToGrid w:val="0"/>
                    <w:jc w:val="left"/>
                    <w:rPr>
                      <w:sz w:val="15"/>
                      <w:szCs w:val="15"/>
                    </w:rPr>
                  </w:pPr>
                  <w:r>
                    <w:rPr>
                      <w:sz w:val="15"/>
                      <w:szCs w:val="15"/>
                    </w:rPr>
                    <w:t>涉及集中式饮用水水源和热水、矿泉水、温泉等特殊地下水资源保护区</w:t>
                  </w:r>
                </w:p>
              </w:tc>
              <w:tc>
                <w:tcPr>
                  <w:tcW w:w="3237" w:type="dxa"/>
                  <w:vAlign w:val="center"/>
                </w:tcPr>
                <w:p>
                  <w:pPr>
                    <w:adjustRightInd w:val="0"/>
                    <w:snapToGrid w:val="0"/>
                    <w:jc w:val="center"/>
                    <w:rPr>
                      <w:sz w:val="15"/>
                      <w:szCs w:val="15"/>
                    </w:rPr>
                  </w:pPr>
                  <w:r>
                    <w:rPr>
                      <w:sz w:val="15"/>
                      <w:szCs w:val="15"/>
                    </w:rPr>
                    <w:t>本项目不涉及集中式饮用水水源和热水、矿泉水、温泉等特殊地下水资源保护区，</w:t>
                  </w:r>
                  <w:r>
                    <w:rPr>
                      <w:b/>
                      <w:bCs/>
                      <w:sz w:val="15"/>
                      <w:szCs w:val="15"/>
                    </w:rPr>
                    <w:t>故本项目无需开展地下水专项评价。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rPr>
              <w:tc>
                <w:tcPr>
                  <w:tcW w:w="6382" w:type="dxa"/>
                  <w:gridSpan w:val="3"/>
                  <w:vAlign w:val="center"/>
                </w:tcPr>
                <w:p>
                  <w:pPr>
                    <w:adjustRightInd w:val="0"/>
                    <w:snapToGrid w:val="0"/>
                    <w:jc w:val="left"/>
                    <w:rPr>
                      <w:sz w:val="15"/>
                      <w:szCs w:val="15"/>
                    </w:rPr>
                  </w:pPr>
                  <w:r>
                    <w:rPr>
                      <w:sz w:val="15"/>
                      <w:szCs w:val="15"/>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pPr>
              <w:autoSpaceDE w:val="0"/>
              <w:autoSpaceDN w:val="0"/>
              <w:adjustRightInd w:val="0"/>
              <w:snapToGrid w:val="0"/>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3" w:hRule="atLeast"/>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60" w:lineRule="auto"/>
              <w:jc w:val="center"/>
              <w:rPr>
                <w:kern w:val="0"/>
                <w:szCs w:val="21"/>
              </w:rPr>
            </w:pPr>
            <w:r>
              <w:rPr>
                <w:szCs w:val="21"/>
              </w:rPr>
              <w:t>规划情况</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00" w:lineRule="exact"/>
              <w:rPr>
                <w:kern w:val="0"/>
                <w:szCs w:val="21"/>
              </w:rPr>
            </w:pPr>
            <w:r>
              <w:rPr>
                <w:rFonts w:hint="eastAsia"/>
                <w:szCs w:val="21"/>
                <w:shd w:val="clear" w:color="auto" w:fill="FFFFFF"/>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0" w:hRule="atLeast"/>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djustRightInd w:val="0"/>
              <w:snapToGrid w:val="0"/>
              <w:jc w:val="center"/>
              <w:rPr>
                <w:szCs w:val="21"/>
              </w:rPr>
            </w:pPr>
            <w:r>
              <w:rPr>
                <w:szCs w:val="21"/>
              </w:rPr>
              <w:t>规划环境影响</w:t>
            </w:r>
          </w:p>
          <w:p>
            <w:pPr>
              <w:adjustRightInd w:val="0"/>
              <w:snapToGrid w:val="0"/>
              <w:jc w:val="center"/>
              <w:rPr>
                <w:kern w:val="0"/>
                <w:szCs w:val="21"/>
              </w:rPr>
            </w:pPr>
            <w:r>
              <w:rPr>
                <w:szCs w:val="21"/>
              </w:rPr>
              <w:t>评价情况</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40" w:lineRule="exact"/>
              <w:rPr>
                <w:kern w:val="0"/>
                <w:szCs w:val="21"/>
              </w:rPr>
            </w:pPr>
            <w:r>
              <w:rPr>
                <w:rFonts w:hint="eastAsia"/>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19" w:hRule="atLeast"/>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jc w:val="center"/>
              <w:rPr>
                <w:kern w:val="0"/>
                <w:szCs w:val="21"/>
              </w:rPr>
            </w:pPr>
            <w:r>
              <w:rPr>
                <w:kern w:val="0"/>
                <w:szCs w:val="21"/>
              </w:rPr>
              <w:t>规划及规划环境</w:t>
            </w:r>
          </w:p>
          <w:p>
            <w:pPr>
              <w:autoSpaceDE w:val="0"/>
              <w:autoSpaceDN w:val="0"/>
              <w:adjustRightInd w:val="0"/>
              <w:snapToGrid w:val="0"/>
              <w:jc w:val="center"/>
              <w:rPr>
                <w:kern w:val="0"/>
                <w:szCs w:val="21"/>
              </w:rPr>
            </w:pPr>
            <w:r>
              <w:rPr>
                <w:kern w:val="0"/>
                <w:szCs w:val="21"/>
              </w:rPr>
              <w:t>影响评价符合性分析</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00" w:lineRule="exact"/>
              <w:jc w:val="left"/>
              <w:rPr>
                <w:kern w:val="0"/>
                <w:szCs w:val="21"/>
              </w:rPr>
            </w:pPr>
            <w:r>
              <w:rPr>
                <w:rFonts w:hint="eastAsia"/>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16" w:hRule="atLeast"/>
        </w:trPr>
        <w:tc>
          <w:tcPr>
            <w:tcW w:w="2140" w:type="dxa"/>
            <w:tcBorders>
              <w:top w:val="single" w:color="auto" w:sz="4" w:space="0"/>
              <w:left w:val="single" w:color="auto" w:sz="8" w:space="0"/>
              <w:bottom w:val="single" w:color="auto" w:sz="8" w:space="0"/>
              <w:right w:val="single" w:color="auto" w:sz="4" w:space="0"/>
            </w:tcBorders>
            <w:tcMar>
              <w:top w:w="0" w:type="dxa"/>
              <w:left w:w="108" w:type="dxa"/>
              <w:bottom w:w="0" w:type="dxa"/>
              <w:right w:w="108" w:type="dxa"/>
            </w:tcMar>
            <w:vAlign w:val="center"/>
          </w:tcPr>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pStyle w:val="14"/>
            </w:pPr>
          </w:p>
          <w:p>
            <w:pPr>
              <w:pStyle w:val="14"/>
            </w:pPr>
          </w:p>
          <w:p>
            <w:pPr>
              <w:pStyle w:val="14"/>
            </w:pPr>
          </w:p>
          <w:p>
            <w:pPr>
              <w:autoSpaceDE w:val="0"/>
              <w:autoSpaceDN w:val="0"/>
              <w:adjustRightInd w:val="0"/>
              <w:snapToGrid w:val="0"/>
              <w:jc w:val="center"/>
              <w:rPr>
                <w:kern w:val="0"/>
                <w:szCs w:val="21"/>
              </w:rPr>
            </w:pPr>
            <w:r>
              <w:rPr>
                <w:kern w:val="0"/>
                <w:szCs w:val="21"/>
              </w:rPr>
              <w:t>其他符合性分析</w:t>
            </w:r>
          </w:p>
          <w:p>
            <w:pPr>
              <w:pStyle w:val="14"/>
            </w:pPr>
          </w:p>
          <w:p>
            <w:pPr>
              <w:pStyle w:val="14"/>
            </w:pPr>
          </w:p>
          <w:p>
            <w:pPr>
              <w:pStyle w:val="14"/>
            </w:pPr>
          </w:p>
          <w:p>
            <w:pPr>
              <w:pStyle w:val="14"/>
            </w:pPr>
          </w:p>
          <w:p>
            <w:pPr>
              <w:pStyle w:val="14"/>
            </w:pPr>
          </w:p>
          <w:p>
            <w:pPr>
              <w:pStyle w:val="14"/>
            </w:pPr>
          </w:p>
          <w:p>
            <w:pPr>
              <w:pStyle w:val="14"/>
            </w:pPr>
          </w:p>
          <w:p>
            <w:pPr>
              <w:pStyle w:val="14"/>
            </w:pPr>
          </w:p>
          <w:p>
            <w:pPr>
              <w:pStyle w:val="14"/>
              <w:spacing w:after="0" w:line="240" w:lineRule="exact"/>
              <w:ind w:left="0" w:leftChars="0"/>
              <w:rPr>
                <w:kern w:val="0"/>
                <w:szCs w:val="21"/>
              </w:rPr>
            </w:pPr>
          </w:p>
          <w:p>
            <w:pPr>
              <w:pStyle w:val="14"/>
              <w:spacing w:after="0" w:line="240" w:lineRule="exact"/>
              <w:ind w:left="0" w:leftChars="0"/>
              <w:rPr>
                <w:kern w:val="0"/>
                <w:szCs w:val="21"/>
              </w:rPr>
            </w:pPr>
          </w:p>
          <w:p>
            <w:pPr>
              <w:pStyle w:val="14"/>
              <w:spacing w:after="0" w:line="240" w:lineRule="exact"/>
              <w:ind w:left="0" w:leftChars="0"/>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rPr>
                <w:kern w:val="0"/>
                <w:szCs w:val="21"/>
              </w:rPr>
            </w:pPr>
          </w:p>
          <w:p>
            <w:pPr>
              <w:pStyle w:val="14"/>
              <w:spacing w:after="0" w:line="240" w:lineRule="exact"/>
              <w:ind w:left="0" w:leftChars="0"/>
              <w:jc w:val="center"/>
            </w:pPr>
            <w:r>
              <w:rPr>
                <w:kern w:val="0"/>
                <w:szCs w:val="21"/>
              </w:rPr>
              <w:t>其他符合性分析</w:t>
            </w: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tc>
        <w:tc>
          <w:tcPr>
            <w:tcW w:w="6730" w:type="dxa"/>
            <w:gridSpan w:val="3"/>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pStyle w:val="5"/>
              <w:numPr>
                <w:ilvl w:val="3"/>
                <w:numId w:val="0"/>
              </w:numPr>
              <w:spacing w:before="0" w:line="410" w:lineRule="exact"/>
              <w:rPr>
                <w:rFonts w:eastAsia="黑体"/>
                <w:b w:val="0"/>
                <w:bCs/>
                <w:sz w:val="21"/>
                <w:szCs w:val="21"/>
              </w:rPr>
            </w:pPr>
            <w:r>
              <w:rPr>
                <w:rFonts w:hint="eastAsia" w:eastAsia="黑体"/>
                <w:b w:val="0"/>
                <w:bCs/>
                <w:sz w:val="21"/>
                <w:szCs w:val="21"/>
              </w:rPr>
              <w:t>1、与产业政策的符合性分析</w:t>
            </w:r>
          </w:p>
          <w:p>
            <w:pPr>
              <w:autoSpaceDE w:val="0"/>
              <w:autoSpaceDN w:val="0"/>
              <w:adjustRightInd w:val="0"/>
              <w:snapToGrid w:val="0"/>
              <w:spacing w:line="400" w:lineRule="exact"/>
              <w:ind w:firstLine="420" w:firstLineChars="200"/>
              <w:rPr>
                <w:kern w:val="0"/>
                <w:szCs w:val="21"/>
              </w:rPr>
            </w:pPr>
            <w:r>
              <w:rPr>
                <w:rFonts w:hint="eastAsia"/>
                <w:kern w:val="0"/>
                <w:szCs w:val="21"/>
              </w:rPr>
              <w:t>本项目属于利用新型烧结砖生产线的污泥综合利用项目，属于《产业结构调整指导目录（2019年本）》中的“鼓励类”的“第十二、建材”的“11、利用矿山尾矿、建筑废弃物、工业废弃物、江河湖（渠）海淤泥以及农林剩余物等二次资源生产建材及其工艺技术装备开发”；也属于“鼓励类”的“四十三、环境保护与资源节约综合利用”中“</w:t>
            </w:r>
            <w:r>
              <w:rPr>
                <w:rFonts w:hint="eastAsia"/>
              </w:rPr>
              <w:t xml:space="preserve"> </w:t>
            </w:r>
            <w:r>
              <w:rPr>
                <w:rFonts w:hint="eastAsia"/>
                <w:kern w:val="0"/>
                <w:szCs w:val="21"/>
              </w:rPr>
              <w:t>20、城镇垃圾、农村生活垃圾、农村生活污水、污泥及其他固体废弃物减量化、资源化、无害化处理和综合利用工程”。同时，本项目生产设备也不属于国家明令禁止的设备。</w:t>
            </w:r>
          </w:p>
          <w:p>
            <w:pPr>
              <w:autoSpaceDE w:val="0"/>
              <w:autoSpaceDN w:val="0"/>
              <w:adjustRightInd w:val="0"/>
              <w:snapToGrid w:val="0"/>
              <w:spacing w:line="400" w:lineRule="exact"/>
              <w:ind w:firstLine="420" w:firstLineChars="200"/>
              <w:rPr>
                <w:kern w:val="0"/>
                <w:szCs w:val="21"/>
              </w:rPr>
            </w:pPr>
            <w:r>
              <w:rPr>
                <w:rFonts w:hint="eastAsia"/>
                <w:kern w:val="0"/>
                <w:szCs w:val="21"/>
              </w:rPr>
              <w:t>根据《企业投资项目核准和备案管理条例》及相关规定，建设单位已完成备案手续，备案号：</w:t>
            </w:r>
            <w:r>
              <w:rPr>
                <w:szCs w:val="21"/>
              </w:rPr>
              <w:t>川投资备【</w:t>
            </w:r>
            <w:r>
              <w:rPr>
                <w:rFonts w:hint="eastAsia"/>
                <w:kern w:val="0"/>
                <w:szCs w:val="21"/>
              </w:rPr>
              <w:t>2212-511724-07-02-972517</w:t>
            </w:r>
            <w:r>
              <w:rPr>
                <w:szCs w:val="21"/>
              </w:rPr>
              <w:t>】</w:t>
            </w:r>
            <w:r>
              <w:rPr>
                <w:rFonts w:hint="eastAsia"/>
                <w:szCs w:val="21"/>
              </w:rPr>
              <w:t>JX</w:t>
            </w:r>
            <w:r>
              <w:rPr>
                <w:szCs w:val="21"/>
              </w:rPr>
              <w:t>QB-0789号</w:t>
            </w:r>
            <w:r>
              <w:rPr>
                <w:rFonts w:hint="eastAsia"/>
                <w:kern w:val="0"/>
                <w:szCs w:val="21"/>
              </w:rPr>
              <w:t>，详见附件。</w:t>
            </w:r>
          </w:p>
          <w:p>
            <w:pPr>
              <w:autoSpaceDE w:val="0"/>
              <w:autoSpaceDN w:val="0"/>
              <w:adjustRightInd w:val="0"/>
              <w:snapToGrid w:val="0"/>
              <w:spacing w:line="400" w:lineRule="exact"/>
              <w:ind w:firstLine="420" w:firstLineChars="200"/>
              <w:rPr>
                <w:kern w:val="0"/>
                <w:szCs w:val="21"/>
              </w:rPr>
            </w:pPr>
            <w:r>
              <w:rPr>
                <w:rFonts w:hint="eastAsia"/>
                <w:kern w:val="0"/>
                <w:szCs w:val="21"/>
              </w:rPr>
              <w:t>因此，本项目与国家现行产业政策是相符的。</w:t>
            </w:r>
          </w:p>
          <w:p>
            <w:pPr>
              <w:adjustRightInd w:val="0"/>
              <w:snapToGrid w:val="0"/>
              <w:spacing w:line="410" w:lineRule="exact"/>
              <w:jc w:val="left"/>
              <w:rPr>
                <w:rFonts w:eastAsia="黑体" w:cs="宋体"/>
                <w:bCs/>
                <w:szCs w:val="21"/>
              </w:rPr>
            </w:pPr>
            <w:r>
              <w:rPr>
                <w:rFonts w:hint="eastAsia" w:eastAsia="黑体" w:cs="宋体"/>
                <w:bCs/>
                <w:szCs w:val="21"/>
              </w:rPr>
              <w:t>2、与“三线一单”的符合性分析</w:t>
            </w:r>
          </w:p>
          <w:p>
            <w:pPr>
              <w:autoSpaceDE w:val="0"/>
              <w:autoSpaceDN w:val="0"/>
              <w:adjustRightInd w:val="0"/>
              <w:snapToGrid w:val="0"/>
              <w:spacing w:line="400" w:lineRule="exact"/>
              <w:ind w:left="-31" w:leftChars="-15" w:right="-31" w:rightChars="-15" w:firstLine="422" w:firstLineChars="200"/>
              <w:rPr>
                <w:b/>
                <w:bCs/>
                <w:kern w:val="0"/>
                <w:szCs w:val="21"/>
              </w:rPr>
            </w:pPr>
            <w:r>
              <w:rPr>
                <w:rFonts w:hint="eastAsia"/>
                <w:b/>
                <w:bCs/>
                <w:kern w:val="0"/>
                <w:szCs w:val="21"/>
              </w:rPr>
              <w:t>（1）达州市“三线一单”的符合性</w:t>
            </w:r>
          </w:p>
          <w:p>
            <w:pPr>
              <w:autoSpaceDE w:val="0"/>
              <w:autoSpaceDN w:val="0"/>
              <w:adjustRightInd w:val="0"/>
              <w:snapToGrid w:val="0"/>
              <w:spacing w:line="400" w:lineRule="exact"/>
              <w:ind w:left="-31" w:leftChars="-15" w:right="-31" w:rightChars="-15" w:firstLine="420" w:firstLineChars="200"/>
              <w:rPr>
                <w:bCs/>
                <w:kern w:val="0"/>
                <w:szCs w:val="21"/>
              </w:rPr>
            </w:pPr>
            <w:r>
              <w:rPr>
                <w:rFonts w:hint="eastAsia"/>
                <w:bCs/>
                <w:kern w:val="0"/>
                <w:szCs w:val="21"/>
              </w:rPr>
              <w:t>“三线一单”是指生态保护红线、环境质量底线、资源利用上线和生态环境准入清单，是推进生态环境保护精细化管理、强化国土空间环境管控、推进绿色发展高质量发展的一项重要工作。</w:t>
            </w:r>
          </w:p>
          <w:p>
            <w:pPr>
              <w:autoSpaceDE w:val="0"/>
              <w:autoSpaceDN w:val="0"/>
              <w:adjustRightInd w:val="0"/>
              <w:snapToGrid w:val="0"/>
              <w:spacing w:line="400" w:lineRule="exact"/>
              <w:ind w:left="-31" w:leftChars="-15" w:right="-31" w:rightChars="-15" w:firstLine="420" w:firstLineChars="200"/>
              <w:rPr>
                <w:bCs/>
                <w:kern w:val="0"/>
                <w:szCs w:val="21"/>
              </w:rPr>
            </w:pPr>
            <w:r>
              <w:rPr>
                <w:rFonts w:hint="eastAsia"/>
                <w:bCs/>
                <w:kern w:val="0"/>
                <w:szCs w:val="21"/>
              </w:rPr>
              <w:t>生态保护红线指在生态空间范围内具有特殊重要生态功能、必须强制性严格保护的区域；环境质量底线指结合环境质量现状和相关规划、功能区划要求，确定的分区域分阶段环境质量目标及相应的环境管控、污染物排放控制等要求；资源利用上线以保障生态安全和改善环境质量为目的，结合自然资源开发管控，提出的分区域分阶段的资源开发利用总量、强度、效率等上线管控要求；生态环境准入清单则是指基于环境管控单元，统筹考虑“三线”的管控要求，提出的空间布局、污染物排放、环境风险、资源开发利用等方面禁止和限制的环境准入要求。</w:t>
            </w:r>
          </w:p>
          <w:p>
            <w:pPr>
              <w:autoSpaceDE w:val="0"/>
              <w:autoSpaceDN w:val="0"/>
              <w:adjustRightInd w:val="0"/>
              <w:snapToGrid w:val="0"/>
              <w:spacing w:line="400" w:lineRule="exact"/>
              <w:ind w:left="-31" w:leftChars="-15" w:right="-31" w:rightChars="-15" w:firstLine="420" w:firstLineChars="200"/>
              <w:rPr>
                <w:bCs/>
                <w:kern w:val="0"/>
                <w:szCs w:val="21"/>
              </w:rPr>
            </w:pPr>
            <w:r>
              <w:rPr>
                <w:rFonts w:hint="eastAsia"/>
                <w:bCs/>
                <w:kern w:val="0"/>
                <w:szCs w:val="21"/>
              </w:rPr>
              <w:t>根据《长江经济带战略环境评价四川省达州市“三线一单”生态环境分区管控优化完善研究报告》，达州市生态保护红线面积1214.56km</w:t>
            </w:r>
            <w:r>
              <w:rPr>
                <w:rFonts w:hint="eastAsia"/>
                <w:bCs/>
                <w:kern w:val="0"/>
                <w:szCs w:val="21"/>
                <w:vertAlign w:val="superscript"/>
              </w:rPr>
              <w:t>2</w:t>
            </w:r>
            <w:r>
              <w:rPr>
                <w:rFonts w:hint="eastAsia"/>
                <w:bCs/>
                <w:kern w:val="0"/>
                <w:szCs w:val="21"/>
              </w:rPr>
              <w:t>，占达州市国土面积比例的7.33%。达州市生态保护红线图如下。</w:t>
            </w:r>
          </w:p>
          <w:p>
            <w:pPr>
              <w:autoSpaceDE w:val="0"/>
              <w:autoSpaceDN w:val="0"/>
              <w:adjustRightInd w:val="0"/>
              <w:snapToGrid w:val="0"/>
              <w:jc w:val="center"/>
              <w:rPr>
                <w:b/>
                <w:bCs/>
                <w:kern w:val="0"/>
                <w:szCs w:val="21"/>
              </w:rPr>
            </w:pPr>
            <w:r>
              <w:rPr>
                <w:rFonts w:ascii="宋体" w:hAnsi="宋体" w:cs="宋体"/>
                <w:kern w:val="0"/>
                <w:sz w:val="24"/>
              </w:rPr>
              <w:pict>
                <v:shape id="圆角矩形标注 252" o:spid="_x0000_s1028" o:spt="62" type="#_x0000_t62" style="position:absolute;left:0pt;margin-left:137.7pt;margin-top:154.95pt;height:20.55pt;width:61.7pt;z-index:25167974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" adj="-11308,19813">
                  <v:path/>
                  <v:fill on="f" focussize="0,0"/>
                  <v:stroke color="#FF0000" joinstyle="miter"/>
                  <v:imagedata o:title=""/>
                  <o:lock v:ext="edit"/>
                  <v:textbox>
                    <w:txbxContent>
                      <w:p>
                        <w:pPr>
                          <w:spacing w:line="240" w:lineRule="exact"/>
                          <w:ind w:left="-105" w:leftChars="-50" w:right="-105" w:rightChars="-50"/>
                          <w:jc w:val="center"/>
                          <w:rPr>
                            <w:b/>
                            <w:color w:val="FF0000"/>
                          </w:rPr>
                        </w:pPr>
                        <w:r>
                          <w:rPr>
                            <w:b/>
                            <w:color w:val="FF0000"/>
                          </w:rPr>
                          <w:t>项目所在地</w:t>
                        </w:r>
                      </w:p>
                    </w:txbxContent>
                  </v:textbox>
                </v:shape>
              </w:pict>
            </w:r>
            <w:r>
              <w:rPr>
                <w:rFonts w:ascii="宋体" w:hAnsi="宋体" w:cs="宋体"/>
                <w:kern w:val="0"/>
                <w:sz w:val="24"/>
              </w:rPr>
              <w:pict>
                <v:shape id="_x0000_s1029" o:spid="_x0000_s1029" style="position:absolute;left:0pt;margin-left:103pt;margin-top:172.65pt;height:2.8pt;width:2.8pt;z-index:251680768;mso-width-relative:page;mso-height-relative:page;" fillcolor="#FF0000" filled="t" stroked="t" coordsize="35560,35560" o:gfxdata="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5Ri0O1gAAAAsBAAAPAAAAAAAAAAEAIAAAACIAAABkcnMvZG93bnJldi54&#10;bWxQSwECFAAUAAAACACHTuJAxtkNvjUCAAB0BAAADgAAAAAAAAABACAAAAAlAQAAZHJzL2Uyb0Rv&#10;Yy54bWxQSwUGAAAAAAYABgBZAQAAzAUAAAAA&#10;" path="m0,13582l13582,13582,17780,0,21977,13582,35559,13582,24571,21977,28768,35559,17780,27165,6791,35559,10988,21977xe">
                  <v:path o:connectlocs="17780,0;0,13582;6791,35559;28768,35559;35559,13582" o:connectangles="247,164,82,82,0"/>
                  <v:fill on="t" focussize="0,0"/>
                  <v:stroke color="#FF0000" joinstyle="miter"/>
                  <v:imagedata o:title=""/>
                  <o:lock v:ext="edit"/>
                </v:shape>
              </w:pict>
            </w:r>
            <w:r>
              <w:rPr>
                <w:rFonts w:ascii="宋体" w:hAnsi="宋体" w:cs="宋体"/>
                <w:kern w:val="0"/>
                <w:sz w:val="24"/>
              </w:rPr>
              <w:drawing>
                <wp:inline distT="0" distB="0" distL="0" distR="0">
                  <wp:extent cx="3965575" cy="2578100"/>
                  <wp:effectExtent l="0" t="0" r="0" b="0"/>
                  <wp:docPr id="64" name="图片 64" descr="C:\Users\ADMINI~1\AppData\Local\Temp\ksohtml76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1\AppData\Local\Temp\ksohtml7676\wps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971204" cy="2581739"/>
                          </a:xfrm>
                          <a:prstGeom prst="rect">
                            <a:avLst/>
                          </a:prstGeom>
                          <a:noFill/>
                          <a:ln>
                            <a:noFill/>
                          </a:ln>
                        </pic:spPr>
                      </pic:pic>
                    </a:graphicData>
                  </a:graphic>
                </wp:inline>
              </w:drawing>
            </w:r>
          </w:p>
          <w:p>
            <w:pPr>
              <w:autoSpaceDE w:val="0"/>
              <w:autoSpaceDN w:val="0"/>
              <w:adjustRightInd w:val="0"/>
              <w:snapToGrid w:val="0"/>
              <w:spacing w:line="400" w:lineRule="exact"/>
              <w:ind w:left="-31" w:leftChars="-15" w:right="-31" w:rightChars="-15" w:firstLine="422" w:firstLineChars="200"/>
              <w:rPr>
                <w:b/>
                <w:bCs/>
                <w:kern w:val="0"/>
                <w:szCs w:val="21"/>
              </w:rPr>
            </w:pPr>
            <w:r>
              <w:rPr>
                <w:b/>
                <w:bCs/>
                <w:kern w:val="0"/>
                <w:szCs w:val="21"/>
              </w:rPr>
              <w:pict>
                <v:shape id="文本框 78" o:spid="_x0000_s1030" o:spt="202" type="#_x0000_t202" style="position:absolute;left:0pt;margin-left:-2.6pt;margin-top:-0.4pt;height:19.15pt;width:330.05pt;z-index:251682816;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">
                  <v:path/>
                  <v:fill focussize="0,0"/>
                  <v:stroke on="f" weight="0.5pt" joinstyle="miter"/>
                  <v:imagedata o:title=""/>
                  <o:lock v:ext="edit"/>
                  <v:textbox>
                    <w:txbxContent>
                      <w:p>
                        <w:pPr>
                          <w:jc w:val="center"/>
                          <w:rPr>
                            <w:b/>
                            <w:sz w:val="18"/>
                          </w:rPr>
                        </w:pPr>
                        <w:r>
                          <w:rPr>
                            <w:rFonts w:hint="eastAsia"/>
                            <w:b/>
                            <w:sz w:val="18"/>
                          </w:rPr>
                          <w:t>图1-1  项目与达州市生态保护红线位置关系图</w:t>
                        </w:r>
                      </w:p>
                    </w:txbxContent>
                  </v:textbox>
                </v:shape>
              </w:pict>
            </w:r>
          </w:p>
          <w:p>
            <w:pPr>
              <w:autoSpaceDE w:val="0"/>
              <w:autoSpaceDN w:val="0"/>
              <w:adjustRightInd w:val="0"/>
              <w:snapToGrid w:val="0"/>
              <w:spacing w:line="400" w:lineRule="exact"/>
              <w:ind w:left="-31" w:leftChars="-15" w:right="-31" w:rightChars="-15" w:firstLine="422" w:firstLineChars="200"/>
              <w:rPr>
                <w:b/>
                <w:bCs/>
                <w:kern w:val="0"/>
                <w:szCs w:val="21"/>
              </w:rPr>
            </w:pPr>
            <w:r>
              <w:rPr>
                <w:rFonts w:hint="eastAsia"/>
                <w:b/>
                <w:bCs/>
                <w:kern w:val="0"/>
                <w:szCs w:val="21"/>
              </w:rPr>
              <w:t>（2）所属环境管控单元</w:t>
            </w:r>
          </w:p>
          <w:p>
            <w:pPr>
              <w:autoSpaceDE w:val="0"/>
              <w:autoSpaceDN w:val="0"/>
              <w:adjustRightInd w:val="0"/>
              <w:snapToGrid w:val="0"/>
              <w:spacing w:line="400" w:lineRule="exact"/>
              <w:ind w:left="-31" w:leftChars="-15" w:right="-31" w:rightChars="-15" w:firstLine="420" w:firstLineChars="200"/>
              <w:rPr>
                <w:bCs/>
                <w:kern w:val="0"/>
                <w:szCs w:val="21"/>
              </w:rPr>
            </w:pPr>
            <w:r>
              <w:rPr>
                <w:rFonts w:hint="eastAsia"/>
                <w:bCs/>
                <w:kern w:val="0"/>
                <w:szCs w:val="21"/>
              </w:rPr>
              <w:t>根据《达州市人民政府&lt;关于落实生态保护红线、环境质量底线、资源利用上线制定生态环境准入清单实施生态环境分区管控的通知&gt;》（达市府发〔2021〕17号），将全市行政区域从生态环境保护角度划分为优先保护、重点管控和一般管控三类环境管控单元，全市共划定46个综合环境管控单元。</w:t>
            </w:r>
          </w:p>
          <w:p>
            <w:pPr>
              <w:autoSpaceDE w:val="0"/>
              <w:autoSpaceDN w:val="0"/>
              <w:adjustRightInd w:val="0"/>
              <w:snapToGrid w:val="0"/>
              <w:spacing w:line="400" w:lineRule="exact"/>
              <w:ind w:left="-31" w:leftChars="-15" w:right="-31" w:rightChars="-15" w:firstLine="420" w:firstLineChars="200"/>
              <w:rPr>
                <w:bCs/>
                <w:kern w:val="0"/>
                <w:szCs w:val="21"/>
              </w:rPr>
            </w:pPr>
            <w:r>
              <w:rPr>
                <w:rFonts w:hint="eastAsia"/>
                <w:bCs/>
                <w:kern w:val="0"/>
                <w:szCs w:val="21"/>
              </w:rPr>
              <w:t>优先保护单元。以生态环境保护为主的区域，全市划分优先保护单元17个，主要包括生态保护红线、自然保护地、饮用水水源保护区等。</w:t>
            </w:r>
          </w:p>
          <w:p>
            <w:pPr>
              <w:autoSpaceDE w:val="0"/>
              <w:autoSpaceDN w:val="0"/>
              <w:adjustRightInd w:val="0"/>
              <w:snapToGrid w:val="0"/>
              <w:spacing w:line="400" w:lineRule="exact"/>
              <w:ind w:left="-31" w:leftChars="-15" w:right="-31" w:rightChars="-15" w:firstLine="420" w:firstLineChars="200"/>
              <w:rPr>
                <w:bCs/>
                <w:kern w:val="0"/>
                <w:szCs w:val="21"/>
              </w:rPr>
            </w:pPr>
            <w:r>
              <w:rPr>
                <w:rFonts w:hint="eastAsia"/>
                <w:bCs/>
                <w:kern w:val="0"/>
                <w:szCs w:val="21"/>
              </w:rPr>
              <w:t>重点管控单元。涉及水、大气、土壤、自然资源等资源环境要素重点管控的区域，全市划分重点管控单元22个，主要包括人口密集的城镇规划区和产业集聚的工业园区（工业集聚区）等。</w:t>
            </w:r>
          </w:p>
          <w:p>
            <w:pPr>
              <w:autoSpaceDE w:val="0"/>
              <w:autoSpaceDN w:val="0"/>
              <w:adjustRightInd w:val="0"/>
              <w:snapToGrid w:val="0"/>
              <w:spacing w:line="400" w:lineRule="exact"/>
              <w:ind w:left="-31" w:leftChars="-15" w:right="-31" w:rightChars="-15" w:firstLine="420" w:firstLineChars="200"/>
              <w:rPr>
                <w:bCs/>
                <w:kern w:val="0"/>
                <w:szCs w:val="21"/>
              </w:rPr>
            </w:pPr>
            <w:r>
              <w:rPr>
                <w:rFonts w:hint="eastAsia"/>
                <w:bCs/>
                <w:kern w:val="0"/>
                <w:szCs w:val="21"/>
              </w:rPr>
              <w:t>一般管控单元。除优先保护单元和重点管控单元之外的其他区域，全市共划分一般管控单元7个。</w:t>
            </w:r>
          </w:p>
          <w:p>
            <w:pPr>
              <w:autoSpaceDE w:val="0"/>
              <w:autoSpaceDN w:val="0"/>
              <w:adjustRightInd w:val="0"/>
              <w:snapToGrid w:val="0"/>
              <w:spacing w:line="400" w:lineRule="exact"/>
              <w:ind w:left="-31" w:leftChars="-15" w:right="-31" w:rightChars="-15" w:firstLine="420" w:firstLineChars="200"/>
              <w:rPr>
                <w:bCs/>
                <w:kern w:val="0"/>
                <w:szCs w:val="21"/>
              </w:rPr>
            </w:pPr>
            <w:r>
              <w:rPr>
                <w:rFonts w:hint="eastAsia"/>
                <w:bCs/>
                <w:kern w:val="0"/>
                <w:szCs w:val="21"/>
              </w:rPr>
              <w:t>本项目位于大竹县高明镇同心村9组，属于大竹县要素重点管控单元。项目涉及到环境管控单元4个，涉及到管控单元见下表。</w:t>
            </w:r>
          </w:p>
          <w:p>
            <w:pPr>
              <w:autoSpaceDE w:val="0"/>
              <w:autoSpaceDN w:val="0"/>
              <w:adjustRightInd w:val="0"/>
              <w:snapToGrid w:val="0"/>
              <w:spacing w:line="360" w:lineRule="exact"/>
              <w:jc w:val="center"/>
              <w:rPr>
                <w:rFonts w:eastAsia="黑体"/>
                <w:kern w:val="0"/>
                <w:sz w:val="18"/>
                <w:szCs w:val="18"/>
                <w:lang w:val="zh-CN"/>
              </w:rPr>
            </w:pPr>
          </w:p>
          <w:p>
            <w:pPr>
              <w:autoSpaceDE w:val="0"/>
              <w:autoSpaceDN w:val="0"/>
              <w:adjustRightInd w:val="0"/>
              <w:snapToGrid w:val="0"/>
              <w:spacing w:line="360" w:lineRule="exact"/>
              <w:jc w:val="center"/>
              <w:rPr>
                <w:rFonts w:eastAsia="黑体"/>
                <w:kern w:val="0"/>
                <w:sz w:val="18"/>
                <w:szCs w:val="18"/>
                <w:lang w:val="zh-CN"/>
              </w:rPr>
            </w:pPr>
          </w:p>
          <w:p>
            <w:pPr>
              <w:autoSpaceDE w:val="0"/>
              <w:autoSpaceDN w:val="0"/>
              <w:adjustRightInd w:val="0"/>
              <w:snapToGrid w:val="0"/>
              <w:spacing w:line="360" w:lineRule="exact"/>
              <w:jc w:val="center"/>
              <w:rPr>
                <w:rFonts w:eastAsia="黑体"/>
                <w:kern w:val="0"/>
                <w:sz w:val="18"/>
                <w:szCs w:val="18"/>
              </w:rPr>
            </w:pPr>
            <w:r>
              <w:rPr>
                <w:rFonts w:eastAsia="黑体"/>
                <w:kern w:val="0"/>
                <w:sz w:val="18"/>
                <w:szCs w:val="18"/>
                <w:lang w:val="zh-CN"/>
              </w:rPr>
              <w:t>表</w:t>
            </w:r>
            <w:r>
              <w:rPr>
                <w:rFonts w:hint="eastAsia" w:eastAsia="黑体"/>
                <w:kern w:val="0"/>
                <w:sz w:val="18"/>
                <w:szCs w:val="18"/>
              </w:rPr>
              <w:t xml:space="preserve">1-2  </w:t>
            </w:r>
            <w:r>
              <w:rPr>
                <w:rFonts w:eastAsia="黑体"/>
                <w:kern w:val="0"/>
                <w:sz w:val="18"/>
                <w:szCs w:val="18"/>
                <w:lang w:val="zh-CN"/>
              </w:rPr>
              <w:t>项目涉及到管控单元</w:t>
            </w:r>
            <w:r>
              <w:rPr>
                <w:rFonts w:eastAsia="黑体"/>
                <w:kern w:val="0"/>
                <w:sz w:val="18"/>
                <w:szCs w:val="18"/>
              </w:rPr>
              <w:t>一览表</w:t>
            </w:r>
          </w:p>
          <w:tbl>
            <w:tblPr>
              <w:tblStyle w:val="21"/>
              <w:tblW w:w="6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083"/>
              <w:gridCol w:w="700"/>
              <w:gridCol w:w="709"/>
              <w:gridCol w:w="1418"/>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3" w:type="dxa"/>
                  <w:vAlign w:val="center"/>
                </w:tcPr>
                <w:p>
                  <w:pPr>
                    <w:widowControl/>
                    <w:spacing w:line="280" w:lineRule="exact"/>
                    <w:ind w:left="-53" w:leftChars="-25" w:right="-53" w:rightChars="-25"/>
                    <w:jc w:val="center"/>
                    <w:rPr>
                      <w:rStyle w:val="60"/>
                      <w:rFonts w:ascii="宋体" w:hAnsi="宋体" w:eastAsia="仿宋"/>
                      <w:b/>
                      <w:bCs/>
                      <w:spacing w:val="-4"/>
                      <w:sz w:val="16"/>
                      <w:szCs w:val="21"/>
                    </w:rPr>
                  </w:pPr>
                  <w:r>
                    <w:rPr>
                      <w:rFonts w:hint="eastAsia" w:ascii="宋体" w:hAnsi="宋体"/>
                      <w:b/>
                      <w:bCs/>
                      <w:spacing w:val="-4"/>
                      <w:kern w:val="0"/>
                      <w:sz w:val="16"/>
                      <w:szCs w:val="21"/>
                    </w:rPr>
                    <w:t>环境管控单元编码</w:t>
                  </w:r>
                </w:p>
              </w:tc>
              <w:tc>
                <w:tcPr>
                  <w:tcW w:w="1083" w:type="dxa"/>
                  <w:vAlign w:val="center"/>
                </w:tcPr>
                <w:p>
                  <w:pPr>
                    <w:widowControl/>
                    <w:spacing w:line="280" w:lineRule="exact"/>
                    <w:ind w:left="-53" w:leftChars="-25" w:right="-53" w:rightChars="-25"/>
                    <w:jc w:val="center"/>
                    <w:rPr>
                      <w:rStyle w:val="60"/>
                      <w:rFonts w:ascii="宋体" w:hAnsi="宋体" w:eastAsia="仿宋"/>
                      <w:b/>
                      <w:bCs/>
                      <w:spacing w:val="-4"/>
                      <w:sz w:val="16"/>
                      <w:szCs w:val="21"/>
                    </w:rPr>
                  </w:pPr>
                  <w:r>
                    <w:rPr>
                      <w:rFonts w:hint="eastAsia" w:ascii="宋体" w:hAnsi="宋体"/>
                      <w:b/>
                      <w:bCs/>
                      <w:spacing w:val="-4"/>
                      <w:kern w:val="0"/>
                      <w:sz w:val="16"/>
                      <w:szCs w:val="21"/>
                    </w:rPr>
                    <w:t>环境管控单元名称</w:t>
                  </w:r>
                </w:p>
              </w:tc>
              <w:tc>
                <w:tcPr>
                  <w:tcW w:w="700" w:type="dxa"/>
                  <w:vAlign w:val="center"/>
                </w:tcPr>
                <w:p>
                  <w:pPr>
                    <w:widowControl/>
                    <w:spacing w:line="280" w:lineRule="exact"/>
                    <w:ind w:left="-53" w:leftChars="-25" w:right="-53" w:rightChars="-25"/>
                    <w:jc w:val="center"/>
                    <w:rPr>
                      <w:rStyle w:val="60"/>
                      <w:rFonts w:ascii="宋体" w:hAnsi="宋体" w:eastAsia="仿宋"/>
                      <w:b/>
                      <w:bCs/>
                      <w:spacing w:val="-4"/>
                      <w:sz w:val="16"/>
                      <w:szCs w:val="21"/>
                    </w:rPr>
                  </w:pPr>
                  <w:r>
                    <w:rPr>
                      <w:rFonts w:hint="eastAsia" w:ascii="宋体" w:hAnsi="宋体"/>
                      <w:b/>
                      <w:bCs/>
                      <w:spacing w:val="-4"/>
                      <w:kern w:val="0"/>
                      <w:sz w:val="16"/>
                      <w:szCs w:val="21"/>
                    </w:rPr>
                    <w:t>所属市（州）</w:t>
                  </w:r>
                </w:p>
              </w:tc>
              <w:tc>
                <w:tcPr>
                  <w:tcW w:w="709" w:type="dxa"/>
                  <w:vAlign w:val="center"/>
                </w:tcPr>
                <w:p>
                  <w:pPr>
                    <w:widowControl/>
                    <w:spacing w:line="280" w:lineRule="exact"/>
                    <w:ind w:left="-53" w:leftChars="-25" w:right="-53" w:rightChars="-25"/>
                    <w:jc w:val="center"/>
                    <w:rPr>
                      <w:rStyle w:val="60"/>
                      <w:rFonts w:ascii="宋体" w:hAnsi="宋体" w:eastAsia="仿宋"/>
                      <w:b/>
                      <w:bCs/>
                      <w:spacing w:val="-4"/>
                      <w:sz w:val="16"/>
                      <w:szCs w:val="21"/>
                    </w:rPr>
                  </w:pPr>
                  <w:r>
                    <w:rPr>
                      <w:rFonts w:hint="eastAsia" w:ascii="宋体" w:hAnsi="宋体"/>
                      <w:b/>
                      <w:bCs/>
                      <w:spacing w:val="-4"/>
                      <w:kern w:val="0"/>
                      <w:sz w:val="16"/>
                      <w:szCs w:val="21"/>
                    </w:rPr>
                    <w:t>所属区县</w:t>
                  </w:r>
                </w:p>
              </w:tc>
              <w:tc>
                <w:tcPr>
                  <w:tcW w:w="1418" w:type="dxa"/>
                  <w:vAlign w:val="center"/>
                </w:tcPr>
                <w:p>
                  <w:pPr>
                    <w:widowControl/>
                    <w:spacing w:line="280" w:lineRule="exact"/>
                    <w:ind w:left="-53" w:leftChars="-25" w:right="-53" w:rightChars="-25"/>
                    <w:jc w:val="center"/>
                    <w:rPr>
                      <w:rStyle w:val="60"/>
                      <w:rFonts w:ascii="宋体" w:hAnsi="宋体" w:eastAsia="仿宋"/>
                      <w:b/>
                      <w:bCs/>
                      <w:spacing w:val="-4"/>
                      <w:sz w:val="16"/>
                      <w:szCs w:val="21"/>
                    </w:rPr>
                  </w:pPr>
                  <w:r>
                    <w:rPr>
                      <w:rFonts w:hint="eastAsia" w:ascii="宋体" w:hAnsi="宋体"/>
                      <w:b/>
                      <w:bCs/>
                      <w:spacing w:val="-4"/>
                      <w:kern w:val="0"/>
                      <w:sz w:val="16"/>
                      <w:szCs w:val="21"/>
                    </w:rPr>
                    <w:t>准入清单类型</w:t>
                  </w:r>
                </w:p>
              </w:tc>
              <w:tc>
                <w:tcPr>
                  <w:tcW w:w="1506" w:type="dxa"/>
                  <w:vAlign w:val="center"/>
                </w:tcPr>
                <w:p>
                  <w:pPr>
                    <w:widowControl/>
                    <w:spacing w:line="280" w:lineRule="exact"/>
                    <w:ind w:left="-53" w:leftChars="-25" w:right="-53" w:rightChars="-25"/>
                    <w:jc w:val="center"/>
                    <w:rPr>
                      <w:rStyle w:val="60"/>
                      <w:rFonts w:ascii="宋体" w:hAnsi="宋体" w:eastAsia="仿宋"/>
                      <w:b/>
                      <w:bCs/>
                      <w:spacing w:val="-4"/>
                      <w:sz w:val="16"/>
                      <w:szCs w:val="21"/>
                    </w:rPr>
                  </w:pPr>
                  <w:r>
                    <w:rPr>
                      <w:rFonts w:hint="eastAsia" w:ascii="宋体" w:hAnsi="宋体"/>
                      <w:b/>
                      <w:bCs/>
                      <w:spacing w:val="-4"/>
                      <w:kern w:val="0"/>
                      <w:sz w:val="16"/>
                      <w:szCs w:val="21"/>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1083"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ZH51172420003</w:t>
                  </w:r>
                </w:p>
              </w:tc>
              <w:tc>
                <w:tcPr>
                  <w:tcW w:w="1083"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大竹县要素重点管控单元</w:t>
                  </w:r>
                </w:p>
              </w:tc>
              <w:tc>
                <w:tcPr>
                  <w:tcW w:w="700"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达州市</w:t>
                  </w:r>
                </w:p>
              </w:tc>
              <w:tc>
                <w:tcPr>
                  <w:tcW w:w="709"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大竹县</w:t>
                  </w:r>
                </w:p>
              </w:tc>
              <w:tc>
                <w:tcPr>
                  <w:tcW w:w="1418"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环境管控单元</w:t>
                  </w:r>
                </w:p>
              </w:tc>
              <w:tc>
                <w:tcPr>
                  <w:tcW w:w="1506"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环境综合管控单元要素重点管控单元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3"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YS5117243210002</w:t>
                  </w:r>
                </w:p>
              </w:tc>
              <w:tc>
                <w:tcPr>
                  <w:tcW w:w="1083"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大洪河大竹县岗架大桥控制单元</w:t>
                  </w:r>
                </w:p>
              </w:tc>
              <w:tc>
                <w:tcPr>
                  <w:tcW w:w="700"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达州市</w:t>
                  </w:r>
                </w:p>
              </w:tc>
              <w:tc>
                <w:tcPr>
                  <w:tcW w:w="709"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大竹县</w:t>
                  </w:r>
                </w:p>
              </w:tc>
              <w:tc>
                <w:tcPr>
                  <w:tcW w:w="1418"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水环境管控分区</w:t>
                  </w:r>
                </w:p>
              </w:tc>
              <w:tc>
                <w:tcPr>
                  <w:tcW w:w="1506"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3"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YS5117242330003</w:t>
                  </w:r>
                </w:p>
              </w:tc>
              <w:tc>
                <w:tcPr>
                  <w:tcW w:w="1083"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大竹县大气环境弱扩散重点管控区</w:t>
                  </w:r>
                </w:p>
              </w:tc>
              <w:tc>
                <w:tcPr>
                  <w:tcW w:w="700"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达州市</w:t>
                  </w:r>
                </w:p>
              </w:tc>
              <w:tc>
                <w:tcPr>
                  <w:tcW w:w="709"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大竹县</w:t>
                  </w:r>
                </w:p>
              </w:tc>
              <w:tc>
                <w:tcPr>
                  <w:tcW w:w="1418"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大气环境管控分区</w:t>
                  </w:r>
                </w:p>
              </w:tc>
              <w:tc>
                <w:tcPr>
                  <w:tcW w:w="1506"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大气环境弱扩散重点管控区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3"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YS5117241410005</w:t>
                  </w:r>
                </w:p>
              </w:tc>
              <w:tc>
                <w:tcPr>
                  <w:tcW w:w="1083"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大竹县土壤优先保护区</w:t>
                  </w:r>
                </w:p>
              </w:tc>
              <w:tc>
                <w:tcPr>
                  <w:tcW w:w="700"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达州市</w:t>
                  </w:r>
                </w:p>
              </w:tc>
              <w:tc>
                <w:tcPr>
                  <w:tcW w:w="709"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大竹县</w:t>
                  </w:r>
                </w:p>
              </w:tc>
              <w:tc>
                <w:tcPr>
                  <w:tcW w:w="1418"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土壤污染风险管控分区</w:t>
                  </w:r>
                </w:p>
              </w:tc>
              <w:tc>
                <w:tcPr>
                  <w:tcW w:w="1506" w:type="dxa"/>
                  <w:vAlign w:val="center"/>
                </w:tcPr>
                <w:p>
                  <w:pPr>
                    <w:pStyle w:val="59"/>
                    <w:widowControl/>
                    <w:spacing w:line="280" w:lineRule="exact"/>
                    <w:ind w:left="-53" w:leftChars="-25" w:right="-53" w:rightChars="-25" w:firstLine="0" w:firstLineChars="0"/>
                    <w:jc w:val="center"/>
                    <w:rPr>
                      <w:rStyle w:val="60"/>
                      <w:rFonts w:ascii="宋体" w:hAnsi="宋体" w:cs="Times New Roman"/>
                      <w:spacing w:val="-4"/>
                      <w:sz w:val="16"/>
                    </w:rPr>
                  </w:pPr>
                  <w:r>
                    <w:rPr>
                      <w:rStyle w:val="60"/>
                      <w:rFonts w:hint="eastAsia" w:ascii="宋体" w:hAnsi="宋体" w:eastAsia="宋体"/>
                      <w:spacing w:val="-4"/>
                      <w:sz w:val="16"/>
                    </w:rPr>
                    <w:t>农用地优先保护区</w:t>
                  </w:r>
                </w:p>
              </w:tc>
            </w:tr>
          </w:tbl>
          <w:p>
            <w:pPr>
              <w:autoSpaceDE w:val="0"/>
              <w:autoSpaceDN w:val="0"/>
              <w:adjustRightInd w:val="0"/>
              <w:snapToGrid w:val="0"/>
              <w:spacing w:line="400" w:lineRule="exact"/>
              <w:ind w:left="-31" w:leftChars="-15" w:right="-31" w:rightChars="-15" w:firstLine="422" w:firstLineChars="200"/>
              <w:rPr>
                <w:b/>
                <w:bCs/>
                <w:kern w:val="0"/>
                <w:szCs w:val="21"/>
              </w:rPr>
            </w:pPr>
            <w:r>
              <w:rPr>
                <w:rFonts w:hint="eastAsia"/>
                <w:b/>
                <w:bCs/>
                <w:kern w:val="0"/>
                <w:szCs w:val="21"/>
              </w:rPr>
              <w:t>项目与环境综合管控单元位置关系图如下：</w:t>
            </w:r>
          </w:p>
          <w:p>
            <w:r>
              <w:rPr>
                <w:b/>
                <w:bCs/>
                <w:kern w:val="0"/>
                <w:szCs w:val="21"/>
              </w:rPr>
              <w:pict>
                <v:shape id="文本框 92" o:spid="_x0000_s1031" o:spt="202" type="#_x0000_t202" style="position:absolute;left:0pt;margin-left:113.5pt;margin-top:148.5pt;height:19.15pt;width:44.55pt;z-index:2516858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">
                  <v:path/>
                  <v:fill on="f" focussize="0,0"/>
                  <v:stroke on="f" weight="0.5pt" joinstyle="miter"/>
                  <v:imagedata o:title=""/>
                  <o:lock v:ext="edit"/>
                  <v:textbox>
                    <w:txbxContent>
                      <w:p>
                        <w:pPr>
                          <w:jc w:val="center"/>
                          <w:rPr>
                            <w:b/>
                            <w:color w:val="0000FF"/>
                            <w:sz w:val="18"/>
                          </w:rPr>
                        </w:pPr>
                        <w:r>
                          <w:rPr>
                            <w:rFonts w:hint="eastAsia"/>
                            <w:b/>
                            <w:color w:val="0000FF"/>
                            <w:sz w:val="18"/>
                          </w:rPr>
                          <w:t>项目区</w:t>
                        </w:r>
                      </w:p>
                    </w:txbxContent>
                  </v:textbox>
                </v:shape>
              </w:pict>
            </w:r>
            <w:r>
              <w:pict>
                <v:line id="_x0000_s1032" o:spid="_x0000_s1032" o:spt="20" style="position:absolute;left:0pt;flip:y;margin-left:105.9pt;margin-top:164.35pt;height:0pt;width:56.95pt;z-index:251684864;mso-width-relative:page;mso-height-relative:page;" stroked="t" coordsize="21600,21600" o:gfxdata="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f4i/dkAAAAL&#10;AQAADwAAAAAAAAABACAAAAAiAAAAZHJzL2Rvd25yZXYueG1sUEsBAhQAFAAAAAgAh07iQAHLWbTi&#10;AQAApgMAAA4AAAAAAAAAAQAgAAAAKAEAAGRycy9lMm9Eb2MueG1sUEsFBgAAAAAGAAYAWQEAAHwF&#10;AAAAAA==&#10;">
                  <v:path arrowok="t"/>
                  <v:fill focussize="0,0"/>
                  <v:stroke weight="1pt" color="#0000FF"/>
                  <v:imagedata o:title=""/>
                  <o:lock v:ext="edit"/>
                </v:line>
              </w:pict>
            </w:r>
            <w:r>
              <w:pict>
                <v:line id="_x0000_s1033" o:spid="_x0000_s1033" o:spt="20" style="position:absolute;left:0pt;flip:x;margin-left:162.8pt;margin-top:124.2pt;height:40.25pt;width:28.95pt;z-index:251683840;mso-width-relative:page;mso-height-relative:page;" stroked="t" coordsize="21600,21600" o:gfxdata="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g3Bm2wAAAAsB&#10;AAAPAAAAAAAAAAEAIAAAACIAAABkcnMvZG93bnJldi54bWxQSwECFAAUAAAACACHTuJAHAs2j98B&#10;AAChAwAADgAAAAAAAAABACAAAAAqAQAAZHJzL2Uyb0RvYy54bWxQSwUGAAAAAAYABgBZAQAAewUA&#10;AAAA&#10;">
                  <v:path arrowok="t"/>
                  <v:fill focussize="0,0"/>
                  <v:stroke weight="1pt" color="#0000FF"/>
                  <v:imagedata o:title=""/>
                  <o:lock v:ext="edit"/>
                </v:line>
              </w:pict>
            </w:r>
            <w:r>
              <w:drawing>
                <wp:inline distT="0" distB="0" distL="0" distR="0">
                  <wp:extent cx="4026535" cy="2414270"/>
                  <wp:effectExtent l="19050" t="0" r="0" b="0"/>
                  <wp:docPr id="5" name="图片 1" descr="C:\Users\ADMINI~1.SC-\AppData\Local\Temp\ksohtml518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1.SC-\AppData\Local\Temp\ksohtml5188\wps1.jpg"/>
                          <pic:cNvPicPr>
                            <a:picLocks noChangeAspect="1" noChangeArrowheads="1"/>
                          </pic:cNvPicPr>
                        </pic:nvPicPr>
                        <pic:blipFill>
                          <a:blip r:embed="rId7"/>
                          <a:srcRect/>
                          <a:stretch>
                            <a:fillRect/>
                          </a:stretch>
                        </pic:blipFill>
                        <pic:spPr>
                          <a:xfrm>
                            <a:off x="0" y="0"/>
                            <a:ext cx="4027117" cy="2415145"/>
                          </a:xfrm>
                          <a:prstGeom prst="rect">
                            <a:avLst/>
                          </a:prstGeom>
                          <a:noFill/>
                          <a:ln w="9525">
                            <a:noFill/>
                            <a:miter lim="800000"/>
                            <a:headEnd/>
                            <a:tailEnd/>
                          </a:ln>
                        </pic:spPr>
                      </pic:pic>
                    </a:graphicData>
                  </a:graphic>
                </wp:inline>
              </w:drawing>
            </w:r>
          </w:p>
          <w:p>
            <w:r>
              <w:rPr>
                <w:b/>
                <w:bCs/>
                <w:kern w:val="0"/>
                <w:szCs w:val="21"/>
              </w:rPr>
              <w:pict>
                <v:shape id="文本框 70" o:spid="_x0000_s1034" o:spt="202" type="#_x0000_t202" style="position:absolute;left:0pt;margin-left:-2.2pt;margin-top:2.4pt;height:19.15pt;width:330.1pt;z-index:251681792;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">
                  <v:path/>
                  <v:fill focussize="0,0"/>
                  <v:stroke on="f" weight="0.5pt" joinstyle="miter"/>
                  <v:imagedata o:title=""/>
                  <o:lock v:ext="edit"/>
                  <v:textbox>
                    <w:txbxContent>
                      <w:p>
                        <w:pPr>
                          <w:jc w:val="center"/>
                          <w:rPr>
                            <w:b/>
                            <w:sz w:val="18"/>
                          </w:rPr>
                        </w:pPr>
                        <w:r>
                          <w:rPr>
                            <w:rFonts w:hint="eastAsia"/>
                            <w:b/>
                            <w:sz w:val="18"/>
                          </w:rPr>
                          <w:t>图1-2  项目与环境综合管控单元位置关系图</w:t>
                        </w:r>
                      </w:p>
                    </w:txbxContent>
                  </v:textbox>
                </v:shape>
              </w:pict>
            </w:r>
          </w:p>
          <w:p>
            <w:pPr>
              <w:autoSpaceDE w:val="0"/>
              <w:autoSpaceDN w:val="0"/>
              <w:adjustRightInd w:val="0"/>
              <w:snapToGrid w:val="0"/>
              <w:jc w:val="center"/>
              <w:rPr>
                <w:b/>
                <w:bCs/>
                <w:kern w:val="0"/>
                <w:szCs w:val="21"/>
              </w:rPr>
            </w:pPr>
          </w:p>
          <w:p>
            <w:pPr>
              <w:autoSpaceDE w:val="0"/>
              <w:autoSpaceDN w:val="0"/>
              <w:adjustRightInd w:val="0"/>
              <w:snapToGrid w:val="0"/>
              <w:spacing w:line="400" w:lineRule="exact"/>
              <w:ind w:left="-31" w:leftChars="-15" w:right="-31" w:rightChars="-15" w:firstLine="422" w:firstLineChars="200"/>
              <w:rPr>
                <w:b/>
                <w:bCs/>
                <w:kern w:val="0"/>
                <w:szCs w:val="21"/>
              </w:rPr>
            </w:pPr>
            <w:r>
              <w:rPr>
                <w:rFonts w:hint="eastAsia"/>
                <w:b/>
                <w:bCs/>
                <w:kern w:val="0"/>
                <w:szCs w:val="21"/>
              </w:rPr>
              <w:t>综上，本项目所在区域属于要素重点管控单元，不在饮用水源保护区、自然保护区、风景名胜区、湿地公园、地质公园等各类生态保护红线范围内。</w:t>
            </w:r>
          </w:p>
          <w:p>
            <w:pPr>
              <w:autoSpaceDE w:val="0"/>
              <w:autoSpaceDN w:val="0"/>
              <w:adjustRightInd w:val="0"/>
              <w:snapToGrid w:val="0"/>
              <w:spacing w:line="400" w:lineRule="exact"/>
              <w:ind w:left="-31" w:leftChars="-15" w:right="-31" w:rightChars="-15" w:firstLine="422" w:firstLineChars="200"/>
              <w:rPr>
                <w:b/>
                <w:bCs/>
                <w:kern w:val="0"/>
                <w:szCs w:val="21"/>
              </w:rPr>
            </w:pPr>
            <w:r>
              <w:rPr>
                <w:rFonts w:hint="eastAsia"/>
                <w:b/>
                <w:bCs/>
                <w:kern w:val="0"/>
                <w:szCs w:val="21"/>
              </w:rPr>
              <w:t>（3）与“川环办函〔2021〕469号”的符合性</w:t>
            </w:r>
          </w:p>
          <w:p>
            <w:pPr>
              <w:autoSpaceDE w:val="0"/>
              <w:autoSpaceDN w:val="0"/>
              <w:adjustRightInd w:val="0"/>
              <w:snapToGrid w:val="0"/>
              <w:spacing w:line="400" w:lineRule="exact"/>
              <w:ind w:left="-31" w:leftChars="-15" w:right="-31" w:rightChars="-15" w:firstLine="420" w:firstLineChars="200"/>
              <w:rPr>
                <w:bCs/>
                <w:kern w:val="0"/>
                <w:szCs w:val="21"/>
              </w:rPr>
            </w:pPr>
            <w:r>
              <w:rPr>
                <w:rFonts w:hint="eastAsia"/>
                <w:bCs/>
                <w:kern w:val="0"/>
                <w:szCs w:val="21"/>
              </w:rPr>
              <w:t>根据四川省生态环境厅办公室《关于印发《产业园区规划环评“三线一单”符合性分析技术要点(试行)》和《项目环评“三线一单”符合性分析技术要点(试行)》的通知》（川环办函〔2021〕469号），本项目属于位于园区外的污染影响类建设项目，“三线一单”分析重点为空间符合性分析和管控要求符合性分析。</w:t>
            </w:r>
          </w:p>
          <w:p>
            <w:pPr>
              <w:autoSpaceDE w:val="0"/>
              <w:autoSpaceDN w:val="0"/>
              <w:adjustRightInd w:val="0"/>
              <w:snapToGrid w:val="0"/>
              <w:spacing w:line="400" w:lineRule="exact"/>
              <w:ind w:left="-31" w:leftChars="-15" w:right="-31" w:rightChars="-15" w:firstLine="422" w:firstLineChars="200"/>
              <w:rPr>
                <w:b/>
                <w:bCs/>
                <w:kern w:val="0"/>
                <w:szCs w:val="21"/>
              </w:rPr>
            </w:pPr>
            <w:r>
              <w:rPr>
                <w:rFonts w:hint="eastAsia"/>
                <w:b/>
                <w:bCs/>
                <w:kern w:val="0"/>
                <w:szCs w:val="21"/>
              </w:rPr>
              <w:t>（4）空间符合性分析和管控要求符合性分析</w:t>
            </w:r>
          </w:p>
          <w:p>
            <w:pPr>
              <w:pStyle w:val="14"/>
              <w:spacing w:after="0" w:line="100" w:lineRule="exact"/>
            </w:pPr>
          </w:p>
          <w:p>
            <w:pPr>
              <w:pStyle w:val="14"/>
              <w:spacing w:after="0" w:line="100" w:lineRule="exact"/>
            </w:pPr>
          </w:p>
          <w:p>
            <w:pPr>
              <w:pStyle w:val="14"/>
              <w:spacing w:after="0" w:line="100" w:lineRule="exact"/>
            </w:pPr>
          </w:p>
          <w:p>
            <w:pPr>
              <w:pStyle w:val="14"/>
              <w:spacing w:after="0" w:line="100" w:lineRule="exact"/>
            </w:pPr>
          </w:p>
          <w:p>
            <w:pPr>
              <w:pStyle w:val="14"/>
              <w:spacing w:after="0" w:line="100" w:lineRule="exact"/>
            </w:pPr>
          </w:p>
          <w:p>
            <w:pPr>
              <w:pStyle w:val="14"/>
              <w:spacing w:after="0" w:line="100" w:lineRule="exact"/>
            </w:pPr>
          </w:p>
          <w:p>
            <w:pPr>
              <w:pStyle w:val="14"/>
              <w:spacing w:after="0" w:line="100" w:lineRule="exact"/>
            </w:pPr>
          </w:p>
          <w:p>
            <w:pPr>
              <w:pStyle w:val="14"/>
              <w:spacing w:after="0" w:line="100" w:lineRule="exact"/>
            </w:pPr>
          </w:p>
          <w:p>
            <w:pPr>
              <w:pStyle w:val="14"/>
              <w:spacing w:after="0" w:line="100" w:lineRule="exact"/>
            </w:pPr>
          </w:p>
        </w:tc>
      </w:tr>
    </w:tbl>
    <w:p>
      <w:pPr>
        <w:widowControl/>
        <w:spacing w:line="20" w:lineRule="exact"/>
        <w:jc w:val="left"/>
        <w:rPr>
          <w:rFonts w:eastAsia="黑体"/>
          <w:sz w:val="30"/>
        </w:rPr>
        <w:sectPr>
          <w:footerReference r:id="rId4" w:type="default"/>
          <w:pgSz w:w="11906" w:h="16838"/>
          <w:pgMar w:top="1701" w:right="1531" w:bottom="1701" w:left="1531" w:header="851" w:footer="1077" w:gutter="0"/>
          <w:pgNumType w:fmt="numberInDash" w:start="1"/>
          <w:cols w:space="720" w:num="1"/>
        </w:sectPr>
      </w:pPr>
    </w:p>
    <w:tbl>
      <w:tblPr>
        <w:tblStyle w:val="21"/>
        <w:tblW w:w="134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14" w:hRule="atLeast"/>
          <w:jc w:val="center"/>
        </w:trPr>
        <w:tc>
          <w:tcPr>
            <w:tcW w:w="1115" w:type="dxa"/>
          </w:tcPr>
          <w:p>
            <w:pPr>
              <w:widowControl/>
              <w:spacing w:line="400" w:lineRule="exact"/>
              <w:jc w:val="left"/>
              <w:rPr>
                <w:rFonts w:eastAsia="黑体"/>
                <w:sz w:val="30"/>
              </w:rPr>
            </w:pPr>
          </w:p>
        </w:tc>
        <w:tc>
          <w:tcPr>
            <w:tcW w:w="12294" w:type="dxa"/>
          </w:tcPr>
          <w:tbl>
            <w:tblPr>
              <w:tblStyle w:val="20"/>
              <w:tblpPr w:leftFromText="180" w:rightFromText="180" w:vertAnchor="text" w:horzAnchor="page" w:tblpX="105" w:tblpY="400"/>
              <w:tblOverlap w:val="never"/>
              <w:tblW w:w="120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95"/>
              <w:gridCol w:w="689"/>
              <w:gridCol w:w="772"/>
              <w:gridCol w:w="6520"/>
              <w:gridCol w:w="1719"/>
              <w:gridCol w:w="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3" w:hRule="atLeast"/>
              </w:trPr>
              <w:tc>
                <w:tcPr>
                  <w:tcW w:w="12073" w:type="dxa"/>
                  <w:gridSpan w:val="6"/>
                  <w:tcBorders>
                    <w:top w:val="nil"/>
                    <w:left w:val="single" w:color="auto" w:sz="4" w:space="0"/>
                    <w:bottom w:val="single" w:color="auto" w:sz="4" w:space="0"/>
                    <w:right w:val="nil"/>
                  </w:tcBorders>
                  <w:vAlign w:val="center"/>
                </w:tcPr>
                <w:p>
                  <w:pPr>
                    <w:spacing w:line="320" w:lineRule="exact"/>
                    <w:jc w:val="center"/>
                    <w:rPr>
                      <w:rFonts w:asciiTheme="minorEastAsia" w:hAnsiTheme="minorEastAsia" w:eastAsiaTheme="minorEastAsia"/>
                      <w:b/>
                      <w:bCs/>
                      <w:sz w:val="18"/>
                      <w:szCs w:val="18"/>
                    </w:rPr>
                  </w:pPr>
                  <w:r>
                    <w:rPr>
                      <w:rFonts w:hint="eastAsia" w:ascii="黑体" w:hAnsi="黑体" w:eastAsia="黑体" w:cs="黑体"/>
                      <w:kern w:val="0"/>
                      <w:sz w:val="18"/>
                      <w:szCs w:val="21"/>
                    </w:rPr>
                    <w:t>表1-3     项目与生态环境准入清单的符合性分析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3" w:hRule="atLeast"/>
              </w:trPr>
              <w:tc>
                <w:tcPr>
                  <w:tcW w:w="9776"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“三线一单”的具体要求</w:t>
                  </w:r>
                </w:p>
              </w:tc>
              <w:tc>
                <w:tcPr>
                  <w:tcW w:w="1719" w:type="dxa"/>
                  <w:vMerge w:val="restart"/>
                  <w:tcBorders>
                    <w:top w:val="single" w:color="auto" w:sz="4" w:space="0"/>
                    <w:left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asciiTheme="minorEastAsia" w:hAnsiTheme="minorEastAsia" w:eastAsiaTheme="minorEastAsia"/>
                      <w:b/>
                      <w:bCs/>
                      <w:sz w:val="18"/>
                      <w:szCs w:val="18"/>
                    </w:rPr>
                    <w:t>本项目情况</w:t>
                  </w:r>
                </w:p>
              </w:tc>
              <w:tc>
                <w:tcPr>
                  <w:tcW w:w="578" w:type="dxa"/>
                  <w:vMerge w:val="restart"/>
                  <w:tcBorders>
                    <w:top w:val="single" w:color="auto" w:sz="4" w:space="0"/>
                    <w:left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asciiTheme="minorEastAsia" w:hAnsiTheme="minorEastAsia" w:eastAsiaTheme="minorEastAsia"/>
                      <w:b/>
                      <w:bCs/>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3" w:hRule="atLeast"/>
              </w:trPr>
              <w:tc>
                <w:tcPr>
                  <w:tcW w:w="3256"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类别</w:t>
                  </w:r>
                </w:p>
              </w:tc>
              <w:tc>
                <w:tcPr>
                  <w:tcW w:w="652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对应</w:t>
                  </w:r>
                  <w:r>
                    <w:rPr>
                      <w:rFonts w:asciiTheme="minorEastAsia" w:hAnsiTheme="minorEastAsia" w:eastAsiaTheme="minorEastAsia"/>
                      <w:b/>
                      <w:bCs/>
                      <w:sz w:val="18"/>
                      <w:szCs w:val="18"/>
                    </w:rPr>
                    <w:t>管控要求</w:t>
                  </w:r>
                </w:p>
              </w:tc>
              <w:tc>
                <w:tcPr>
                  <w:tcW w:w="17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5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heme="minorEastAsia" w:hAnsiTheme="minorEastAsia" w:eastAsiaTheme="minorEastAsia"/>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53" w:hRule="atLeast"/>
              </w:trPr>
              <w:tc>
                <w:tcPr>
                  <w:tcW w:w="1795" w:type="dxa"/>
                  <w:vMerge w:val="restart"/>
                  <w:tcBorders>
                    <w:top w:val="nil"/>
                    <w:left w:val="single" w:color="auto" w:sz="4" w:space="0"/>
                    <w:bottom w:val="single" w:color="auto" w:sz="4" w:space="0"/>
                    <w:right w:val="single" w:color="auto" w:sz="4" w:space="0"/>
                  </w:tcBorders>
                  <w:vAlign w:val="center"/>
                </w:tcPr>
                <w:p>
                  <w:pPr>
                    <w:pStyle w:val="63"/>
                    <w:widowControl/>
                    <w:spacing w:line="240" w:lineRule="exact"/>
                    <w:ind w:firstLine="0" w:firstLineChars="0"/>
                    <w:jc w:val="center"/>
                    <w:rPr>
                      <w:rFonts w:asciiTheme="minorEastAsia" w:hAnsiTheme="minorEastAsia" w:eastAsiaTheme="minorEastAsia"/>
                      <w:b/>
                      <w:bCs/>
                      <w:sz w:val="18"/>
                      <w:szCs w:val="18"/>
                    </w:rPr>
                  </w:pPr>
                  <w:r>
                    <w:rPr>
                      <w:rFonts w:hint="eastAsia" w:ascii="宋体" w:hAnsi="宋体" w:eastAsia="宋体"/>
                      <w:sz w:val="18"/>
                      <w:szCs w:val="18"/>
                    </w:rPr>
                    <w:t>ZH51172420003、大竹县要素重点管控单元、</w:t>
                  </w:r>
                </w:p>
              </w:tc>
              <w:tc>
                <w:tcPr>
                  <w:tcW w:w="689"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达州市普适性清单管控要求</w:t>
                  </w: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空间布局约束</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widowControl w:val="0"/>
                    <w:spacing w:before="0" w:beforeAutospacing="0" w:after="0" w:afterAutospacing="0" w:line="240" w:lineRule="exact"/>
                    <w:jc w:val="both"/>
                    <w:rPr>
                      <w:rFonts w:cs="宋体"/>
                      <w:b/>
                      <w:bCs/>
                      <w:kern w:val="0"/>
                      <w:sz w:val="18"/>
                      <w:szCs w:val="18"/>
                    </w:rPr>
                  </w:pPr>
                  <w:r>
                    <w:rPr>
                      <w:rFonts w:hint="eastAsia" w:cs="宋体"/>
                      <w:b/>
                      <w:bCs/>
                      <w:kern w:val="0"/>
                      <w:sz w:val="18"/>
                      <w:szCs w:val="18"/>
                    </w:rPr>
                    <w:t>禁止开发建设活动的要求</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禁止在法律法规规定的禁采区内新建矿山；禁止土法采、选、冶严重污染环境的矿产资源。-涉及永久基本农田的区域，除法律规定的重点建设项目选址确实无法避让外，其他任何建设不得占用。-禁止在长江流域河湖管理范围内倾倒、填埋、堆放、弃置、处理固体废物。</w:t>
                  </w:r>
                </w:p>
                <w:p>
                  <w:pPr>
                    <w:pStyle w:val="18"/>
                    <w:widowControl w:val="0"/>
                    <w:spacing w:before="0" w:beforeAutospacing="0" w:after="0" w:afterAutospacing="0" w:line="240" w:lineRule="exact"/>
                    <w:jc w:val="both"/>
                    <w:rPr>
                      <w:rFonts w:cs="宋体"/>
                      <w:b/>
                      <w:bCs/>
                      <w:kern w:val="0"/>
                      <w:sz w:val="18"/>
                      <w:szCs w:val="18"/>
                    </w:rPr>
                  </w:pPr>
                  <w:r>
                    <w:rPr>
                      <w:rFonts w:hint="eastAsia" w:cs="宋体"/>
                      <w:b/>
                      <w:bCs/>
                      <w:kern w:val="0"/>
                      <w:sz w:val="18"/>
                      <w:szCs w:val="18"/>
                    </w:rPr>
                    <w:t>限制开发建设活动的要求</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水环境城镇污染、工业污染、农业污染重点管控区内，应严格限制布设以电力、钢铁、造纸、石化、化工、印染、化纤等高耗水行业为主导产业的园区；严格项目引入政策，严控新建造纸、屠宰、用排水量大的农副产品加工企业等以水污染为主的企业。</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大气环境布局敏感区应严格限制布设以钢铁、建材、石化、化工、有色等高污染行业为主导产业的园区，大气环境弱扩散区谨慎布局垃圾发电、危废焚烧等以大气污染为主的企业；严格项目引入政策，严控新建水泥厂、危废焚烧、砖瓦厂、陶瓷厂、混凝土及制品等以大气污染为主的企业。-按照相关要求严控水泥新增产能。-严控在长江及主要支流岸线1公里范围内新建石油化工、煤化工、涉磷、造纸、印染、制革等项目。-现有工业企业不得新增污染物排放。-禁止在长江干流岸线三公里范围内和重要支流岸线一公里范围内新建、改建、扩建尾矿库；但是以提升安全、生态环境保护水平为目的的改建除外。</w:t>
                  </w:r>
                </w:p>
                <w:p>
                  <w:pPr>
                    <w:pStyle w:val="18"/>
                    <w:widowControl w:val="0"/>
                    <w:spacing w:before="0" w:beforeAutospacing="0" w:after="0" w:afterAutospacing="0" w:line="240" w:lineRule="exact"/>
                    <w:jc w:val="both"/>
                    <w:rPr>
                      <w:rFonts w:cs="宋体"/>
                      <w:b/>
                      <w:bCs/>
                      <w:kern w:val="0"/>
                      <w:sz w:val="18"/>
                      <w:szCs w:val="18"/>
                    </w:rPr>
                  </w:pPr>
                  <w:r>
                    <w:rPr>
                      <w:rFonts w:hint="eastAsia" w:cs="宋体"/>
                      <w:b/>
                      <w:bCs/>
                      <w:kern w:val="0"/>
                      <w:sz w:val="18"/>
                      <w:szCs w:val="18"/>
                    </w:rPr>
                    <w:t>不符合空间布局要求活动的退出要求</w:t>
                  </w:r>
                </w:p>
                <w:p>
                  <w:pPr>
                    <w:pStyle w:val="18"/>
                    <w:widowControl w:val="0"/>
                    <w:spacing w:before="0" w:beforeAutospacing="0" w:after="0" w:afterAutospacing="0" w:line="240" w:lineRule="exact"/>
                    <w:rPr>
                      <w:rFonts w:cs="宋体"/>
                      <w:kern w:val="0"/>
                      <w:sz w:val="18"/>
                      <w:szCs w:val="18"/>
                    </w:rPr>
                  </w:pPr>
                  <w:r>
                    <w:rPr>
                      <w:rFonts w:hint="eastAsia" w:cs="宋体"/>
                      <w:kern w:val="0"/>
                      <w:sz w:val="18"/>
                      <w:szCs w:val="18"/>
                    </w:rPr>
                    <w:t>全面取缔禁养区内规模化畜禽养殖场。-现有工业企业限期有序退城入园。不断优化长江经济带化工行业空间布局，有效控制化工污染。推进化工企业搬迁入园，加强化工园区基础设施建设。2025年全面完成全域内“散乱污”企业整治工作。针对现有水泥企业，强化污染治理和污染物减排，依法依规整治或搬迁。对违反资源环境法律法规、规划，污染环境、破坏生态、乱采烂挖的露天矿山，依法予以关闭；对污染治理不规范的露天矿山，依法责令停产整治。对责任主体灭失的露天矿山，加强修复绿化、减尘抑尘。加强矸石山治理。关闭不合理开发的小矿山。在全市范围深入开展集中整治“散乱污”工业企业，对不符合产业政策和规划布局的，一律责令停产、限期搬迁或关停；</w:t>
                  </w:r>
                </w:p>
                <w:p>
                  <w:pPr>
                    <w:pStyle w:val="18"/>
                    <w:widowControl w:val="0"/>
                    <w:spacing w:before="0" w:beforeAutospacing="0" w:after="0" w:afterAutospacing="0" w:line="240" w:lineRule="exact"/>
                    <w:jc w:val="both"/>
                    <w:rPr>
                      <w:rFonts w:cs="宋体"/>
                      <w:b/>
                      <w:bCs/>
                      <w:kern w:val="0"/>
                      <w:sz w:val="18"/>
                      <w:szCs w:val="18"/>
                    </w:rPr>
                  </w:pPr>
                  <w:r>
                    <w:rPr>
                      <w:rFonts w:hint="eastAsia" w:cs="宋体"/>
                      <w:b/>
                      <w:bCs/>
                      <w:kern w:val="0"/>
                      <w:sz w:val="18"/>
                      <w:szCs w:val="18"/>
                    </w:rPr>
                    <w:t>其他空间布局约束要求</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允许开发建设活动的要求：在不损害生态系统功能的前提下，适度发展旅游、农林牧产品生产和加工、生态农业、休闲农业等产业。</w:t>
                  </w:r>
                </w:p>
                <w:p>
                  <w:pPr>
                    <w:widowControl/>
                    <w:spacing w:line="240" w:lineRule="exact"/>
                    <w:jc w:val="left"/>
                    <w:rPr>
                      <w:rFonts w:asciiTheme="minorEastAsia" w:hAnsiTheme="minorEastAsia" w:eastAsiaTheme="minorEastAsia"/>
                      <w:b/>
                      <w:bCs/>
                      <w:sz w:val="18"/>
                      <w:szCs w:val="18"/>
                    </w:rPr>
                  </w:pPr>
                  <w:r>
                    <w:rPr>
                      <w:rFonts w:hint="eastAsia" w:ascii="宋体" w:hAnsi="宋体" w:cs="宋体"/>
                      <w:sz w:val="18"/>
                      <w:szCs w:val="18"/>
                    </w:rPr>
                    <w:t>除保护区外开展林下种养殖业。</w:t>
                  </w:r>
                </w:p>
              </w:tc>
              <w:tc>
                <w:tcPr>
                  <w:tcW w:w="1719"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1.本项目位于大竹县高明镇同心村，为污泥综合利用项目，不属于矿山开采项目，占地区域也不属于永久基本农田。</w:t>
                  </w:r>
                </w:p>
                <w:p>
                  <w:pPr>
                    <w:spacing w:line="24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2.本项目位于水环境一般管控区，不属于以水污染为主的企业。</w:t>
                  </w:r>
                </w:p>
                <w:p>
                  <w:pPr>
                    <w:spacing w:line="240" w:lineRule="exact"/>
                    <w:rPr>
                      <w:rFonts w:cs="宋体"/>
                      <w:kern w:val="0"/>
                      <w:sz w:val="18"/>
                      <w:szCs w:val="18"/>
                    </w:rPr>
                  </w:pPr>
                  <w:r>
                    <w:rPr>
                      <w:rFonts w:hint="eastAsia" w:asciiTheme="minorEastAsia" w:hAnsiTheme="minorEastAsia" w:eastAsiaTheme="minorEastAsia"/>
                      <w:sz w:val="18"/>
                      <w:szCs w:val="18"/>
                    </w:rPr>
                    <w:t>3.项目位于</w:t>
                  </w:r>
                  <w:r>
                    <w:rPr>
                      <w:rFonts w:hint="eastAsia" w:cs="宋体"/>
                      <w:kern w:val="0"/>
                      <w:sz w:val="18"/>
                      <w:szCs w:val="18"/>
                    </w:rPr>
                    <w:t>大气环境弱扩散重点管控区，项目属于利用现有新型烧结砖生产线实现污泥综合利用项目，对大气环境影响较小。</w:t>
                  </w:r>
                </w:p>
                <w:p>
                  <w:pPr>
                    <w:spacing w:line="240" w:lineRule="exact"/>
                  </w:pPr>
                  <w:r>
                    <w:rPr>
                      <w:rFonts w:hint="eastAsia" w:cs="宋体"/>
                      <w:kern w:val="0"/>
                      <w:sz w:val="18"/>
                      <w:szCs w:val="18"/>
                    </w:rPr>
                    <w:t>4.本项目符合空间布局要求。</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3" w:hRule="atLeast"/>
              </w:trPr>
              <w:tc>
                <w:tcPr>
                  <w:tcW w:w="179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b/>
                      <w:bCs/>
                      <w:sz w:val="18"/>
                      <w:szCs w:val="18"/>
                    </w:rPr>
                    <w:t>污染物排放管控</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允许排放量要求，暂无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现有源提标升级改造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加快现有乡镇污水处理设施升级改造，按要求达《城镇污水处理厂污染物排放标准》一级A标后排放。</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-在矿产资源开发活动集中区域，废水执行重金属污染物排放特别限值.</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-火电、水泥、钢铁等行业按相关要求推进大气污染物超低排放和深度治理。</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-砖瓦行业实施脱硫、除尘升级改造，污染物排放达到《砖瓦工业大气污染物排放标准》相关要求。</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其他污染物排放管控要求</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新增源等量或倍量替代:上一年度水环境质量未完成目标的，新建排放水污染的建设项目按照总量管控要求进行倍量削减替代。</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-上一年度空气质量年平均浓度不达标的城市，建设项目新增相关污染物按照总量管控要求进行倍量削减替代。</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-大气环境重点管控区内，新增大气污染物排放的建设项目实施总量削减替代.污染物排放绩效水平准入要求:屠宰项目必须配套污水处理设施或进入城市污水管网。</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大气环境重点管控区内加强“高架源”污染治理，深化施工扬尘监管，严格落实“六必须、六不准”管控要求，强化道路施工管控，提高道路清扫机械化和精细化作业水平。-到2023年底，力争全市生活垃圾焚烧处理能力占比达60%以上，各县（市）生活垃圾无害化处理率保持95%以上，乡镇及行政村生活垃圾收转运处置体系基本实现全覆盖。-到2025年，农药包装废弃物回收率达80%；粮油绿色高质高效示范区、茶叶主产区和现代农业园区农药包装废弃物回收率100%。</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-到2025年，全国主要农作物化肥、农药利用率达43%，测土配方施肥技术推广覆盖率保持在90%以上，控制农村面源污染，采取灌排分离等措施控制农田氮磷流失。</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-到2025年，废旧农膜回收利用率达到85%以上。</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2025年：全市水环境质量总体保持优良。纳入国家及省级考核的监测断面优良（达到或优于Ⅲ类）比例保持达100%；32个水环境控制单元水质达到或优于Ⅲ类比例保持为100%；国省重要江河湖泊水功能区达标率保持为100%；地级县级集中式饮用水水源水质达到或优于Ⅲ类比例保持为100%；乡镇集中式饮用水水源水质达到或优于Ⅲ类比例保持为98%；城镇建成区无黑臭水体。</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2035年：全市水环境质量总体保持优良。纳入国家及省级考核的监测断面优良（达到或优于Ⅲ类）比例保持为100%；32个水环境控制单元水质达到或优于Ⅲ类比例达到100%；国省重要江河湖泊水功能区达标率保持为100%；地级、县级、乡镇集中式饮用水水源水质达到或优于Ⅲ类比例保持为100%；国省重要江河湖泊水功能区达标率保持为100%；城乡无黑臭水体。</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以州河、铜钵河、明月江、东柳河、双龙河、魏家河（洞耳河）、平滩河（观音河）、石桥河、任市河等农业面源污染较突出的流域为重点，深入推进化肥、农药零增长行动，推广测土配方施肥技术，开展化肥减量增效示范和果菜茶有机肥代替化肥试点，提升科学施肥水平。</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--至2022年底，基本实现乡镇污水处理设施全覆盖，配套建设污水收集管网，乡镇污水处理率达到65%。</w:t>
                  </w:r>
                </w:p>
                <w:p>
                  <w:pPr>
                    <w:widowControl/>
                    <w:spacing w:line="240" w:lineRule="exact"/>
                    <w:jc w:val="left"/>
                    <w:rPr>
                      <w:rFonts w:asciiTheme="minorEastAsia" w:hAnsiTheme="minorEastAsia" w:eastAsiaTheme="minorEastAsia"/>
                      <w:sz w:val="18"/>
                      <w:szCs w:val="18"/>
                    </w:rPr>
                  </w:pPr>
                  <w:r>
                    <w:rPr>
                      <w:rFonts w:hint="eastAsia" w:ascii="宋体" w:hAnsi="宋体" w:cs="宋体"/>
                      <w:sz w:val="18"/>
                      <w:szCs w:val="18"/>
                    </w:rPr>
                    <w:t>-大气污染防治重点区域执行大气污染物执行特别排放限值，严禁新增钢铁、电力、水泥、玻璃、砖瓦、陶瓷、焦化、电解铝、有色等重点行业大气污染物排放。</w:t>
                  </w:r>
                </w:p>
              </w:tc>
              <w:tc>
                <w:tcPr>
                  <w:tcW w:w="1719"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宋体"/>
                      <w:kern w:val="0"/>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本项目属污泥综合利用项目，系利用现有新型砖瓦生产线实施污泥利用；现有砖瓦生产线已落实</w:t>
                  </w:r>
                  <w:r>
                    <w:rPr>
                      <w:rFonts w:hint="eastAsia" w:cs="宋体"/>
                      <w:kern w:val="0"/>
                      <w:sz w:val="18"/>
                      <w:szCs w:val="18"/>
                    </w:rPr>
                    <w:t>脱硫、除尘措施，污染物排放能够达到《砖瓦工业大气污染物排放标准》相关要求。</w:t>
                  </w:r>
                </w:p>
                <w:p>
                  <w:pPr>
                    <w:spacing w:line="240" w:lineRule="exact"/>
                    <w:jc w:val="left"/>
                    <w:rPr>
                      <w:rFonts w:cs="宋体"/>
                      <w:kern w:val="0"/>
                      <w:sz w:val="18"/>
                      <w:szCs w:val="18"/>
                    </w:rPr>
                  </w:pPr>
                  <w:r>
                    <w:rPr>
                      <w:rFonts w:hint="eastAsia" w:cs="宋体"/>
                      <w:kern w:val="0"/>
                      <w:sz w:val="18"/>
                      <w:szCs w:val="18"/>
                    </w:rPr>
                    <w:t>2.项目属于大气环境弱扩散重点管控区内，实施后能够降低SO</w:t>
                  </w:r>
                  <w:r>
                    <w:rPr>
                      <w:rFonts w:hint="eastAsia" w:cs="宋体"/>
                      <w:kern w:val="0"/>
                      <w:sz w:val="18"/>
                      <w:szCs w:val="18"/>
                      <w:vertAlign w:val="subscript"/>
                    </w:rPr>
                    <w:t>2</w:t>
                  </w:r>
                  <w:r>
                    <w:rPr>
                      <w:rFonts w:hint="eastAsia" w:cs="宋体"/>
                      <w:kern w:val="0"/>
                      <w:sz w:val="18"/>
                      <w:szCs w:val="18"/>
                    </w:rPr>
                    <w:t>排放0.996t/a。</w:t>
                  </w:r>
                </w:p>
                <w:p>
                  <w:pPr>
                    <w:spacing w:line="240" w:lineRule="exact"/>
                    <w:jc w:val="left"/>
                    <w:rPr>
                      <w:rFonts w:cs="宋体"/>
                      <w:kern w:val="0"/>
                      <w:sz w:val="18"/>
                      <w:szCs w:val="18"/>
                    </w:rPr>
                  </w:pPr>
                  <w:r>
                    <w:rPr>
                      <w:rFonts w:hint="eastAsia" w:cs="宋体"/>
                      <w:kern w:val="0"/>
                      <w:sz w:val="18"/>
                      <w:szCs w:val="18"/>
                    </w:rPr>
                    <w:t>3.本项目生产废水能够实现综合利用，不涉及废水外排。</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asciiTheme="minorEastAsia" w:hAnsiTheme="minorEastAsia" w:eastAsiaTheme="minorEastAsia"/>
                      <w:b/>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79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b/>
                      <w:bCs/>
                      <w:sz w:val="18"/>
                      <w:szCs w:val="18"/>
                    </w:rPr>
                    <w:t>环境风险防控</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联防联控要求</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w:t>
                  </w:r>
                  <w:r>
                    <w:rPr>
                      <w:rFonts w:hint="eastAsia" w:cs="宋体"/>
                      <w:kern w:val="0"/>
                      <w:sz w:val="18"/>
                      <w:szCs w:val="18"/>
                      <w:lang w:val="en-US" w:eastAsia="zh-CN"/>
                    </w:rPr>
                    <w:t>防治</w:t>
                  </w:r>
                  <w:r>
                    <w:rPr>
                      <w:rFonts w:hint="eastAsia" w:cs="宋体"/>
                      <w:kern w:val="0"/>
                      <w:sz w:val="18"/>
                      <w:szCs w:val="18"/>
                    </w:rPr>
                    <w:t>合作</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其他环境风险防控要求</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企业环境风险防控要求:工业企业退出用地，须经评估、修复满足相应用地功能后，方可改变用途。</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加强“散乱污”企业环境风险防控。对工业循环用水大户和涉磷企业进行全面排查，建立总磷污染源数据库，实施循环水非磷配方药品替代改造，强化工业循环用水监管和总磷排放控制；从严控制新、改、扩建涉磷项目建设。落实涉磷堆场防渗、防风、防洪措施。</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用地环境风险防控要求:严禁将城镇生活垃圾、污泥、工业废物直接用作肥料，禁止处理不达标的污泥进入耕地；禁止在农用地排放、倾倒、使用污泥、清淤底泥、尾矿（渣）等可能对土壤造成污染的固体废物。禁止处理不达标的污泥进入耕地。</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禁止在农用地排放、倾倒、使用污泥、清淤底泥、尾矿（渣）等可能对土壤造成污染的固体废物。</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严格控制林地、草地、园地的农药使用量，禁止使用高毒、高残留农药。</w:t>
                  </w:r>
                </w:p>
                <w:p>
                  <w:pPr>
                    <w:widowControl/>
                    <w:spacing w:line="240" w:lineRule="exact"/>
                    <w:jc w:val="left"/>
                    <w:rPr>
                      <w:rFonts w:asciiTheme="minorEastAsia" w:hAnsiTheme="minorEastAsia" w:eastAsiaTheme="minorEastAsia"/>
                      <w:sz w:val="18"/>
                      <w:szCs w:val="18"/>
                    </w:rPr>
                  </w:pPr>
                  <w:r>
                    <w:rPr>
                      <w:rFonts w:hint="eastAsia" w:ascii="宋体" w:hAnsi="宋体" w:cs="宋体"/>
                      <w:sz w:val="18"/>
                      <w:szCs w:val="18"/>
                    </w:rPr>
                    <w:t>到2030年，全市受污染耕地安全利用率达到95%以上，污染地块安全利用率达到95%以上。</w:t>
                  </w:r>
                </w:p>
              </w:tc>
              <w:tc>
                <w:tcPr>
                  <w:tcW w:w="1719"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Theme="minorEastAsia" w:hAnsiTheme="minorEastAsia" w:eastAsiaTheme="minorEastAsia"/>
                      <w:sz w:val="18"/>
                      <w:szCs w:val="18"/>
                    </w:rPr>
                  </w:pPr>
                  <w:r>
                    <w:rPr>
                      <w:rFonts w:hint="eastAsia" w:asciiTheme="minorEastAsia" w:hAnsiTheme="minorEastAsia" w:eastAsiaTheme="minorEastAsia"/>
                      <w:sz w:val="18"/>
                      <w:szCs w:val="18"/>
                    </w:rPr>
                    <w:t>项目拟依托利用的现有烧结砖生产线已完善《突发环境事件应急预案》，对可能发生的环境事件采取相应的防治措施。本项目建成后，企业将按照相关要求，对《突发环境事件应急预案》进行修订。</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9" w:hRule="atLeast"/>
              </w:trPr>
              <w:tc>
                <w:tcPr>
                  <w:tcW w:w="179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b/>
                      <w:bCs/>
                      <w:sz w:val="18"/>
                      <w:szCs w:val="18"/>
                    </w:rPr>
                    <w:t>资源开发利用效率要求</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水资源利用总量要求</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-到2025年，农田灌溉水有效利用系数达到0.57以上。</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地下水开采要求</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以省市下发指标为准</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能源利用总量及效率要求</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-推进清洁能源的推广使用，全面推进散煤清洁化整治；禁止新建每小时10蒸吨以下的燃煤锅炉及其他燃煤设施。</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-禁止焚烧秸秆和垃圾，到2025年底，秸秆综合利用率达到86%以上。</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-实施煤炭消费总量控制：严格控制煤炭消费总量；严格控制新建、改建、扩建耗煤项目，新增耗煤项目实行煤炭消耗减量倍量替代。</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禁燃区要求</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-禁燃区内禁止销售、燃用高污染燃料；禁止新建、改建、扩建燃用高污染燃料的设施和设备。</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-禁燃区内已建成的高污染燃料燃用设施由辖区人民政府制定限期改造计划，改用天然气、页岩气、液化石油气、电或其他清洁能源。</w:t>
                  </w:r>
                </w:p>
                <w:p>
                  <w:pPr>
                    <w:pStyle w:val="18"/>
                    <w:widowControl w:val="0"/>
                    <w:spacing w:before="0" w:beforeAutospacing="0" w:after="0" w:afterAutospacing="0" w:line="240" w:lineRule="exact"/>
                    <w:jc w:val="both"/>
                    <w:rPr>
                      <w:rFonts w:asciiTheme="minorEastAsia" w:hAnsiTheme="minorEastAsia" w:eastAsiaTheme="minorEastAsia"/>
                      <w:sz w:val="18"/>
                      <w:szCs w:val="18"/>
                    </w:rPr>
                  </w:pPr>
                  <w:r>
                    <w:rPr>
                      <w:rFonts w:hint="eastAsia" w:cs="宋体"/>
                      <w:kern w:val="0"/>
                      <w:sz w:val="18"/>
                      <w:szCs w:val="18"/>
                    </w:rPr>
                    <w:t>其他资源利用效率要求，</w:t>
                  </w:r>
                  <w:r>
                    <w:rPr>
                      <w:rFonts w:hint="eastAsia" w:cs="宋体"/>
                      <w:sz w:val="18"/>
                      <w:szCs w:val="18"/>
                    </w:rPr>
                    <w:t>暂无</w:t>
                  </w:r>
                </w:p>
              </w:tc>
              <w:tc>
                <w:tcPr>
                  <w:tcW w:w="1719"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项目用水来源为收集的雨水以及自打井水。</w:t>
                  </w:r>
                </w:p>
                <w:p>
                  <w:pPr>
                    <w:spacing w:line="240" w:lineRule="exact"/>
                    <w:ind w:firstLine="180" w:firstLineChars="100"/>
                    <w:rPr>
                      <w:rFonts w:asciiTheme="minorEastAsia" w:hAnsiTheme="minorEastAsia"/>
                      <w:sz w:val="18"/>
                      <w:szCs w:val="18"/>
                    </w:rPr>
                  </w:pPr>
                  <w:r>
                    <w:rPr>
                      <w:rFonts w:hint="eastAsia" w:asciiTheme="minorEastAsia" w:hAnsiTheme="minorEastAsia" w:eastAsiaTheme="minorEastAsia"/>
                      <w:sz w:val="18"/>
                      <w:szCs w:val="18"/>
                    </w:rPr>
                    <w:t>本项目不属于大竹县高污染燃料禁燃区；本项目为污泥综合利用项目，依托的烧结砖生产线仅每年砖窑点火时使用少量煤炭做燃料，烧结砖过程不是用煤炭及其制品做燃料。 污泥烘干热源为生物质成型燃料燃烧供热，不属于高污染燃料。</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asciiTheme="minorEastAsia" w:hAnsiTheme="minorEastAsia" w:eastAsiaTheme="minorEastAsia"/>
                      <w:b/>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0" w:hRule="atLeast"/>
              </w:trPr>
              <w:tc>
                <w:tcPr>
                  <w:tcW w:w="179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b/>
                      <w:bCs/>
                      <w:sz w:val="18"/>
                      <w:szCs w:val="18"/>
                    </w:rPr>
                    <w:t>单元级清单管控要求</w:t>
                  </w: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空间布局约束</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禁止开发建设活动的要求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执行达州市要素重点管控单元总体准入要求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限制开发建设活动的要求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执行达州市要素重点管控单元总体准入要求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允许开发建设活动的要求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不符合空间布局要求活动的退出要求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它同要素重点总体准入要求</w:t>
                  </w:r>
                </w:p>
                <w:p>
                  <w:pPr>
                    <w:widowControl/>
                    <w:spacing w:line="240" w:lineRule="exact"/>
                    <w:jc w:val="left"/>
                    <w:rPr>
                      <w:rFonts w:asciiTheme="minorEastAsia" w:hAnsiTheme="minorEastAsia" w:eastAsiaTheme="minorEastAsia"/>
                      <w:sz w:val="18"/>
                      <w:szCs w:val="18"/>
                    </w:rPr>
                  </w:pPr>
                  <w:r>
                    <w:rPr>
                      <w:rFonts w:hint="eastAsia" w:ascii="宋体" w:hAnsi="宋体"/>
                      <w:sz w:val="18"/>
                      <w:szCs w:val="18"/>
                    </w:rPr>
                    <w:t>其他空间布局约束要求</w:t>
                  </w:r>
                </w:p>
              </w:tc>
              <w:tc>
                <w:tcPr>
                  <w:tcW w:w="1719" w:type="dxa"/>
                  <w:tcBorders>
                    <w:top w:val="single" w:color="auto" w:sz="4" w:space="0"/>
                    <w:left w:val="single" w:color="auto" w:sz="4" w:space="0"/>
                    <w:bottom w:val="single" w:color="auto" w:sz="4" w:space="0"/>
                    <w:right w:val="single" w:color="auto" w:sz="4" w:space="0"/>
                  </w:tcBorders>
                  <w:vAlign w:val="center"/>
                </w:tcPr>
                <w:p>
                  <w:pPr>
                    <w:pStyle w:val="18"/>
                    <w:shd w:val="clear" w:color="auto" w:fill="FFFFFF"/>
                    <w:spacing w:before="0" w:beforeAutospacing="0" w:after="0" w:afterAutospacing="0" w:line="24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项目空间布局要求</w:t>
                  </w:r>
                  <w:r>
                    <w:rPr>
                      <w:rFonts w:hint="eastAsia" w:cs="宋体"/>
                      <w:sz w:val="18"/>
                      <w:szCs w:val="18"/>
                      <w:shd w:val="clear" w:color="auto" w:fill="FFFFFF"/>
                    </w:rPr>
                    <w:t>执行达州市要素重点管控单元总体准入要求；项目符合空间布局要求</w:t>
                  </w: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6" w:hRule="atLeast"/>
              </w:trPr>
              <w:tc>
                <w:tcPr>
                  <w:tcW w:w="179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污染物排放管控</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现有源提标升级改造</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同达州市要素重点管控单元总体准入要求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新增源等量或倍量替代</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同达州市要素重点管控单元总体准入要求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新增源排放标准限值</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同达州市要素重点管控单元总体准入要求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污染物排放绩效水平准入要求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同达州市要素重点管控单元总体准入要求</w:t>
                  </w:r>
                </w:p>
                <w:p>
                  <w:pPr>
                    <w:widowControl/>
                    <w:spacing w:line="240" w:lineRule="exact"/>
                    <w:jc w:val="left"/>
                    <w:rPr>
                      <w:rFonts w:asciiTheme="minorEastAsia" w:hAnsiTheme="minorEastAsia" w:eastAsiaTheme="minorEastAsia"/>
                      <w:sz w:val="18"/>
                      <w:szCs w:val="18"/>
                    </w:rPr>
                  </w:pPr>
                  <w:r>
                    <w:rPr>
                      <w:rFonts w:hint="eastAsia" w:ascii="宋体" w:hAnsi="宋体"/>
                      <w:sz w:val="18"/>
                      <w:szCs w:val="18"/>
                    </w:rPr>
                    <w:t>其他污染物排放管控要求</w:t>
                  </w:r>
                </w:p>
              </w:tc>
              <w:tc>
                <w:tcPr>
                  <w:tcW w:w="1719" w:type="dxa"/>
                  <w:tcBorders>
                    <w:top w:val="single" w:color="auto" w:sz="4" w:space="0"/>
                    <w:left w:val="single" w:color="auto" w:sz="4" w:space="0"/>
                    <w:bottom w:val="single" w:color="auto" w:sz="4" w:space="0"/>
                    <w:right w:val="single" w:color="auto" w:sz="4" w:space="0"/>
                  </w:tcBorders>
                  <w:vAlign w:val="center"/>
                </w:tcPr>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同达州市要素重点管控单元总体准入要求</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79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环境风险防控</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严格管控类农用地管控要求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同达州市要素重点管控单元总体准入要求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安全利用类农用地管控要求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同达州市要素重点管控单元总体准入要求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污染地块管控要求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同达州市要素重点管控单元总体准入要求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园区环境风险防控要求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企业环境风险防控要求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同达州市要素重点管控单元总体准入要求</w:t>
                  </w:r>
                </w:p>
                <w:p>
                  <w:pPr>
                    <w:widowControl/>
                    <w:spacing w:line="240" w:lineRule="exact"/>
                    <w:jc w:val="left"/>
                    <w:rPr>
                      <w:rFonts w:asciiTheme="minorEastAsia" w:hAnsiTheme="minorEastAsia" w:eastAsiaTheme="minorEastAsia"/>
                      <w:sz w:val="18"/>
                      <w:szCs w:val="18"/>
                    </w:rPr>
                  </w:pPr>
                  <w:r>
                    <w:rPr>
                      <w:rFonts w:hint="eastAsia" w:ascii="宋体" w:hAnsi="宋体"/>
                      <w:sz w:val="18"/>
                      <w:szCs w:val="18"/>
                    </w:rPr>
                    <w:t>其他环境风险防控要求</w:t>
                  </w:r>
                </w:p>
              </w:tc>
              <w:tc>
                <w:tcPr>
                  <w:tcW w:w="1719" w:type="dxa"/>
                  <w:tcBorders>
                    <w:top w:val="single" w:color="auto" w:sz="4" w:space="0"/>
                    <w:left w:val="single" w:color="auto" w:sz="4" w:space="0"/>
                    <w:bottom w:val="single" w:color="auto" w:sz="4" w:space="0"/>
                    <w:right w:val="single" w:color="auto" w:sz="4" w:space="0"/>
                  </w:tcBorders>
                  <w:vAlign w:val="center"/>
                </w:tcPr>
                <w:p>
                  <w:pPr>
                    <w:pStyle w:val="18"/>
                    <w:shd w:val="clear" w:color="auto" w:fill="FFFFFF"/>
                    <w:spacing w:before="0" w:beforeAutospacing="0" w:after="0" w:afterAutospacing="0" w:line="240" w:lineRule="exact"/>
                    <w:rPr>
                      <w:rFonts w:asciiTheme="minorEastAsia" w:hAnsiTheme="minorEastAsia" w:eastAsiaTheme="minorEastAsia"/>
                      <w:sz w:val="18"/>
                      <w:szCs w:val="18"/>
                    </w:rPr>
                  </w:pPr>
                  <w:r>
                    <w:rPr>
                      <w:rFonts w:hint="eastAsia" w:cs="宋体"/>
                      <w:sz w:val="18"/>
                      <w:szCs w:val="18"/>
                      <w:shd w:val="clear" w:color="auto" w:fill="FFFFFF"/>
                    </w:rPr>
                    <w:t>同达州市要素重点管控单元总体准入要求</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79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资源开发效率要求</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水资源利用效率要求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同达州市要素重点管控单元总体准入要求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地下水开采要求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同达州市要素重点管控单元总体准入要求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能源利用效率要求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同达州市要素重点管控单元总体准入要求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其他资源利用效率要求</w:t>
                  </w:r>
                </w:p>
                <w:p>
                  <w:pPr>
                    <w:widowControl/>
                    <w:spacing w:line="240" w:lineRule="exact"/>
                    <w:jc w:val="left"/>
                    <w:rPr>
                      <w:rFonts w:asciiTheme="minorEastAsia" w:hAnsiTheme="minorEastAsia" w:eastAsiaTheme="minorEastAsia"/>
                      <w:sz w:val="18"/>
                      <w:szCs w:val="18"/>
                    </w:rPr>
                  </w:pPr>
                  <w:r>
                    <w:rPr>
                      <w:rFonts w:hint="eastAsia" w:ascii="宋体" w:hAnsi="宋体"/>
                      <w:sz w:val="18"/>
                      <w:szCs w:val="18"/>
                    </w:rPr>
                    <w:t>禁燃区要求：同达州市要素重点总体准入要求</w:t>
                  </w:r>
                </w:p>
              </w:tc>
              <w:tc>
                <w:tcPr>
                  <w:tcW w:w="1719" w:type="dxa"/>
                  <w:tcBorders>
                    <w:top w:val="single" w:color="auto" w:sz="4" w:space="0"/>
                    <w:left w:val="single" w:color="auto" w:sz="4" w:space="0"/>
                    <w:bottom w:val="single" w:color="auto" w:sz="4" w:space="0"/>
                    <w:right w:val="single" w:color="auto" w:sz="4" w:space="0"/>
                  </w:tcBorders>
                  <w:vAlign w:val="center"/>
                </w:tcPr>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同达州市要素重点管控单元总体准入要求</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795" w:type="dxa"/>
                  <w:vMerge w:val="restart"/>
                  <w:tcBorders>
                    <w:top w:val="nil"/>
                    <w:left w:val="single" w:color="auto" w:sz="4" w:space="0"/>
                    <w:right w:val="single" w:color="auto" w:sz="4" w:space="0"/>
                  </w:tcBorders>
                  <w:vAlign w:val="center"/>
                </w:tcPr>
                <w:p>
                  <w:pPr>
                    <w:spacing w:line="240" w:lineRule="exact"/>
                    <w:jc w:val="left"/>
                    <w:rPr>
                      <w:rFonts w:asciiTheme="minorEastAsia" w:hAnsiTheme="minorEastAsia" w:eastAsiaTheme="minorEastAsia"/>
                      <w:b/>
                      <w:bCs/>
                      <w:sz w:val="18"/>
                      <w:szCs w:val="18"/>
                    </w:rPr>
                  </w:pPr>
                  <w:r>
                    <w:rPr>
                      <w:rFonts w:ascii="宋体" w:hAnsi="宋体"/>
                      <w:sz w:val="18"/>
                      <w:szCs w:val="18"/>
                    </w:rPr>
                    <w:t>YS5117243210002</w:t>
                  </w:r>
                  <w:r>
                    <w:rPr>
                      <w:rFonts w:hint="eastAsia" w:ascii="宋体" w:hAnsi="宋体"/>
                      <w:sz w:val="18"/>
                      <w:szCs w:val="18"/>
                    </w:rPr>
                    <w:t>、大洪河大竹县岗架大桥控制单元</w:t>
                  </w:r>
                </w:p>
              </w:tc>
              <w:tc>
                <w:tcPr>
                  <w:tcW w:w="689" w:type="dxa"/>
                  <w:vMerge w:val="restart"/>
                  <w:tcBorders>
                    <w:top w:val="nil"/>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r>
                    <w:rPr>
                      <w:rFonts w:hint="eastAsia" w:ascii="宋体" w:hAnsi="宋体" w:cs="宋体"/>
                      <w:b/>
                      <w:bCs/>
                      <w:kern w:val="0"/>
                      <w:sz w:val="18"/>
                      <w:szCs w:val="18"/>
                    </w:rPr>
                    <w:t>达州市普适性清单管控要求</w:t>
                  </w: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空间布局约束</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禁止开发建设活动的要求:暂无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限制开发建设活动的要求:暂无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不符合空间布局要求活动的退出要求:暂无</w:t>
                  </w:r>
                </w:p>
                <w:p>
                  <w:pPr>
                    <w:pStyle w:val="18"/>
                    <w:widowControl w:val="0"/>
                    <w:spacing w:before="0" w:beforeAutospacing="0" w:after="0" w:afterAutospacing="0" w:line="240" w:lineRule="exact"/>
                    <w:jc w:val="both"/>
                    <w:rPr>
                      <w:sz w:val="18"/>
                      <w:szCs w:val="18"/>
                    </w:rPr>
                  </w:pPr>
                  <w:r>
                    <w:rPr>
                      <w:rFonts w:hint="eastAsia" w:cs="宋体"/>
                      <w:kern w:val="0"/>
                      <w:sz w:val="18"/>
                      <w:szCs w:val="18"/>
                    </w:rPr>
                    <w:t>其他空间布局约束要求:</w:t>
                  </w:r>
                  <w:r>
                    <w:rPr>
                      <w:rFonts w:hint="eastAsia" w:cs="宋体"/>
                      <w:sz w:val="18"/>
                      <w:szCs w:val="18"/>
                    </w:rPr>
                    <w:t>暂无</w:t>
                  </w:r>
                </w:p>
              </w:tc>
              <w:tc>
                <w:tcPr>
                  <w:tcW w:w="1719"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795" w:type="dxa"/>
                  <w:vMerge w:val="continue"/>
                  <w:tcBorders>
                    <w:top w:val="nil"/>
                    <w:left w:val="single" w:color="auto" w:sz="4" w:space="0"/>
                    <w:right w:val="single" w:color="auto" w:sz="4" w:space="0"/>
                  </w:tcBorders>
                  <w:vAlign w:val="center"/>
                </w:tcPr>
                <w:p>
                  <w:pPr>
                    <w:spacing w:line="240" w:lineRule="exact"/>
                    <w:jc w:val="center"/>
                    <w:rPr>
                      <w:rFonts w:ascii="宋体" w:hAnsi="宋体"/>
                      <w:sz w:val="18"/>
                      <w:szCs w:val="18"/>
                    </w:rPr>
                  </w:pPr>
                </w:p>
              </w:tc>
              <w:tc>
                <w:tcPr>
                  <w:tcW w:w="689"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污染物排放管控</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允许排放量要求:暂无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现有源提标升级改造:暂无</w:t>
                  </w:r>
                </w:p>
                <w:p>
                  <w:pPr>
                    <w:pStyle w:val="18"/>
                    <w:widowControl w:val="0"/>
                    <w:spacing w:before="0" w:beforeAutospacing="0" w:after="0" w:afterAutospacing="0" w:line="240" w:lineRule="exact"/>
                    <w:jc w:val="both"/>
                    <w:rPr>
                      <w:sz w:val="18"/>
                      <w:szCs w:val="18"/>
                    </w:rPr>
                  </w:pPr>
                  <w:r>
                    <w:rPr>
                      <w:rFonts w:hint="eastAsia" w:cs="宋体"/>
                      <w:kern w:val="0"/>
                      <w:sz w:val="18"/>
                      <w:szCs w:val="18"/>
                    </w:rPr>
                    <w:t>其他污染物排放管控要求:</w:t>
                  </w:r>
                  <w:r>
                    <w:rPr>
                      <w:rFonts w:hint="eastAsia" w:cs="宋体"/>
                      <w:sz w:val="18"/>
                      <w:szCs w:val="18"/>
                    </w:rPr>
                    <w:t>暂无</w:t>
                  </w:r>
                </w:p>
              </w:tc>
              <w:tc>
                <w:tcPr>
                  <w:tcW w:w="1719"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795" w:type="dxa"/>
                  <w:vMerge w:val="continue"/>
                  <w:tcBorders>
                    <w:top w:val="nil"/>
                    <w:left w:val="single" w:color="auto" w:sz="4" w:space="0"/>
                    <w:right w:val="single" w:color="auto" w:sz="4" w:space="0"/>
                  </w:tcBorders>
                  <w:vAlign w:val="center"/>
                </w:tcPr>
                <w:p>
                  <w:pPr>
                    <w:spacing w:line="240" w:lineRule="exact"/>
                    <w:jc w:val="center"/>
                    <w:rPr>
                      <w:rFonts w:ascii="宋体" w:hAnsi="宋体"/>
                      <w:sz w:val="18"/>
                      <w:szCs w:val="18"/>
                    </w:rPr>
                  </w:pPr>
                </w:p>
              </w:tc>
              <w:tc>
                <w:tcPr>
                  <w:tcW w:w="689"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环境风险防控</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联防联控要求:暂无</w:t>
                  </w:r>
                </w:p>
                <w:p>
                  <w:pPr>
                    <w:pStyle w:val="18"/>
                    <w:widowControl w:val="0"/>
                    <w:spacing w:before="0" w:beforeAutospacing="0" w:after="0" w:afterAutospacing="0" w:line="240" w:lineRule="exact"/>
                    <w:jc w:val="both"/>
                    <w:rPr>
                      <w:sz w:val="18"/>
                      <w:szCs w:val="18"/>
                    </w:rPr>
                  </w:pPr>
                  <w:r>
                    <w:rPr>
                      <w:rFonts w:hint="eastAsia" w:cs="宋体"/>
                      <w:kern w:val="0"/>
                      <w:sz w:val="18"/>
                      <w:szCs w:val="18"/>
                    </w:rPr>
                    <w:t>其他环境风险防控要求:暂无</w:t>
                  </w:r>
                </w:p>
              </w:tc>
              <w:tc>
                <w:tcPr>
                  <w:tcW w:w="1719"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795" w:type="dxa"/>
                  <w:vMerge w:val="continue"/>
                  <w:tcBorders>
                    <w:top w:val="nil"/>
                    <w:left w:val="single" w:color="auto" w:sz="4" w:space="0"/>
                    <w:right w:val="single" w:color="auto" w:sz="4" w:space="0"/>
                  </w:tcBorders>
                  <w:vAlign w:val="center"/>
                </w:tcPr>
                <w:p>
                  <w:pPr>
                    <w:spacing w:line="240" w:lineRule="exact"/>
                    <w:jc w:val="center"/>
                    <w:rPr>
                      <w:rFonts w:ascii="宋体" w:hAnsi="宋体"/>
                      <w:sz w:val="18"/>
                      <w:szCs w:val="18"/>
                    </w:rPr>
                  </w:pPr>
                </w:p>
              </w:tc>
              <w:tc>
                <w:tcPr>
                  <w:tcW w:w="689" w:type="dxa"/>
                  <w:vMerge w:val="continue"/>
                  <w:tcBorders>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资源开发效率要求</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水资源利用总量要求：暂无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地下水开采要求：暂无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能源利用总量及效率要求：暂无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禁燃区要求：暂无</w:t>
                  </w:r>
                </w:p>
                <w:p>
                  <w:pPr>
                    <w:pStyle w:val="18"/>
                    <w:widowControl w:val="0"/>
                    <w:spacing w:before="0" w:beforeAutospacing="0" w:after="0" w:afterAutospacing="0" w:line="240" w:lineRule="exact"/>
                    <w:jc w:val="both"/>
                    <w:rPr>
                      <w:sz w:val="18"/>
                      <w:szCs w:val="18"/>
                    </w:rPr>
                  </w:pPr>
                  <w:r>
                    <w:rPr>
                      <w:rFonts w:hint="eastAsia" w:cs="宋体"/>
                      <w:kern w:val="0"/>
                      <w:sz w:val="18"/>
                      <w:szCs w:val="18"/>
                    </w:rPr>
                    <w:t>其他资源利用效率要求：</w:t>
                  </w:r>
                  <w:r>
                    <w:rPr>
                      <w:rFonts w:hint="eastAsia" w:cs="宋体"/>
                      <w:sz w:val="18"/>
                      <w:szCs w:val="18"/>
                    </w:rPr>
                    <w:t>暂无</w:t>
                  </w:r>
                </w:p>
              </w:tc>
              <w:tc>
                <w:tcPr>
                  <w:tcW w:w="1719"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3" w:hRule="atLeast"/>
              </w:trPr>
              <w:tc>
                <w:tcPr>
                  <w:tcW w:w="1795" w:type="dxa"/>
                  <w:vMerge w:val="continue"/>
                  <w:tcBorders>
                    <w:left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p>
              </w:tc>
              <w:tc>
                <w:tcPr>
                  <w:tcW w:w="689"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b/>
                      <w:bCs/>
                      <w:sz w:val="18"/>
                      <w:szCs w:val="18"/>
                    </w:rPr>
                    <w:t>单元级清单管控要求</w:t>
                  </w: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空间布局约束</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禁止开发建设活动的要求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限制开发建设活动的要求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允许开发建设活动的要求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不符合空间布局要求活动的退出要求</w:t>
                  </w:r>
                </w:p>
                <w:p>
                  <w:pPr>
                    <w:pStyle w:val="18"/>
                    <w:shd w:val="clear" w:color="auto" w:fill="FFFFFF"/>
                    <w:spacing w:before="0" w:beforeAutospacing="0" w:after="0" w:afterAutospacing="0" w:line="240" w:lineRule="exact"/>
                    <w:rPr>
                      <w:rFonts w:asciiTheme="minorEastAsia" w:hAnsiTheme="minorEastAsia" w:eastAsiaTheme="minorEastAsia"/>
                      <w:sz w:val="18"/>
                      <w:szCs w:val="18"/>
                    </w:rPr>
                  </w:pPr>
                  <w:r>
                    <w:rPr>
                      <w:rFonts w:hint="eastAsia" w:cs="宋体"/>
                      <w:sz w:val="18"/>
                      <w:szCs w:val="18"/>
                      <w:shd w:val="clear" w:color="auto" w:fill="FFFFFF"/>
                    </w:rPr>
                    <w:t>其他空间布局约束要求</w:t>
                  </w:r>
                </w:p>
              </w:tc>
              <w:tc>
                <w:tcPr>
                  <w:tcW w:w="1719"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Theme="minorEastAsia" w:hAnsiTheme="minorEastAsia" w:eastAsiaTheme="minorEastAsia"/>
                      <w:sz w:val="18"/>
                      <w:szCs w:val="18"/>
                    </w:rPr>
                  </w:pPr>
                  <w:r>
                    <w:rPr>
                      <w:rFonts w:hint="eastAsia" w:asciiTheme="minorEastAsia" w:hAnsiTheme="minorEastAsia" w:eastAsiaTheme="minorEastAsia"/>
                      <w:sz w:val="18"/>
                      <w:szCs w:val="18"/>
                    </w:rPr>
                    <w:t>本项目不属于禁止、限制</w:t>
                  </w:r>
                  <w:r>
                    <w:rPr>
                      <w:rFonts w:hint="eastAsia" w:cs="宋体"/>
                      <w:sz w:val="18"/>
                      <w:szCs w:val="18"/>
                      <w:shd w:val="clear" w:color="auto" w:fill="FFFFFF"/>
                    </w:rPr>
                    <w:t>开发建设活动的要求，符合空间布局要求</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9" w:hRule="atLeast"/>
              </w:trPr>
              <w:tc>
                <w:tcPr>
                  <w:tcW w:w="1795"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污染物排放管控</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城镇污水污染控制措施要求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工业废水污染控制措施要求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农业面源水污染控制措施要求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船舶港口水污染控制措施要求</w:t>
                  </w:r>
                </w:p>
                <w:p>
                  <w:pPr>
                    <w:pStyle w:val="18"/>
                    <w:shd w:val="clear" w:color="auto" w:fill="FFFFFF"/>
                    <w:spacing w:before="0" w:beforeAutospacing="0" w:after="0" w:afterAutospacing="0" w:line="240" w:lineRule="exact"/>
                    <w:rPr>
                      <w:rFonts w:asciiTheme="minorEastAsia" w:hAnsiTheme="minorEastAsia" w:eastAsiaTheme="minorEastAsia"/>
                      <w:sz w:val="18"/>
                      <w:szCs w:val="18"/>
                    </w:rPr>
                  </w:pPr>
                  <w:r>
                    <w:rPr>
                      <w:rFonts w:hint="eastAsia" w:cs="宋体"/>
                      <w:sz w:val="18"/>
                      <w:szCs w:val="18"/>
                      <w:shd w:val="clear" w:color="auto" w:fill="FFFFFF"/>
                    </w:rPr>
                    <w:t>饮用水水源和其它特殊水体保护要求</w:t>
                  </w:r>
                </w:p>
              </w:tc>
              <w:tc>
                <w:tcPr>
                  <w:tcW w:w="1719"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left"/>
                    <w:rPr>
                      <w:rFonts w:asciiTheme="minorEastAsia" w:hAnsiTheme="minorEastAsia" w:eastAsiaTheme="minorEastAsia"/>
                      <w:sz w:val="18"/>
                      <w:szCs w:val="18"/>
                    </w:rPr>
                  </w:pPr>
                  <w:r>
                    <w:rPr>
                      <w:rFonts w:asciiTheme="minorEastAsia" w:hAnsiTheme="minorEastAsia" w:eastAsiaTheme="minorEastAsia"/>
                      <w:sz w:val="18"/>
                      <w:szCs w:val="18"/>
                    </w:rPr>
                    <w:t>本项目为工业项目，营运期不涉及生产废水的外排，符合工业废水污染控制措施要求。</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 w:hRule="atLeast"/>
              </w:trPr>
              <w:tc>
                <w:tcPr>
                  <w:tcW w:w="1795"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环境风险防控</w:t>
                  </w:r>
                </w:p>
              </w:tc>
              <w:tc>
                <w:tcPr>
                  <w:tcW w:w="652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719"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1" w:hRule="atLeast"/>
              </w:trPr>
              <w:tc>
                <w:tcPr>
                  <w:tcW w:w="1795" w:type="dxa"/>
                  <w:vMerge w:val="continue"/>
                  <w:tcBorders>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资源开发效率要求</w:t>
                  </w:r>
                </w:p>
              </w:tc>
              <w:tc>
                <w:tcPr>
                  <w:tcW w:w="652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719"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1" w:hRule="atLeast"/>
              </w:trPr>
              <w:tc>
                <w:tcPr>
                  <w:tcW w:w="1795" w:type="dxa"/>
                  <w:vMerge w:val="restart"/>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r>
                    <w:rPr>
                      <w:rFonts w:hint="eastAsia" w:asciiTheme="minorEastAsia" w:hAnsiTheme="minorEastAsia" w:eastAsiaTheme="minorEastAsia"/>
                      <w:sz w:val="18"/>
                      <w:szCs w:val="18"/>
                    </w:rPr>
                    <w:t>YS5117242330003、大竹县大气环境弱扩散重点管控区</w:t>
                  </w:r>
                </w:p>
              </w:tc>
              <w:tc>
                <w:tcPr>
                  <w:tcW w:w="689" w:type="dxa"/>
                  <w:vMerge w:val="restart"/>
                  <w:tcBorders>
                    <w:top w:val="nil"/>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r>
                    <w:rPr>
                      <w:rFonts w:hint="eastAsia" w:asciiTheme="minorEastAsia" w:hAnsiTheme="minorEastAsia" w:eastAsiaTheme="minorEastAsia"/>
                      <w:sz w:val="18"/>
                      <w:szCs w:val="18"/>
                    </w:rPr>
                    <w:t>达州市普适性清单管控要求</w:t>
                  </w: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空间布局约束</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禁止开发建设活动的要求:暂无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限制开发建设活动的要求:暂无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不符合空间布局要求活动的退出要求:暂无</w:t>
                  </w:r>
                </w:p>
                <w:p>
                  <w:pPr>
                    <w:pStyle w:val="18"/>
                    <w:widowControl w:val="0"/>
                    <w:spacing w:before="0" w:beforeAutospacing="0" w:after="0" w:afterAutospacing="0" w:line="240" w:lineRule="exact"/>
                    <w:jc w:val="both"/>
                    <w:rPr>
                      <w:sz w:val="18"/>
                      <w:szCs w:val="18"/>
                    </w:rPr>
                  </w:pPr>
                  <w:r>
                    <w:rPr>
                      <w:rFonts w:hint="eastAsia" w:cs="宋体"/>
                      <w:kern w:val="0"/>
                      <w:sz w:val="18"/>
                      <w:szCs w:val="18"/>
                    </w:rPr>
                    <w:t>其他空间布局约束要求:</w:t>
                  </w:r>
                  <w:r>
                    <w:rPr>
                      <w:rFonts w:hint="eastAsia" w:cs="宋体"/>
                      <w:sz w:val="18"/>
                      <w:szCs w:val="18"/>
                    </w:rPr>
                    <w:t>暂无</w:t>
                  </w:r>
                </w:p>
              </w:tc>
              <w:tc>
                <w:tcPr>
                  <w:tcW w:w="1719"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1" w:hRule="atLeast"/>
              </w:trPr>
              <w:tc>
                <w:tcPr>
                  <w:tcW w:w="1795" w:type="dxa"/>
                  <w:vMerge w:val="continue"/>
                  <w:tcBorders>
                    <w:left w:val="single" w:color="auto" w:sz="4" w:space="0"/>
                    <w:right w:val="single" w:color="auto" w:sz="4" w:space="0"/>
                  </w:tcBorders>
                  <w:vAlign w:val="center"/>
                </w:tcPr>
                <w:p>
                  <w:pPr>
                    <w:spacing w:line="240" w:lineRule="exact"/>
                    <w:jc w:val="center"/>
                    <w:rPr>
                      <w:rFonts w:ascii="宋体" w:hAnsi="宋体"/>
                      <w:sz w:val="18"/>
                      <w:szCs w:val="18"/>
                    </w:rPr>
                  </w:pPr>
                </w:p>
              </w:tc>
              <w:tc>
                <w:tcPr>
                  <w:tcW w:w="689"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污染物排放管控</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允许排放量要求:暂无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现有源提标升级改造:暂无</w:t>
                  </w:r>
                </w:p>
                <w:p>
                  <w:pPr>
                    <w:pStyle w:val="18"/>
                    <w:widowControl w:val="0"/>
                    <w:spacing w:before="0" w:beforeAutospacing="0" w:after="0" w:afterAutospacing="0" w:line="240" w:lineRule="exact"/>
                    <w:jc w:val="both"/>
                    <w:rPr>
                      <w:sz w:val="18"/>
                      <w:szCs w:val="18"/>
                    </w:rPr>
                  </w:pPr>
                  <w:r>
                    <w:rPr>
                      <w:rFonts w:hint="eastAsia" w:cs="宋体"/>
                      <w:kern w:val="0"/>
                      <w:sz w:val="18"/>
                      <w:szCs w:val="18"/>
                    </w:rPr>
                    <w:t>其他污染物排放管控要求:</w:t>
                  </w:r>
                  <w:r>
                    <w:rPr>
                      <w:rFonts w:hint="eastAsia" w:cs="宋体"/>
                      <w:sz w:val="18"/>
                      <w:szCs w:val="18"/>
                    </w:rPr>
                    <w:t>暂无</w:t>
                  </w:r>
                </w:p>
              </w:tc>
              <w:tc>
                <w:tcPr>
                  <w:tcW w:w="1719"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1" w:hRule="atLeast"/>
              </w:trPr>
              <w:tc>
                <w:tcPr>
                  <w:tcW w:w="1795" w:type="dxa"/>
                  <w:vMerge w:val="continue"/>
                  <w:tcBorders>
                    <w:left w:val="single" w:color="auto" w:sz="4" w:space="0"/>
                    <w:right w:val="single" w:color="auto" w:sz="4" w:space="0"/>
                  </w:tcBorders>
                  <w:vAlign w:val="center"/>
                </w:tcPr>
                <w:p>
                  <w:pPr>
                    <w:spacing w:line="240" w:lineRule="exact"/>
                    <w:jc w:val="center"/>
                    <w:rPr>
                      <w:rFonts w:ascii="宋体" w:hAnsi="宋体"/>
                      <w:sz w:val="18"/>
                      <w:szCs w:val="18"/>
                    </w:rPr>
                  </w:pPr>
                </w:p>
              </w:tc>
              <w:tc>
                <w:tcPr>
                  <w:tcW w:w="689"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环境风险防控</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联防联控要求:暂无</w:t>
                  </w:r>
                </w:p>
                <w:p>
                  <w:pPr>
                    <w:pStyle w:val="18"/>
                    <w:widowControl w:val="0"/>
                    <w:spacing w:before="0" w:beforeAutospacing="0" w:after="0" w:afterAutospacing="0" w:line="240" w:lineRule="exact"/>
                    <w:jc w:val="both"/>
                    <w:rPr>
                      <w:sz w:val="18"/>
                      <w:szCs w:val="18"/>
                    </w:rPr>
                  </w:pPr>
                  <w:r>
                    <w:rPr>
                      <w:rFonts w:hint="eastAsia" w:cs="宋体"/>
                      <w:kern w:val="0"/>
                      <w:sz w:val="18"/>
                      <w:szCs w:val="18"/>
                    </w:rPr>
                    <w:t>其他环境风险防控要求:暂无</w:t>
                  </w:r>
                </w:p>
              </w:tc>
              <w:tc>
                <w:tcPr>
                  <w:tcW w:w="1719"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1" w:hRule="atLeast"/>
              </w:trPr>
              <w:tc>
                <w:tcPr>
                  <w:tcW w:w="1795" w:type="dxa"/>
                  <w:vMerge w:val="continue"/>
                  <w:tcBorders>
                    <w:left w:val="single" w:color="auto" w:sz="4" w:space="0"/>
                    <w:right w:val="single" w:color="auto" w:sz="4" w:space="0"/>
                  </w:tcBorders>
                  <w:vAlign w:val="center"/>
                </w:tcPr>
                <w:p>
                  <w:pPr>
                    <w:spacing w:line="240" w:lineRule="exact"/>
                    <w:jc w:val="center"/>
                    <w:rPr>
                      <w:rFonts w:ascii="宋体" w:hAnsi="宋体"/>
                      <w:sz w:val="18"/>
                      <w:szCs w:val="18"/>
                    </w:rPr>
                  </w:pPr>
                </w:p>
              </w:tc>
              <w:tc>
                <w:tcPr>
                  <w:tcW w:w="689" w:type="dxa"/>
                  <w:vMerge w:val="continue"/>
                  <w:tcBorders>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资源开发效率要求</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水资源利用总量要求：暂无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地下水开采要求：暂无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能源利用总量及效率要求：暂无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禁燃区要求：暂无</w:t>
                  </w:r>
                </w:p>
                <w:p>
                  <w:pPr>
                    <w:pStyle w:val="18"/>
                    <w:widowControl w:val="0"/>
                    <w:spacing w:before="0" w:beforeAutospacing="0" w:after="0" w:afterAutospacing="0" w:line="240" w:lineRule="exact"/>
                    <w:jc w:val="both"/>
                    <w:rPr>
                      <w:sz w:val="18"/>
                      <w:szCs w:val="18"/>
                    </w:rPr>
                  </w:pPr>
                  <w:r>
                    <w:rPr>
                      <w:rFonts w:hint="eastAsia" w:cs="宋体"/>
                      <w:kern w:val="0"/>
                      <w:sz w:val="18"/>
                      <w:szCs w:val="18"/>
                    </w:rPr>
                    <w:t>其他资源利用效率要求：</w:t>
                  </w:r>
                  <w:r>
                    <w:rPr>
                      <w:rFonts w:hint="eastAsia" w:cs="宋体"/>
                      <w:sz w:val="18"/>
                      <w:szCs w:val="18"/>
                    </w:rPr>
                    <w:t>暂无</w:t>
                  </w:r>
                </w:p>
              </w:tc>
              <w:tc>
                <w:tcPr>
                  <w:tcW w:w="1719"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6" w:hRule="atLeast"/>
              </w:trPr>
              <w:tc>
                <w:tcPr>
                  <w:tcW w:w="1795" w:type="dxa"/>
                  <w:vMerge w:val="continue"/>
                  <w:tcBorders>
                    <w:left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p>
              </w:tc>
              <w:tc>
                <w:tcPr>
                  <w:tcW w:w="689"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b/>
                      <w:bCs/>
                      <w:sz w:val="18"/>
                      <w:szCs w:val="18"/>
                    </w:rPr>
                    <w:t>单元级清单管控要求</w:t>
                  </w: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空间布局约束</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禁止开发建设活动的要求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限制开发建设活动的要求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允许开发建设活动的要求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不符合空间布局要求活动的退出要求</w:t>
                  </w:r>
                </w:p>
                <w:p>
                  <w:pPr>
                    <w:pStyle w:val="18"/>
                    <w:shd w:val="clear" w:color="auto" w:fill="FFFFFF"/>
                    <w:spacing w:before="0" w:beforeAutospacing="0" w:after="0" w:afterAutospacing="0" w:line="240" w:lineRule="exact"/>
                    <w:rPr>
                      <w:rFonts w:asciiTheme="minorEastAsia" w:hAnsiTheme="minorEastAsia" w:eastAsiaTheme="minorEastAsia"/>
                      <w:sz w:val="18"/>
                      <w:szCs w:val="18"/>
                    </w:rPr>
                  </w:pPr>
                  <w:r>
                    <w:rPr>
                      <w:rFonts w:hint="eastAsia" w:cs="宋体"/>
                      <w:sz w:val="18"/>
                      <w:szCs w:val="18"/>
                      <w:shd w:val="clear" w:color="auto" w:fill="FFFFFF"/>
                    </w:rPr>
                    <w:t>其他空间布局约束要求</w:t>
                  </w:r>
                </w:p>
              </w:tc>
              <w:tc>
                <w:tcPr>
                  <w:tcW w:w="1719" w:type="dxa"/>
                  <w:tcBorders>
                    <w:top w:val="single" w:color="auto" w:sz="4" w:space="0"/>
                    <w:left w:val="single" w:color="auto" w:sz="4" w:space="0"/>
                    <w:bottom w:val="single" w:color="auto" w:sz="4" w:space="0"/>
                    <w:right w:val="single" w:color="auto" w:sz="4" w:space="0"/>
                  </w:tcBorders>
                  <w:vAlign w:val="center"/>
                </w:tcPr>
                <w:p>
                  <w:pPr>
                    <w:pStyle w:val="18"/>
                    <w:shd w:val="clear" w:color="auto" w:fill="FFFFFF"/>
                    <w:spacing w:before="0" w:beforeAutospacing="0" w:after="0" w:afterAutospacing="0" w:line="24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本项目不属于禁止、限制开发建设活动的要求，符合空间布局要求</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8" w:hRule="atLeast"/>
              </w:trPr>
              <w:tc>
                <w:tcPr>
                  <w:tcW w:w="1795"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污染物排放管控</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大气环境质量执行标准</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《环境空气质量标准》（GB3095-2012）：二级</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区域大气污染物削减/替代要求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新增大气污染物排放的建设项目实施总量削减替代。</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燃煤和其他能源大气污染控制要求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工业废气污染控制要求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机动车船大气污染控制要求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扬尘污染控制要求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农业生产经营活动大气污染控制要求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重点行业企业专项治理要求</w:t>
                  </w:r>
                </w:p>
                <w:p>
                  <w:pPr>
                    <w:pStyle w:val="18"/>
                    <w:shd w:val="clear" w:color="auto" w:fill="FFFFFF"/>
                    <w:spacing w:before="0" w:beforeAutospacing="0" w:after="0" w:afterAutospacing="0" w:line="240" w:lineRule="exact"/>
                    <w:rPr>
                      <w:rFonts w:asciiTheme="minorEastAsia" w:hAnsiTheme="minorEastAsia" w:eastAsiaTheme="minorEastAsia"/>
                      <w:sz w:val="18"/>
                      <w:szCs w:val="18"/>
                    </w:rPr>
                  </w:pPr>
                  <w:r>
                    <w:rPr>
                      <w:rFonts w:hint="eastAsia" w:cs="宋体"/>
                      <w:sz w:val="18"/>
                      <w:szCs w:val="18"/>
                      <w:shd w:val="clear" w:color="auto" w:fill="FFFFFF"/>
                    </w:rPr>
                    <w:t>其他大气污染物排放管控要求</w:t>
                  </w:r>
                </w:p>
              </w:tc>
              <w:tc>
                <w:tcPr>
                  <w:tcW w:w="1719" w:type="dxa"/>
                  <w:tcBorders>
                    <w:top w:val="single" w:color="auto" w:sz="4" w:space="0"/>
                    <w:left w:val="single" w:color="auto" w:sz="4" w:space="0"/>
                    <w:bottom w:val="single" w:color="auto" w:sz="4" w:space="0"/>
                    <w:right w:val="single" w:color="auto" w:sz="4" w:space="0"/>
                  </w:tcBorders>
                  <w:vAlign w:val="center"/>
                </w:tcPr>
                <w:p>
                  <w:pPr>
                    <w:pStyle w:val="18"/>
                    <w:shd w:val="clear" w:color="auto" w:fill="FFFFFF"/>
                    <w:spacing w:before="0" w:beforeAutospacing="0" w:after="0" w:afterAutospacing="0" w:line="24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1.本项目位于大竹县高明镇同心村9组，属于环境空气功能分区中的二类区，执行</w:t>
                  </w:r>
                  <w:r>
                    <w:rPr>
                      <w:rFonts w:hint="eastAsia" w:cs="宋体"/>
                      <w:sz w:val="18"/>
                      <w:szCs w:val="18"/>
                      <w:shd w:val="clear" w:color="auto" w:fill="FFFFFF"/>
                    </w:rPr>
                    <w:t>《环境空气质量标准》（GB3095-2012）二级。</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asciiTheme="minorEastAsia" w:hAnsiTheme="minorEastAsia" w:eastAsiaTheme="minorEastAsia"/>
                      <w:sz w:val="18"/>
                      <w:szCs w:val="18"/>
                    </w:rPr>
                    <w:t>2.</w:t>
                  </w:r>
                  <w:r>
                    <w:rPr>
                      <w:rFonts w:hint="eastAsia" w:cs="宋体"/>
                      <w:sz w:val="18"/>
                      <w:szCs w:val="18"/>
                      <w:shd w:val="clear" w:color="auto" w:fill="FFFFFF"/>
                    </w:rPr>
                    <w:t>本项目营运期</w:t>
                  </w:r>
                  <w:r>
                    <w:rPr>
                      <w:rFonts w:asciiTheme="minorEastAsia" w:hAnsiTheme="minorEastAsia" w:eastAsiaTheme="minorEastAsia"/>
                      <w:sz w:val="18"/>
                      <w:szCs w:val="18"/>
                    </w:rPr>
                    <w:t>不涉及新增总量控制指标确定的大气污染物排放，工业废气污染物采取治理措施后能够实现达标排放。</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6" w:hRule="atLeast"/>
              </w:trPr>
              <w:tc>
                <w:tcPr>
                  <w:tcW w:w="1795"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环境风险防控</w:t>
                  </w:r>
                </w:p>
              </w:tc>
              <w:tc>
                <w:tcPr>
                  <w:tcW w:w="652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7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 w:hRule="atLeast"/>
              </w:trPr>
              <w:tc>
                <w:tcPr>
                  <w:tcW w:w="1795" w:type="dxa"/>
                  <w:vMerge w:val="continue"/>
                  <w:tcBorders>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资源开发效率要求</w:t>
                  </w:r>
                </w:p>
              </w:tc>
              <w:tc>
                <w:tcPr>
                  <w:tcW w:w="652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7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 w:hRule="atLeast"/>
              </w:trPr>
              <w:tc>
                <w:tcPr>
                  <w:tcW w:w="1795" w:type="dxa"/>
                  <w:vMerge w:val="restart"/>
                  <w:tcBorders>
                    <w:top w:val="nil"/>
                    <w:left w:val="single" w:color="auto" w:sz="4" w:space="0"/>
                    <w:right w:val="single" w:color="auto" w:sz="4" w:space="0"/>
                  </w:tcBorders>
                  <w:vAlign w:val="center"/>
                </w:tcPr>
                <w:p>
                  <w:pPr>
                    <w:pStyle w:val="18"/>
                    <w:widowControl w:val="0"/>
                    <w:spacing w:before="0" w:beforeAutospacing="0" w:after="0" w:afterAutospacing="0" w:line="240" w:lineRule="exact"/>
                    <w:jc w:val="both"/>
                    <w:rPr>
                      <w:rFonts w:asciiTheme="minorEastAsia" w:hAnsiTheme="minorEastAsia" w:eastAsiaTheme="minorEastAsia"/>
                      <w:b/>
                      <w:bCs/>
                      <w:sz w:val="18"/>
                      <w:szCs w:val="18"/>
                    </w:rPr>
                  </w:pPr>
                  <w:r>
                    <w:rPr>
                      <w:rFonts w:hint="eastAsia" w:cs="宋体"/>
                      <w:kern w:val="0"/>
                      <w:sz w:val="18"/>
                      <w:szCs w:val="18"/>
                    </w:rPr>
                    <w:t>YS5117241410005、大竹县土壤优先保护区</w:t>
                  </w:r>
                </w:p>
              </w:tc>
              <w:tc>
                <w:tcPr>
                  <w:tcW w:w="689"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b/>
                      <w:bCs/>
                      <w:sz w:val="18"/>
                      <w:szCs w:val="18"/>
                    </w:rPr>
                    <w:t>达州市普适性清单管控要求</w:t>
                  </w: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空间布局约束</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禁止开发建设活动的要求:暂无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限制开发建设活动的要求:暂无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不符合空间布局要求活动的退出要求:暂无</w:t>
                  </w:r>
                </w:p>
                <w:p>
                  <w:pPr>
                    <w:pStyle w:val="18"/>
                    <w:widowControl w:val="0"/>
                    <w:spacing w:before="0" w:beforeAutospacing="0" w:after="0" w:afterAutospacing="0" w:line="240" w:lineRule="exact"/>
                    <w:jc w:val="both"/>
                    <w:rPr>
                      <w:sz w:val="18"/>
                      <w:szCs w:val="18"/>
                    </w:rPr>
                  </w:pPr>
                  <w:r>
                    <w:rPr>
                      <w:rFonts w:hint="eastAsia" w:cs="宋体"/>
                      <w:kern w:val="0"/>
                      <w:sz w:val="18"/>
                      <w:szCs w:val="18"/>
                    </w:rPr>
                    <w:t>其他空间布局约束要求:</w:t>
                  </w:r>
                  <w:r>
                    <w:rPr>
                      <w:rFonts w:hint="eastAsia" w:cs="宋体"/>
                      <w:sz w:val="18"/>
                      <w:szCs w:val="18"/>
                    </w:rPr>
                    <w:t>暂无</w:t>
                  </w:r>
                </w:p>
              </w:tc>
              <w:tc>
                <w:tcPr>
                  <w:tcW w:w="17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1" w:hRule="atLeast"/>
              </w:trPr>
              <w:tc>
                <w:tcPr>
                  <w:tcW w:w="1795"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污染物排放管控</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允许排放量要求:暂无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现有源提标升级改造:暂无</w:t>
                  </w:r>
                </w:p>
                <w:p>
                  <w:pPr>
                    <w:pStyle w:val="18"/>
                    <w:widowControl w:val="0"/>
                    <w:spacing w:before="0" w:beforeAutospacing="0" w:after="0" w:afterAutospacing="0" w:line="240" w:lineRule="exact"/>
                    <w:jc w:val="both"/>
                    <w:rPr>
                      <w:sz w:val="18"/>
                      <w:szCs w:val="18"/>
                    </w:rPr>
                  </w:pPr>
                  <w:r>
                    <w:rPr>
                      <w:rFonts w:hint="eastAsia" w:cs="宋体"/>
                      <w:kern w:val="0"/>
                      <w:sz w:val="18"/>
                      <w:szCs w:val="18"/>
                    </w:rPr>
                    <w:t>其他污染物排放管控要求:</w:t>
                  </w:r>
                  <w:r>
                    <w:rPr>
                      <w:rFonts w:hint="eastAsia" w:cs="宋体"/>
                      <w:sz w:val="18"/>
                      <w:szCs w:val="18"/>
                    </w:rPr>
                    <w:t>暂无</w:t>
                  </w:r>
                </w:p>
              </w:tc>
              <w:tc>
                <w:tcPr>
                  <w:tcW w:w="17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 w:hRule="atLeast"/>
              </w:trPr>
              <w:tc>
                <w:tcPr>
                  <w:tcW w:w="1795"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环境风险防控</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联防联控要求:暂无</w:t>
                  </w:r>
                </w:p>
                <w:p>
                  <w:pPr>
                    <w:pStyle w:val="18"/>
                    <w:widowControl w:val="0"/>
                    <w:spacing w:before="0" w:beforeAutospacing="0" w:after="0" w:afterAutospacing="0" w:line="240" w:lineRule="exact"/>
                    <w:jc w:val="both"/>
                    <w:rPr>
                      <w:sz w:val="18"/>
                      <w:szCs w:val="18"/>
                    </w:rPr>
                  </w:pPr>
                  <w:r>
                    <w:rPr>
                      <w:rFonts w:hint="eastAsia" w:cs="宋体"/>
                      <w:kern w:val="0"/>
                      <w:sz w:val="18"/>
                      <w:szCs w:val="18"/>
                    </w:rPr>
                    <w:t>其他环境风险防控要求:暂无</w:t>
                  </w:r>
                </w:p>
              </w:tc>
              <w:tc>
                <w:tcPr>
                  <w:tcW w:w="17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1" w:hRule="atLeast"/>
              </w:trPr>
              <w:tc>
                <w:tcPr>
                  <w:tcW w:w="1795"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资源开发效率要求</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水资源利用总量要求：暂无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地下水开采要求：暂无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能源利用总量及效率要求：暂无</w:t>
                  </w:r>
                </w:p>
                <w:p>
                  <w:pPr>
                    <w:pStyle w:val="18"/>
                    <w:widowControl w:val="0"/>
                    <w:spacing w:before="0" w:beforeAutospacing="0" w:after="0" w:afterAutospacing="0" w:line="240" w:lineRule="exact"/>
                    <w:jc w:val="both"/>
                    <w:rPr>
                      <w:rFonts w:cs="宋体"/>
                      <w:kern w:val="0"/>
                      <w:sz w:val="18"/>
                      <w:szCs w:val="18"/>
                    </w:rPr>
                  </w:pPr>
                  <w:r>
                    <w:rPr>
                      <w:rFonts w:hint="eastAsia" w:cs="宋体"/>
                      <w:kern w:val="0"/>
                      <w:sz w:val="18"/>
                      <w:szCs w:val="18"/>
                    </w:rPr>
                    <w:t>禁燃区要求：暂无</w:t>
                  </w:r>
                </w:p>
                <w:p>
                  <w:pPr>
                    <w:pStyle w:val="18"/>
                    <w:widowControl w:val="0"/>
                    <w:spacing w:before="0" w:beforeAutospacing="0" w:after="0" w:afterAutospacing="0" w:line="240" w:lineRule="exact"/>
                    <w:jc w:val="both"/>
                    <w:rPr>
                      <w:sz w:val="18"/>
                      <w:szCs w:val="18"/>
                    </w:rPr>
                  </w:pPr>
                  <w:r>
                    <w:rPr>
                      <w:rFonts w:hint="eastAsia" w:cs="宋体"/>
                      <w:kern w:val="0"/>
                      <w:sz w:val="18"/>
                      <w:szCs w:val="18"/>
                    </w:rPr>
                    <w:t>其他资源利用效率要求：</w:t>
                  </w:r>
                  <w:r>
                    <w:rPr>
                      <w:rFonts w:hint="eastAsia" w:cs="宋体"/>
                      <w:sz w:val="18"/>
                      <w:szCs w:val="18"/>
                    </w:rPr>
                    <w:t>暂无</w:t>
                  </w:r>
                </w:p>
              </w:tc>
              <w:tc>
                <w:tcPr>
                  <w:tcW w:w="17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 w:hRule="atLeast"/>
              </w:trPr>
              <w:tc>
                <w:tcPr>
                  <w:tcW w:w="1795" w:type="dxa"/>
                  <w:vMerge w:val="continue"/>
                  <w:tcBorders>
                    <w:left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p>
              </w:tc>
              <w:tc>
                <w:tcPr>
                  <w:tcW w:w="689"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b/>
                      <w:bCs/>
                      <w:sz w:val="18"/>
                      <w:szCs w:val="18"/>
                    </w:rPr>
                    <w:t>单元级清单管控要求</w:t>
                  </w: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空间布局约束</w:t>
                  </w:r>
                </w:p>
              </w:tc>
              <w:tc>
                <w:tcPr>
                  <w:tcW w:w="6520" w:type="dxa"/>
                  <w:tcBorders>
                    <w:top w:val="single" w:color="auto" w:sz="4" w:space="0"/>
                    <w:left w:val="single" w:color="auto" w:sz="4" w:space="0"/>
                    <w:bottom w:val="single" w:color="auto" w:sz="4" w:space="0"/>
                    <w:right w:val="single" w:color="auto" w:sz="4" w:space="0"/>
                  </w:tcBorders>
                  <w:vAlign w:val="center"/>
                </w:tcPr>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禁止开发建设活动的要求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限制开发建设活动的要求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允许开发建设活动的要求</w:t>
                  </w:r>
                </w:p>
                <w:p>
                  <w:pPr>
                    <w:pStyle w:val="18"/>
                    <w:shd w:val="clear" w:color="auto" w:fill="FFFFFF"/>
                    <w:spacing w:before="0" w:beforeAutospacing="0" w:after="0" w:afterAutospacing="0" w:line="240" w:lineRule="exact"/>
                    <w:rPr>
                      <w:rFonts w:cs="宋体"/>
                      <w:sz w:val="18"/>
                      <w:szCs w:val="18"/>
                      <w:shd w:val="clear" w:color="auto" w:fill="FFFFFF"/>
                    </w:rPr>
                  </w:pPr>
                  <w:r>
                    <w:rPr>
                      <w:rFonts w:hint="eastAsia" w:cs="宋体"/>
                      <w:sz w:val="18"/>
                      <w:szCs w:val="18"/>
                      <w:shd w:val="clear" w:color="auto" w:fill="FFFFFF"/>
                    </w:rPr>
                    <w:t>不符合空间布局要求活动的退出要求</w:t>
                  </w:r>
                </w:p>
                <w:p>
                  <w:pPr>
                    <w:widowControl/>
                    <w:spacing w:line="240" w:lineRule="exact"/>
                    <w:jc w:val="left"/>
                    <w:rPr>
                      <w:rFonts w:asciiTheme="minorEastAsia" w:hAnsiTheme="minorEastAsia" w:eastAsiaTheme="minorEastAsia"/>
                      <w:sz w:val="18"/>
                      <w:szCs w:val="18"/>
                    </w:rPr>
                  </w:pPr>
                  <w:r>
                    <w:rPr>
                      <w:rFonts w:hint="eastAsia" w:cs="宋体"/>
                      <w:sz w:val="18"/>
                      <w:szCs w:val="18"/>
                      <w:shd w:val="clear" w:color="auto" w:fill="FFFFFF"/>
                    </w:rPr>
                    <w:t>其他空间布局约束要求</w:t>
                  </w:r>
                </w:p>
              </w:tc>
              <w:tc>
                <w:tcPr>
                  <w:tcW w:w="17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1" w:hRule="atLeast"/>
              </w:trPr>
              <w:tc>
                <w:tcPr>
                  <w:tcW w:w="1795"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污染物排放管控</w:t>
                  </w:r>
                </w:p>
              </w:tc>
              <w:tc>
                <w:tcPr>
                  <w:tcW w:w="6520" w:type="dxa"/>
                  <w:tcBorders>
                    <w:top w:val="single" w:color="auto" w:sz="4" w:space="0"/>
                    <w:left w:val="single" w:color="auto" w:sz="4" w:space="0"/>
                    <w:bottom w:val="single" w:color="auto" w:sz="4" w:space="0"/>
                    <w:right w:val="single" w:color="auto" w:sz="4" w:space="0"/>
                  </w:tcBorders>
                  <w:vAlign w:val="center"/>
                </w:tcPr>
                <w:p>
                  <w:pPr>
                    <w:pStyle w:val="63"/>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7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 w:hRule="atLeast"/>
              </w:trPr>
              <w:tc>
                <w:tcPr>
                  <w:tcW w:w="1795"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环境风险防控</w:t>
                  </w:r>
                </w:p>
              </w:tc>
              <w:tc>
                <w:tcPr>
                  <w:tcW w:w="65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7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8" w:hRule="atLeast"/>
              </w:trPr>
              <w:tc>
                <w:tcPr>
                  <w:tcW w:w="1795"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
                      <w:bCs/>
                      <w:sz w:val="18"/>
                      <w:szCs w:val="18"/>
                    </w:rPr>
                  </w:pPr>
                </w:p>
              </w:tc>
              <w:tc>
                <w:tcPr>
                  <w:tcW w:w="68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资源开发效率要求</w:t>
                  </w:r>
                </w:p>
              </w:tc>
              <w:tc>
                <w:tcPr>
                  <w:tcW w:w="652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7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bl>
          <w:p>
            <w:pPr>
              <w:widowControl/>
              <w:spacing w:line="400" w:lineRule="exact"/>
              <w:ind w:firstLine="420" w:firstLineChars="200"/>
              <w:jc w:val="left"/>
              <w:rPr>
                <w:bCs/>
                <w:kern w:val="0"/>
                <w:szCs w:val="21"/>
              </w:rPr>
            </w:pPr>
            <w:r>
              <w:rPr>
                <w:rFonts w:hint="eastAsia"/>
                <w:bCs/>
                <w:kern w:val="0"/>
                <w:szCs w:val="21"/>
              </w:rPr>
              <w:t>本项目的建设，与“三线一单”的空间符合性和管控要求符合性要求是相符的。</w:t>
            </w:r>
          </w:p>
          <w:p>
            <w:pPr>
              <w:pStyle w:val="14"/>
            </w:pPr>
          </w:p>
          <w:p>
            <w:pPr>
              <w:pStyle w:val="14"/>
            </w:pPr>
          </w:p>
          <w:p>
            <w:pPr>
              <w:pStyle w:val="14"/>
            </w:pPr>
          </w:p>
          <w:p>
            <w:pPr>
              <w:pStyle w:val="14"/>
            </w:pPr>
          </w:p>
          <w:p>
            <w:pPr>
              <w:pStyle w:val="14"/>
            </w:pPr>
          </w:p>
          <w:p>
            <w:pPr>
              <w:pStyle w:val="14"/>
            </w:pPr>
          </w:p>
        </w:tc>
      </w:tr>
    </w:tbl>
    <w:p>
      <w:pPr>
        <w:widowControl/>
        <w:spacing w:line="20" w:lineRule="exact"/>
        <w:jc w:val="left"/>
        <w:rPr>
          <w:rFonts w:eastAsia="黑体"/>
          <w:sz w:val="30"/>
        </w:rPr>
        <w:sectPr>
          <w:pgSz w:w="16838" w:h="11906" w:orient="landscape"/>
          <w:pgMar w:top="1701" w:right="1701" w:bottom="1701" w:left="1701" w:header="851" w:footer="1077" w:gutter="0"/>
          <w:pgNumType w:fmt="numberInDash"/>
          <w:cols w:space="720" w:num="1"/>
          <w:docGrid w:linePitch="286" w:charSpace="0"/>
        </w:sectPr>
      </w:pPr>
    </w:p>
    <w:tbl>
      <w:tblPr>
        <w:tblStyle w:val="21"/>
        <w:tblW w:w="89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6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7" w:type="dxa"/>
          </w:tcPr>
          <w:p>
            <w:pPr>
              <w:widowControl/>
              <w:spacing w:line="400" w:lineRule="exact"/>
              <w:jc w:val="left"/>
              <w:rPr>
                <w:rFonts w:eastAsia="黑体"/>
                <w:sz w:val="30"/>
              </w:rPr>
            </w:pPr>
          </w:p>
        </w:tc>
        <w:tc>
          <w:tcPr>
            <w:tcW w:w="6784" w:type="dxa"/>
          </w:tcPr>
          <w:p>
            <w:pPr>
              <w:adjustRightInd w:val="0"/>
              <w:snapToGrid w:val="0"/>
              <w:spacing w:line="400" w:lineRule="exact"/>
              <w:ind w:left="-53" w:leftChars="-25" w:right="-53" w:rightChars="-25"/>
              <w:jc w:val="left"/>
              <w:rPr>
                <w:rFonts w:ascii="黑体" w:hAnsi="黑体" w:eastAsia="黑体" w:cs="宋体"/>
                <w:bCs/>
                <w:kern w:val="0"/>
                <w:sz w:val="20"/>
                <w:szCs w:val="21"/>
              </w:rPr>
            </w:pPr>
            <w:r>
              <w:rPr>
                <w:rFonts w:hint="eastAsia" w:ascii="黑体" w:hAnsi="黑体" w:eastAsia="黑体" w:cs="宋体"/>
                <w:bCs/>
                <w:kern w:val="0"/>
                <w:sz w:val="20"/>
                <w:szCs w:val="21"/>
              </w:rPr>
              <w:t>3、</w:t>
            </w:r>
            <w:r>
              <w:rPr>
                <w:rFonts w:hint="eastAsia" w:ascii="黑体" w:hAnsi="黑体" w:eastAsia="黑体" w:cs="宋体"/>
                <w:bCs/>
                <w:szCs w:val="21"/>
              </w:rPr>
              <w:t>与《四川省、重庆市长江经济带发展负面清单实施细则(试行，2022年版）》的符合性分析</w:t>
            </w:r>
          </w:p>
          <w:p>
            <w:pPr>
              <w:autoSpaceDE w:val="0"/>
              <w:autoSpaceDN w:val="0"/>
              <w:adjustRightInd w:val="0"/>
              <w:snapToGrid w:val="0"/>
              <w:spacing w:line="400" w:lineRule="exact"/>
              <w:ind w:firstLine="420" w:firstLineChars="200"/>
              <w:jc w:val="left"/>
              <w:rPr>
                <w:rFonts w:cs="宋体"/>
                <w:kern w:val="0"/>
                <w:sz w:val="20"/>
                <w:szCs w:val="21"/>
              </w:rPr>
            </w:pPr>
            <w:r>
              <w:rPr>
                <w:rFonts w:hint="eastAsia"/>
                <w:bCs/>
                <w:szCs w:val="21"/>
              </w:rPr>
              <w:t>四川省推动长江经济带发展领导小组办公室、重庆市推动长江经济带发展领导小组办公室于2022年8月25日，发布了《关于印发</w:t>
            </w:r>
            <w:r>
              <w:rPr>
                <w:rFonts w:hint="eastAsia" w:ascii="宋体" w:hAnsi="宋体" w:cs="宋体"/>
                <w:bCs/>
                <w:szCs w:val="21"/>
              </w:rPr>
              <w:t>&lt;</w:t>
            </w:r>
            <w:r>
              <w:rPr>
                <w:rFonts w:hint="eastAsia"/>
                <w:bCs/>
                <w:szCs w:val="21"/>
              </w:rPr>
              <w:t>四川省、重庆市长江经济带发展负面清单实施细则(试行，2022年版）</w:t>
            </w:r>
            <w:r>
              <w:rPr>
                <w:rFonts w:hint="eastAsia" w:ascii="宋体" w:hAnsi="宋体" w:cs="宋体"/>
                <w:bCs/>
                <w:szCs w:val="21"/>
              </w:rPr>
              <w:t>&gt;的通知</w:t>
            </w:r>
            <w:r>
              <w:rPr>
                <w:rFonts w:hint="eastAsia"/>
                <w:bCs/>
                <w:szCs w:val="21"/>
              </w:rPr>
              <w:t>》（川长江办</w:t>
            </w:r>
            <w:r>
              <w:rPr>
                <w:rFonts w:asciiTheme="minorEastAsia" w:hAnsiTheme="minorEastAsia" w:eastAsiaTheme="minorEastAsia"/>
                <w:bCs/>
                <w:szCs w:val="21"/>
              </w:rPr>
              <w:t>〔2022〕17号）</w:t>
            </w:r>
            <w:r>
              <w:rPr>
                <w:rFonts w:hint="eastAsia"/>
                <w:bCs/>
                <w:szCs w:val="21"/>
              </w:rPr>
              <w:t>。本项目与《四川省、重庆市长江经济带发展负面清单实施细则(试行，2022年版）》的符合性分析见下表</w:t>
            </w:r>
            <w:r>
              <w:rPr>
                <w:rFonts w:hint="eastAsia" w:cs="宋体"/>
                <w:kern w:val="0"/>
                <w:sz w:val="20"/>
                <w:szCs w:val="21"/>
              </w:rPr>
              <w:t>。</w:t>
            </w:r>
          </w:p>
          <w:p>
            <w:pPr>
              <w:adjustRightInd w:val="0"/>
              <w:snapToGrid w:val="0"/>
              <w:spacing w:line="400" w:lineRule="exact"/>
              <w:jc w:val="center"/>
              <w:rPr>
                <w:rFonts w:eastAsia="黑体"/>
                <w:bCs/>
                <w:kern w:val="0"/>
                <w:sz w:val="20"/>
                <w:szCs w:val="21"/>
              </w:rPr>
            </w:pPr>
            <w:r>
              <w:rPr>
                <w:b/>
                <w:bCs/>
                <w:kern w:val="0"/>
                <w:sz w:val="18"/>
                <w:szCs w:val="18"/>
              </w:rPr>
              <w:t>表</w:t>
            </w:r>
            <w:r>
              <w:rPr>
                <w:rFonts w:hint="eastAsia"/>
                <w:b/>
                <w:bCs/>
                <w:kern w:val="0"/>
                <w:sz w:val="18"/>
                <w:szCs w:val="18"/>
              </w:rPr>
              <w:t xml:space="preserve">1-4  </w:t>
            </w:r>
            <w:r>
              <w:rPr>
                <w:rFonts w:hint="eastAsia"/>
                <w:b/>
                <w:spacing w:val="-20"/>
                <w:sz w:val="18"/>
                <w:szCs w:val="18"/>
              </w:rPr>
              <w:t>项目与四川省、重庆市长江经济带发展负面清单实施细则(试行，2022年版）的符合性分</w:t>
            </w:r>
            <w:r>
              <w:rPr>
                <w:rFonts w:hint="eastAsia"/>
                <w:b/>
                <w:bCs/>
                <w:spacing w:val="-20"/>
                <w:kern w:val="0"/>
                <w:sz w:val="18"/>
                <w:szCs w:val="18"/>
              </w:rPr>
              <w:t>析</w:t>
            </w:r>
          </w:p>
          <w:tbl>
            <w:tblPr>
              <w:tblStyle w:val="20"/>
              <w:tblW w:w="65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2"/>
              <w:gridCol w:w="3307"/>
              <w:gridCol w:w="2291"/>
              <w:gridCol w:w="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9" w:hRule="atLeast"/>
                <w:tblHeader/>
                <w:jc w:val="center"/>
              </w:trPr>
              <w:tc>
                <w:tcPr>
                  <w:tcW w:w="432"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序号</w:t>
                  </w:r>
                </w:p>
              </w:tc>
              <w:tc>
                <w:tcPr>
                  <w:tcW w:w="3307"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《负面清单》原文内容</w:t>
                  </w:r>
                </w:p>
              </w:tc>
              <w:tc>
                <w:tcPr>
                  <w:tcW w:w="2291"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本项目情况</w:t>
                  </w:r>
                </w:p>
              </w:tc>
              <w:tc>
                <w:tcPr>
                  <w:tcW w:w="528"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86" w:hRule="atLeast"/>
                <w:tblHeader/>
                <w:jc w:val="center"/>
              </w:trPr>
              <w:tc>
                <w:tcPr>
                  <w:tcW w:w="432" w:type="dxa"/>
                  <w:tcBorders>
                    <w:top w:val="single" w:color="000000" w:sz="4" w:space="0"/>
                  </w:tcBorders>
                  <w:vAlign w:val="center"/>
                </w:tcPr>
                <w:p>
                  <w:pPr>
                    <w:adjustRightInd w:val="0"/>
                    <w:snapToGrid w:val="0"/>
                    <w:spacing w:line="260" w:lineRule="exact"/>
                    <w:jc w:val="center"/>
                    <w:rPr>
                      <w:sz w:val="15"/>
                      <w:szCs w:val="15"/>
                    </w:rPr>
                  </w:pPr>
                  <w:r>
                    <w:rPr>
                      <w:rFonts w:hint="eastAsia"/>
                      <w:sz w:val="15"/>
                      <w:szCs w:val="15"/>
                    </w:rPr>
                    <w:t>1</w:t>
                  </w:r>
                </w:p>
              </w:tc>
              <w:tc>
                <w:tcPr>
                  <w:tcW w:w="3307" w:type="dxa"/>
                  <w:tcBorders>
                    <w:top w:val="single" w:color="000000" w:sz="4" w:space="0"/>
                  </w:tcBorders>
                  <w:vAlign w:val="center"/>
                </w:tcPr>
                <w:p>
                  <w:pPr>
                    <w:pStyle w:val="18"/>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第七条禁止在自然保护区核心区、缓冲区的岸线和河段范围内投资建设旅游和生产经营项目。自然保护区的内部未分区的，依照核心区和缓冲区的规定管控。</w:t>
                  </w:r>
                </w:p>
              </w:tc>
              <w:tc>
                <w:tcPr>
                  <w:tcW w:w="2291" w:type="dxa"/>
                  <w:tcBorders>
                    <w:top w:val="single" w:color="000000" w:sz="4" w:space="0"/>
                  </w:tcBorders>
                  <w:vAlign w:val="center"/>
                </w:tcPr>
                <w:p>
                  <w:pPr>
                    <w:pStyle w:val="18"/>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位于大竹县高明镇同心村9组，建设区域不属于自然保护区等生态敏感区。</w:t>
                  </w:r>
                </w:p>
              </w:tc>
              <w:tc>
                <w:tcPr>
                  <w:tcW w:w="528" w:type="dxa"/>
                  <w:tcBorders>
                    <w:top w:val="single" w:color="000000" w:sz="4" w:space="0"/>
                  </w:tcBorders>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7" w:hRule="atLeast"/>
                <w:tblHeader/>
                <w:jc w:val="center"/>
              </w:trPr>
              <w:tc>
                <w:tcPr>
                  <w:tcW w:w="432" w:type="dxa"/>
                  <w:vAlign w:val="center"/>
                </w:tcPr>
                <w:p>
                  <w:pPr>
                    <w:adjustRightInd w:val="0"/>
                    <w:snapToGrid w:val="0"/>
                    <w:spacing w:line="260" w:lineRule="exact"/>
                    <w:jc w:val="center"/>
                    <w:rPr>
                      <w:sz w:val="15"/>
                      <w:szCs w:val="15"/>
                    </w:rPr>
                  </w:pPr>
                  <w:r>
                    <w:rPr>
                      <w:rFonts w:hint="eastAsia"/>
                      <w:sz w:val="15"/>
                      <w:szCs w:val="15"/>
                    </w:rPr>
                    <w:t>2</w:t>
                  </w:r>
                </w:p>
              </w:tc>
              <w:tc>
                <w:tcPr>
                  <w:tcW w:w="3307" w:type="dxa"/>
                  <w:vAlign w:val="center"/>
                </w:tcPr>
                <w:p>
                  <w:pPr>
                    <w:pStyle w:val="18"/>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第九条禁止在饮用水水源准保护区的岸线和河段范围内新建、扩建对水体污染严重的建设项目，禁止改建增加排污量的建设项目。</w:t>
                  </w:r>
                </w:p>
              </w:tc>
              <w:tc>
                <w:tcPr>
                  <w:tcW w:w="2291" w:type="dxa"/>
                  <w:vAlign w:val="center"/>
                </w:tcPr>
                <w:p>
                  <w:pPr>
                    <w:pStyle w:val="18"/>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与本项目有关的地表水体为西面相距</w:t>
                  </w:r>
                  <w:r>
                    <w:rPr>
                      <w:rFonts w:hint="eastAsia" w:cs="Times New Roman"/>
                      <w:sz w:val="15"/>
                      <w:szCs w:val="15"/>
                    </w:rPr>
                    <w:t>620m的高滩河。项目建设区域不属于饮用水源保护区范围。</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8" w:hRule="atLeast"/>
                <w:tblHeader/>
                <w:jc w:val="center"/>
              </w:trPr>
              <w:tc>
                <w:tcPr>
                  <w:tcW w:w="432" w:type="dxa"/>
                  <w:vAlign w:val="center"/>
                </w:tcPr>
                <w:p>
                  <w:pPr>
                    <w:adjustRightInd w:val="0"/>
                    <w:snapToGrid w:val="0"/>
                    <w:spacing w:line="260" w:lineRule="exact"/>
                    <w:jc w:val="center"/>
                    <w:rPr>
                      <w:sz w:val="15"/>
                      <w:szCs w:val="15"/>
                    </w:rPr>
                  </w:pPr>
                  <w:r>
                    <w:rPr>
                      <w:rFonts w:hint="eastAsia"/>
                      <w:sz w:val="15"/>
                      <w:szCs w:val="15"/>
                    </w:rPr>
                    <w:t>3</w:t>
                  </w:r>
                </w:p>
              </w:tc>
              <w:tc>
                <w:tcPr>
                  <w:tcW w:w="3307" w:type="dxa"/>
                  <w:vAlign w:val="center"/>
                </w:tcPr>
                <w:p>
                  <w:pPr>
                    <w:pStyle w:val="18"/>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第十八条禁止在长江干支流、重要湖泊岸线一公里范围内新建、扩建化工园区和化工项目。</w:t>
                  </w:r>
                </w:p>
              </w:tc>
              <w:tc>
                <w:tcPr>
                  <w:tcW w:w="2291" w:type="dxa"/>
                  <w:vAlign w:val="center"/>
                </w:tcPr>
                <w:p>
                  <w:pPr>
                    <w:pStyle w:val="18"/>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不属于化工项目</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86" w:hRule="atLeast"/>
                <w:tblHeader/>
                <w:jc w:val="center"/>
              </w:trPr>
              <w:tc>
                <w:tcPr>
                  <w:tcW w:w="432" w:type="dxa"/>
                  <w:vAlign w:val="center"/>
                </w:tcPr>
                <w:p>
                  <w:pPr>
                    <w:adjustRightInd w:val="0"/>
                    <w:snapToGrid w:val="0"/>
                    <w:spacing w:line="260" w:lineRule="exact"/>
                    <w:jc w:val="center"/>
                    <w:rPr>
                      <w:sz w:val="15"/>
                      <w:szCs w:val="15"/>
                    </w:rPr>
                  </w:pPr>
                  <w:r>
                    <w:rPr>
                      <w:rFonts w:hint="eastAsia"/>
                      <w:sz w:val="15"/>
                      <w:szCs w:val="15"/>
                    </w:rPr>
                    <w:t>4</w:t>
                  </w:r>
                </w:p>
              </w:tc>
              <w:tc>
                <w:tcPr>
                  <w:tcW w:w="3307" w:type="dxa"/>
                  <w:vAlign w:val="center"/>
                </w:tcPr>
                <w:p>
                  <w:pPr>
                    <w:pStyle w:val="18"/>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第十九条禁止在长江干流岸线三公里范围内和重要支流岸线一公里范围内新建、改建、扩建尾矿库、冶炼渣库、磷石膏库，以提升安全、生态环境保护水平为目的的改建除外。</w:t>
                  </w:r>
                </w:p>
              </w:tc>
              <w:tc>
                <w:tcPr>
                  <w:tcW w:w="2291" w:type="dxa"/>
                </w:tcPr>
                <w:p>
                  <w:pPr>
                    <w:pStyle w:val="18"/>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为污泥综合利用项目，不涉及建设</w:t>
                  </w:r>
                  <w:r>
                    <w:rPr>
                      <w:rFonts w:hint="eastAsia" w:ascii="Times New Roman" w:hAnsi="Times New Roman" w:cs="Times New Roman"/>
                      <w:sz w:val="15"/>
                      <w:szCs w:val="15"/>
                    </w:rPr>
                    <w:t>尾矿库、冶炼渣库、磷石膏库等</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86" w:hRule="atLeast"/>
                <w:tblHeader/>
                <w:jc w:val="center"/>
              </w:trPr>
              <w:tc>
                <w:tcPr>
                  <w:tcW w:w="432" w:type="dxa"/>
                  <w:vAlign w:val="center"/>
                </w:tcPr>
                <w:p>
                  <w:pPr>
                    <w:adjustRightInd w:val="0"/>
                    <w:snapToGrid w:val="0"/>
                    <w:spacing w:line="260" w:lineRule="exact"/>
                    <w:jc w:val="center"/>
                    <w:rPr>
                      <w:sz w:val="15"/>
                      <w:szCs w:val="15"/>
                    </w:rPr>
                  </w:pPr>
                  <w:r>
                    <w:rPr>
                      <w:rFonts w:hint="eastAsia"/>
                      <w:sz w:val="15"/>
                      <w:szCs w:val="15"/>
                    </w:rPr>
                    <w:t>5</w:t>
                  </w:r>
                </w:p>
              </w:tc>
              <w:tc>
                <w:tcPr>
                  <w:tcW w:w="3307" w:type="dxa"/>
                  <w:vAlign w:val="center"/>
                </w:tcPr>
                <w:p>
                  <w:pPr>
                    <w:pStyle w:val="18"/>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第二十一条禁止在合规园区外新建、扩建钢铁、石化、化工、焦化、建材、有色、制浆造纸等高污染项目。</w:t>
                  </w:r>
                </w:p>
              </w:tc>
              <w:tc>
                <w:tcPr>
                  <w:tcW w:w="2291" w:type="dxa"/>
                </w:tcPr>
                <w:p>
                  <w:pPr>
                    <w:pStyle w:val="18"/>
                    <w:keepNext/>
                    <w:keepLines/>
                    <w:widowControl w:val="0"/>
                    <w:autoSpaceDE w:val="0"/>
                    <w:spacing w:before="0" w:beforeAutospacing="0" w:after="0" w:afterAutospacing="0" w:line="260" w:lineRule="exact"/>
                    <w:jc w:val="both"/>
                    <w:rPr>
                      <w:rFonts w:cs="Times New Roman"/>
                      <w:sz w:val="15"/>
                      <w:szCs w:val="15"/>
                    </w:rPr>
                  </w:pPr>
                  <w:r>
                    <w:rPr>
                      <w:rFonts w:hint="eastAsia" w:cs="Times New Roman"/>
                      <w:sz w:val="15"/>
                      <w:szCs w:val="15"/>
                    </w:rPr>
                    <w:t>本项目位于大竹县高明镇同心村9组，不属于</w:t>
                  </w:r>
                  <w:r>
                    <w:rPr>
                      <w:rFonts w:hint="eastAsia" w:ascii="Times New Roman" w:hAnsi="Times New Roman" w:cs="Times New Roman"/>
                      <w:sz w:val="15"/>
                      <w:szCs w:val="15"/>
                    </w:rPr>
                    <w:t>新建、扩建钢铁、石化、化工、焦化、建材、有色、制浆造纸等高污染项目</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55" w:hRule="atLeast"/>
                <w:tblHeader/>
                <w:jc w:val="center"/>
              </w:trPr>
              <w:tc>
                <w:tcPr>
                  <w:tcW w:w="432" w:type="dxa"/>
                  <w:vAlign w:val="center"/>
                </w:tcPr>
                <w:p>
                  <w:pPr>
                    <w:adjustRightInd w:val="0"/>
                    <w:snapToGrid w:val="0"/>
                    <w:spacing w:line="260" w:lineRule="exact"/>
                    <w:jc w:val="center"/>
                    <w:rPr>
                      <w:sz w:val="15"/>
                      <w:szCs w:val="15"/>
                    </w:rPr>
                  </w:pPr>
                  <w:r>
                    <w:rPr>
                      <w:rFonts w:hint="eastAsia"/>
                      <w:sz w:val="15"/>
                      <w:szCs w:val="15"/>
                    </w:rPr>
                    <w:t>6</w:t>
                  </w:r>
                </w:p>
              </w:tc>
              <w:tc>
                <w:tcPr>
                  <w:tcW w:w="3307" w:type="dxa"/>
                  <w:vAlign w:val="center"/>
                </w:tcPr>
                <w:p>
                  <w:pPr>
                    <w:pStyle w:val="18"/>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291" w:type="dxa"/>
                  <w:vAlign w:val="center"/>
                </w:tcPr>
                <w:p>
                  <w:pPr>
                    <w:pStyle w:val="18"/>
                    <w:keepNext/>
                    <w:keepLines/>
                    <w:widowControl w:val="0"/>
                    <w:autoSpaceDE w:val="0"/>
                    <w:spacing w:before="0" w:beforeAutospacing="0" w:after="0" w:afterAutospacing="0" w:line="260" w:lineRule="exact"/>
                    <w:jc w:val="both"/>
                    <w:rPr>
                      <w:rFonts w:cs="Times New Roman"/>
                      <w:sz w:val="15"/>
                      <w:szCs w:val="15"/>
                    </w:rPr>
                  </w:pPr>
                  <w:r>
                    <w:rPr>
                      <w:rFonts w:hint="eastAsia" w:cs="Times New Roman"/>
                      <w:sz w:val="15"/>
                      <w:szCs w:val="15"/>
                    </w:rPr>
                    <w:t>本项目符合国家现行产业政策，项目已取得立项备案手续。</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86" w:hRule="atLeast"/>
                <w:tblHeader/>
                <w:jc w:val="center"/>
              </w:trPr>
              <w:tc>
                <w:tcPr>
                  <w:tcW w:w="432" w:type="dxa"/>
                  <w:vAlign w:val="center"/>
                </w:tcPr>
                <w:p>
                  <w:pPr>
                    <w:adjustRightInd w:val="0"/>
                    <w:snapToGrid w:val="0"/>
                    <w:spacing w:line="260" w:lineRule="exact"/>
                    <w:jc w:val="center"/>
                    <w:rPr>
                      <w:sz w:val="15"/>
                      <w:szCs w:val="15"/>
                    </w:rPr>
                  </w:pPr>
                  <w:r>
                    <w:rPr>
                      <w:rFonts w:hint="eastAsia"/>
                      <w:sz w:val="15"/>
                      <w:szCs w:val="15"/>
                    </w:rPr>
                    <w:t>7</w:t>
                  </w:r>
                </w:p>
              </w:tc>
              <w:tc>
                <w:tcPr>
                  <w:tcW w:w="3307" w:type="dxa"/>
                  <w:vAlign w:val="center"/>
                </w:tcPr>
                <w:p>
                  <w:pPr>
                    <w:pStyle w:val="18"/>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第二十四条禁止新建、扩建不符合国家产能置换要求的严重过剩产能行业的项目。对于不符合国家产能置换要求的严重过剩产能行业，不得以其他任何名义、任何方式备案新增产能项目。</w:t>
                  </w:r>
                </w:p>
              </w:tc>
              <w:tc>
                <w:tcPr>
                  <w:tcW w:w="2291" w:type="dxa"/>
                  <w:vAlign w:val="center"/>
                </w:tcPr>
                <w:p>
                  <w:pPr>
                    <w:pStyle w:val="18"/>
                    <w:keepNext/>
                    <w:keepLines/>
                    <w:widowControl w:val="0"/>
                    <w:autoSpaceDE w:val="0"/>
                    <w:spacing w:before="0" w:beforeAutospacing="0" w:after="0" w:afterAutospacing="0" w:line="260" w:lineRule="exact"/>
                    <w:jc w:val="both"/>
                    <w:rPr>
                      <w:rFonts w:cs="Times New Roman"/>
                      <w:sz w:val="15"/>
                      <w:szCs w:val="15"/>
                    </w:rPr>
                  </w:pPr>
                  <w:r>
                    <w:rPr>
                      <w:rFonts w:hint="eastAsia" w:cs="Times New Roman"/>
                      <w:sz w:val="15"/>
                      <w:szCs w:val="15"/>
                    </w:rPr>
                    <w:t>本项目为污泥综合利用项目，不属于</w:t>
                  </w:r>
                  <w:r>
                    <w:rPr>
                      <w:rFonts w:hint="eastAsia" w:ascii="Times New Roman" w:hAnsi="Times New Roman" w:cs="Times New Roman"/>
                      <w:sz w:val="15"/>
                      <w:szCs w:val="15"/>
                    </w:rPr>
                    <w:t>国家产能置换要求的严重过剩产能行业的项目</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96" w:hRule="atLeast"/>
                <w:tblHeader/>
                <w:jc w:val="center"/>
              </w:trPr>
              <w:tc>
                <w:tcPr>
                  <w:tcW w:w="432" w:type="dxa"/>
                  <w:vAlign w:val="center"/>
                </w:tcPr>
                <w:p>
                  <w:pPr>
                    <w:adjustRightInd w:val="0"/>
                    <w:snapToGrid w:val="0"/>
                    <w:spacing w:line="260" w:lineRule="exact"/>
                    <w:jc w:val="center"/>
                    <w:rPr>
                      <w:sz w:val="15"/>
                      <w:szCs w:val="15"/>
                    </w:rPr>
                  </w:pPr>
                  <w:r>
                    <w:rPr>
                      <w:rFonts w:hint="eastAsia"/>
                      <w:sz w:val="15"/>
                      <w:szCs w:val="15"/>
                    </w:rPr>
                    <w:t>8</w:t>
                  </w:r>
                </w:p>
              </w:tc>
              <w:tc>
                <w:tcPr>
                  <w:tcW w:w="3307" w:type="dxa"/>
                  <w:vAlign w:val="center"/>
                </w:tcPr>
                <w:p>
                  <w:pPr>
                    <w:pStyle w:val="18"/>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第二十六条禁止新建、扩建不符合要求的高耗能、高排放、低水平项目。</w:t>
                  </w:r>
                </w:p>
              </w:tc>
              <w:tc>
                <w:tcPr>
                  <w:tcW w:w="2291" w:type="dxa"/>
                </w:tcPr>
                <w:p>
                  <w:pPr>
                    <w:pStyle w:val="18"/>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本项目主要利用现有新型烧结砖生产线综合利用污水厂的污泥，不属于</w:t>
                  </w:r>
                  <w:r>
                    <w:rPr>
                      <w:rFonts w:hint="eastAsia" w:ascii="Times New Roman" w:hAnsi="Times New Roman" w:cs="Times New Roman"/>
                      <w:sz w:val="15"/>
                      <w:szCs w:val="15"/>
                    </w:rPr>
                    <w:t>新建、扩建不符合要求的高耗能、高排放、低水平项目</w:t>
                  </w:r>
                </w:p>
              </w:tc>
              <w:tc>
                <w:tcPr>
                  <w:tcW w:w="528" w:type="dxa"/>
                  <w:vAlign w:val="center"/>
                </w:tcPr>
                <w:p>
                  <w:pPr>
                    <w:adjustRightInd w:val="0"/>
                    <w:snapToGrid w:val="0"/>
                    <w:spacing w:line="260" w:lineRule="exact"/>
                    <w:jc w:val="center"/>
                    <w:rPr>
                      <w:sz w:val="15"/>
                      <w:szCs w:val="15"/>
                    </w:rPr>
                  </w:pPr>
                  <w:r>
                    <w:rPr>
                      <w:rFonts w:hint="eastAsia"/>
                      <w:sz w:val="15"/>
                      <w:szCs w:val="15"/>
                    </w:rPr>
                    <w:t>符合</w:t>
                  </w:r>
                </w:p>
              </w:tc>
            </w:tr>
          </w:tbl>
          <w:p>
            <w:pPr>
              <w:adjustRightInd w:val="0"/>
              <w:snapToGrid w:val="0"/>
              <w:spacing w:line="400" w:lineRule="exact"/>
              <w:jc w:val="left"/>
              <w:rPr>
                <w:rFonts w:eastAsia="黑体"/>
                <w:bCs/>
                <w:szCs w:val="21"/>
              </w:rPr>
            </w:pPr>
            <w:r>
              <w:rPr>
                <w:rFonts w:hint="eastAsia" w:eastAsia="黑体"/>
                <w:bCs/>
                <w:szCs w:val="21"/>
              </w:rPr>
              <w:t>4</w:t>
            </w:r>
            <w:r>
              <w:rPr>
                <w:rFonts w:eastAsia="黑体"/>
                <w:bCs/>
                <w:szCs w:val="21"/>
              </w:rPr>
              <w:t>、与</w:t>
            </w:r>
            <w:r>
              <w:rPr>
                <w:rFonts w:hint="eastAsia" w:eastAsia="黑体"/>
                <w:bCs/>
                <w:szCs w:val="21"/>
              </w:rPr>
              <w:t>《四川省工业炉窑大气污染综合治理实施清单》（川环函〔2019〕1002号）的符合性</w:t>
            </w:r>
          </w:p>
          <w:p>
            <w:pPr>
              <w:adjustRightInd w:val="0"/>
              <w:snapToGrid w:val="0"/>
              <w:spacing w:line="400" w:lineRule="exact"/>
              <w:ind w:firstLine="420" w:firstLineChars="200"/>
              <w:jc w:val="left"/>
              <w:rPr>
                <w:rFonts w:asciiTheme="minorEastAsia" w:hAnsiTheme="minorEastAsia" w:eastAsiaTheme="minorEastAsia"/>
                <w:bCs/>
                <w:szCs w:val="21"/>
              </w:rPr>
            </w:pPr>
            <w:r>
              <w:rPr>
                <w:rFonts w:hint="eastAsia" w:asciiTheme="minorEastAsia" w:hAnsiTheme="minorEastAsia" w:eastAsiaTheme="minorEastAsia"/>
                <w:bCs/>
                <w:szCs w:val="21"/>
              </w:rPr>
              <w:t>2019年10月30日，四川省生态环境厅、省发展改革委、省经济和信息化厅、省财政厅等部门组织制订了《四川省工业炉窑大气污染综合治理实施清单》，该清单提出的工作目标是：到2020年底，逐步完善建立工业炉窑大气污染综合治理管理体系，推进工业炉窑全面达标排放，实现工业行业二氧化硫、氮氧化物、颗粒物等污染物排放进一步下降，促进钢铁、建材等重点行业二氧化碳排放总量得到有效控制，推进环境空气质量持续改善，助力打赢蓝天保卫战，推动产业转型升级和高质量发展。</w:t>
            </w:r>
          </w:p>
          <w:p>
            <w:pPr>
              <w:adjustRightInd w:val="0"/>
              <w:snapToGrid w:val="0"/>
              <w:spacing w:line="400" w:lineRule="exact"/>
              <w:ind w:firstLine="420" w:firstLineChars="200"/>
              <w:jc w:val="left"/>
              <w:rPr>
                <w:rFonts w:asciiTheme="minorEastAsia" w:hAnsiTheme="minorEastAsia" w:eastAsiaTheme="minorEastAsia"/>
                <w:bCs/>
                <w:szCs w:val="21"/>
              </w:rPr>
            </w:pPr>
            <w:r>
              <w:rPr>
                <w:rFonts w:hint="eastAsia" w:asciiTheme="minorEastAsia" w:hAnsiTheme="minorEastAsia" w:eastAsiaTheme="minorEastAsia"/>
                <w:bCs/>
                <w:szCs w:val="21"/>
              </w:rPr>
              <w:t>本项目与《四川省工业炉窑大气污染综合治理实施清单》的符合性分析如下：</w:t>
            </w:r>
          </w:p>
          <w:p>
            <w:pPr>
              <w:pStyle w:val="14"/>
              <w:spacing w:after="0" w:line="400" w:lineRule="exact"/>
              <w:ind w:left="0" w:leftChars="0" w:firstLine="337"/>
              <w:jc w:val="center"/>
              <w:rPr>
                <w:b/>
                <w:spacing w:val="-6"/>
                <w:sz w:val="18"/>
              </w:rPr>
            </w:pPr>
            <w:r>
              <w:rPr>
                <w:rFonts w:hint="eastAsia"/>
                <w:b/>
                <w:spacing w:val="-6"/>
                <w:sz w:val="18"/>
              </w:rPr>
              <w:t xml:space="preserve">表1-5  </w:t>
            </w:r>
            <w:r>
              <w:rPr>
                <w:rFonts w:hint="eastAsia"/>
                <w:b/>
                <w:spacing w:val="-6"/>
                <w:sz w:val="18"/>
                <w:szCs w:val="18"/>
              </w:rPr>
              <w:t>与</w:t>
            </w:r>
            <w:r>
              <w:rPr>
                <w:rFonts w:hint="eastAsia"/>
                <w:b/>
                <w:spacing w:val="-6"/>
                <w:kern w:val="0"/>
                <w:sz w:val="18"/>
                <w:szCs w:val="18"/>
              </w:rPr>
              <w:t>《四川省工业炉窑大气污染综合治理实施清单》符合性</w:t>
            </w:r>
          </w:p>
          <w:tbl>
            <w:tblPr>
              <w:tblStyle w:val="42"/>
              <w:tblW w:w="637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85"/>
              <w:gridCol w:w="2127"/>
              <w:gridCol w:w="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3685" w:type="dxa"/>
                  <w:vAlign w:val="center"/>
                </w:tcPr>
                <w:p>
                  <w:pPr>
                    <w:pStyle w:val="41"/>
                    <w:spacing w:before="0" w:beforeAutospacing="0" w:line="260" w:lineRule="exact"/>
                    <w:jc w:val="center"/>
                    <w:rPr>
                      <w:rFonts w:ascii="宋体" w:hAnsi="宋体" w:cs="宋体"/>
                      <w:b/>
                      <w:sz w:val="15"/>
                      <w:szCs w:val="15"/>
                      <w:lang w:eastAsia="en-US"/>
                    </w:rPr>
                  </w:pPr>
                  <w:r>
                    <w:rPr>
                      <w:rFonts w:ascii="宋体" w:hAnsi="宋体" w:cs="宋体"/>
                      <w:b/>
                      <w:sz w:val="15"/>
                      <w:szCs w:val="15"/>
                      <w:lang w:eastAsia="en-US"/>
                    </w:rPr>
                    <w:t>清单要求</w:t>
                  </w:r>
                </w:p>
              </w:tc>
              <w:tc>
                <w:tcPr>
                  <w:tcW w:w="2127" w:type="dxa"/>
                  <w:vAlign w:val="center"/>
                </w:tcPr>
                <w:p>
                  <w:pPr>
                    <w:pStyle w:val="41"/>
                    <w:spacing w:before="0" w:beforeAutospacing="0" w:line="260" w:lineRule="exact"/>
                    <w:jc w:val="center"/>
                    <w:rPr>
                      <w:rFonts w:ascii="宋体" w:hAnsi="宋体" w:cs="宋体"/>
                      <w:b/>
                      <w:sz w:val="15"/>
                      <w:szCs w:val="15"/>
                      <w:lang w:eastAsia="en-US"/>
                    </w:rPr>
                  </w:pPr>
                  <w:r>
                    <w:rPr>
                      <w:rFonts w:ascii="宋体" w:hAnsi="宋体" w:cs="宋体"/>
                      <w:b/>
                      <w:sz w:val="15"/>
                      <w:szCs w:val="15"/>
                      <w:lang w:eastAsia="en-US"/>
                    </w:rPr>
                    <w:t>本项目情况</w:t>
                  </w:r>
                </w:p>
              </w:tc>
              <w:tc>
                <w:tcPr>
                  <w:tcW w:w="567" w:type="dxa"/>
                  <w:vAlign w:val="center"/>
                </w:tcPr>
                <w:p>
                  <w:pPr>
                    <w:pStyle w:val="41"/>
                    <w:spacing w:before="0" w:beforeAutospacing="0" w:line="260" w:lineRule="exact"/>
                    <w:jc w:val="center"/>
                    <w:rPr>
                      <w:rFonts w:ascii="宋体" w:hAnsi="宋体" w:cs="宋体"/>
                      <w:b/>
                      <w:sz w:val="15"/>
                      <w:szCs w:val="15"/>
                      <w:lang w:eastAsia="en-US"/>
                    </w:rPr>
                  </w:pPr>
                  <w:r>
                    <w:rPr>
                      <w:rFonts w:ascii="宋体" w:hAnsi="宋体" w:cs="宋体"/>
                      <w:b/>
                      <w:sz w:val="15"/>
                      <w:szCs w:val="15"/>
                      <w:lang w:eastAsia="en-US"/>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 w:hRule="atLeast"/>
                <w:jc w:val="center"/>
              </w:trPr>
              <w:tc>
                <w:tcPr>
                  <w:tcW w:w="3685" w:type="dxa"/>
                  <w:vAlign w:val="center"/>
                </w:tcPr>
                <w:p>
                  <w:pPr>
                    <w:pStyle w:val="41"/>
                    <w:spacing w:before="0" w:beforeAutospacing="0" w:line="260" w:lineRule="exact"/>
                    <w:rPr>
                      <w:rFonts w:ascii="宋体" w:hAnsi="宋体" w:cs="宋体"/>
                      <w:sz w:val="15"/>
                      <w:szCs w:val="15"/>
                      <w:lang w:eastAsia="zh-CN"/>
                    </w:rPr>
                  </w:pPr>
                  <w:r>
                    <w:rPr>
                      <w:rFonts w:hint="eastAsia"/>
                      <w:bCs/>
                      <w:sz w:val="15"/>
                      <w:szCs w:val="15"/>
                      <w:lang w:eastAsia="zh-CN"/>
                    </w:rPr>
                    <w:t>加大产业结构调整力度。严格建设项目环境准入。新建涉工业炉窑的建设项目，原则上要入工业园区，配套建设高效环保治理设施。严禁新增钢铁、水泥、焦化、电解铝、平板玻璃等产能。严格执行钢铁、水泥、平板玻璃、电解铝等产能置换有关规定。</w:t>
                  </w:r>
                </w:p>
              </w:tc>
              <w:tc>
                <w:tcPr>
                  <w:tcW w:w="2127" w:type="dxa"/>
                  <w:vAlign w:val="center"/>
                </w:tcPr>
                <w:p>
                  <w:pPr>
                    <w:pStyle w:val="41"/>
                    <w:spacing w:before="0" w:beforeAutospacing="0" w:line="260" w:lineRule="exact"/>
                    <w:rPr>
                      <w:rFonts w:ascii="宋体" w:hAnsi="宋体" w:cs="宋体"/>
                      <w:sz w:val="15"/>
                      <w:szCs w:val="15"/>
                      <w:lang w:eastAsia="zh-CN"/>
                    </w:rPr>
                  </w:pPr>
                  <w:r>
                    <w:rPr>
                      <w:rFonts w:ascii="宋体" w:hAnsi="宋体" w:cs="宋体"/>
                      <w:sz w:val="15"/>
                      <w:szCs w:val="15"/>
                      <w:lang w:eastAsia="zh-CN"/>
                    </w:rPr>
                    <w:t>本项目不属于新建涉工业炉窑的项目，主要是利用现有烧结砖瓦窑处置生活污水厂的污泥。</w:t>
                  </w:r>
                </w:p>
              </w:tc>
              <w:tc>
                <w:tcPr>
                  <w:tcW w:w="567" w:type="dxa"/>
                  <w:vAlign w:val="center"/>
                </w:tcPr>
                <w:p>
                  <w:pPr>
                    <w:pStyle w:val="41"/>
                    <w:spacing w:before="0" w:beforeAutospacing="0" w:line="260" w:lineRule="exact"/>
                    <w:jc w:val="center"/>
                    <w:rPr>
                      <w:rFonts w:ascii="宋体" w:hAnsi="宋体" w:cs="宋体"/>
                      <w:sz w:val="15"/>
                      <w:szCs w:val="15"/>
                      <w:lang w:eastAsia="en-US"/>
                    </w:rPr>
                  </w:pPr>
                  <w:r>
                    <w:rPr>
                      <w:rFonts w:ascii="宋体" w:hAnsi="宋体" w:cs="宋体"/>
                      <w:sz w:val="15"/>
                      <w:szCs w:val="15"/>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 w:hRule="atLeast"/>
                <w:jc w:val="center"/>
              </w:trPr>
              <w:tc>
                <w:tcPr>
                  <w:tcW w:w="3685" w:type="dxa"/>
                  <w:vAlign w:val="center"/>
                </w:tcPr>
                <w:p>
                  <w:pPr>
                    <w:pStyle w:val="41"/>
                    <w:spacing w:before="0" w:beforeAutospacing="0" w:line="260" w:lineRule="exact"/>
                    <w:rPr>
                      <w:rFonts w:ascii="宋体" w:hAnsi="宋体" w:cs="宋体"/>
                      <w:sz w:val="15"/>
                      <w:szCs w:val="15"/>
                      <w:lang w:eastAsia="zh-CN"/>
                    </w:rPr>
                  </w:pPr>
                  <w:r>
                    <w:rPr>
                      <w:rFonts w:hint="eastAsia"/>
                      <w:bCs/>
                      <w:sz w:val="15"/>
                      <w:szCs w:val="15"/>
                      <w:lang w:eastAsia="zh-CN"/>
                    </w:rPr>
                    <w:t>加大落后产能和不达标工业炉窑淘汰力度。分行业清理淘汰《产业结构调整目录》淘汰类工业炉窑。加快淘汰炉膛直径3米以下的中小型煤气发生炉。对热效率低下、敞开未封闭，装备简易落后、自动化程度低，无组织排放突出等严重污染环境的工业炉窑，以及污染治理设施工艺落后或污染物不能稳定达标的工业炉窑，限期整改，经整改仍无法达标的，依法报经有批准权的人民政府批准，责令停业、关闭。</w:t>
                  </w:r>
                </w:p>
              </w:tc>
              <w:tc>
                <w:tcPr>
                  <w:tcW w:w="2127" w:type="dxa"/>
                  <w:vAlign w:val="center"/>
                </w:tcPr>
                <w:p>
                  <w:pPr>
                    <w:pStyle w:val="41"/>
                    <w:spacing w:before="0" w:beforeAutospacing="0" w:line="260" w:lineRule="exact"/>
                    <w:rPr>
                      <w:rFonts w:ascii="宋体" w:hAnsi="宋体" w:cs="宋体"/>
                      <w:sz w:val="15"/>
                      <w:szCs w:val="15"/>
                      <w:lang w:eastAsia="zh-CN"/>
                    </w:rPr>
                  </w:pPr>
                  <w:r>
                    <w:rPr>
                      <w:rFonts w:ascii="宋体" w:hAnsi="宋体" w:cs="宋体"/>
                      <w:sz w:val="15"/>
                      <w:szCs w:val="15"/>
                      <w:lang w:eastAsia="zh-CN"/>
                    </w:rPr>
                    <w:t>本项目利用的烧结砖瓦窑为</w:t>
                  </w:r>
                  <w:r>
                    <w:rPr>
                      <w:rFonts w:hint="eastAsia" w:ascii="宋体" w:hAnsi="宋体" w:cs="宋体"/>
                      <w:sz w:val="15"/>
                      <w:szCs w:val="15"/>
                      <w:lang w:eastAsia="zh-CN"/>
                    </w:rPr>
                    <w:t>集余热回收用于砖坯干燥及焙烧、冷却为一体的节能隧道窑</w:t>
                  </w:r>
                  <w:r>
                    <w:rPr>
                      <w:rFonts w:ascii="宋体" w:hAnsi="宋体" w:cs="宋体"/>
                      <w:sz w:val="15"/>
                      <w:szCs w:val="15"/>
                      <w:lang w:eastAsia="zh-CN"/>
                    </w:rPr>
                    <w:t>，不属于淘汰类工业炉窑。该砖瓦窑废气配套有废气收集治理设施，能够实现达标排放。</w:t>
                  </w:r>
                </w:p>
              </w:tc>
              <w:tc>
                <w:tcPr>
                  <w:tcW w:w="567" w:type="dxa"/>
                  <w:vAlign w:val="center"/>
                </w:tcPr>
                <w:p>
                  <w:pPr>
                    <w:pStyle w:val="41"/>
                    <w:spacing w:before="0" w:beforeAutospacing="0" w:line="260" w:lineRule="exact"/>
                    <w:jc w:val="center"/>
                    <w:rPr>
                      <w:rFonts w:ascii="宋体" w:hAnsi="宋体" w:cs="宋体"/>
                      <w:sz w:val="15"/>
                      <w:szCs w:val="15"/>
                      <w:lang w:eastAsia="en-US"/>
                    </w:rPr>
                  </w:pPr>
                  <w:r>
                    <w:rPr>
                      <w:rFonts w:ascii="宋体" w:hAnsi="宋体" w:cs="宋体"/>
                      <w:sz w:val="15"/>
                      <w:szCs w:val="15"/>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 w:hRule="atLeast"/>
                <w:jc w:val="center"/>
              </w:trPr>
              <w:tc>
                <w:tcPr>
                  <w:tcW w:w="3685" w:type="dxa"/>
                  <w:vAlign w:val="center"/>
                </w:tcPr>
                <w:p>
                  <w:pPr>
                    <w:pStyle w:val="41"/>
                    <w:spacing w:before="0" w:beforeAutospacing="0" w:line="260" w:lineRule="exact"/>
                    <w:rPr>
                      <w:rFonts w:ascii="宋体" w:hAnsi="宋体" w:cs="宋体"/>
                      <w:sz w:val="15"/>
                      <w:szCs w:val="15"/>
                      <w:lang w:eastAsia="zh-CN"/>
                    </w:rPr>
                  </w:pPr>
                  <w:r>
                    <w:rPr>
                      <w:rFonts w:hint="eastAsia"/>
                      <w:bCs/>
                      <w:sz w:val="15"/>
                      <w:szCs w:val="15"/>
                      <w:lang w:eastAsia="zh-CN"/>
                    </w:rPr>
                    <w:t>推进工业炉窑全面达标排放。已有行业排放标准的工业炉窑，要严格执行相关行业排放标准（见附件2），配套建设高效除尘脱硫脱硝设施（见附件3），确保稳定达标排放。有排污许可证的，应严格执行许可要求。</w:t>
                  </w:r>
                </w:p>
              </w:tc>
              <w:tc>
                <w:tcPr>
                  <w:tcW w:w="2127" w:type="dxa"/>
                  <w:vAlign w:val="center"/>
                </w:tcPr>
                <w:p>
                  <w:pPr>
                    <w:pStyle w:val="41"/>
                    <w:spacing w:before="0" w:beforeAutospacing="0" w:line="260" w:lineRule="exact"/>
                    <w:rPr>
                      <w:rFonts w:ascii="宋体" w:hAnsi="宋体" w:cs="宋体"/>
                      <w:sz w:val="15"/>
                      <w:szCs w:val="15"/>
                      <w:lang w:eastAsia="zh-CN"/>
                    </w:rPr>
                  </w:pPr>
                  <w:r>
                    <w:rPr>
                      <w:rFonts w:ascii="宋体" w:hAnsi="宋体" w:cs="宋体"/>
                      <w:sz w:val="15"/>
                      <w:szCs w:val="15"/>
                      <w:lang w:eastAsia="zh-CN"/>
                    </w:rPr>
                    <w:t>本项目拟利用的烧结砖瓦窑配套有砖窑废气脱硫设施，废气排放能够满足《砖瓦</w:t>
                  </w:r>
                  <w:r>
                    <w:rPr>
                      <w:rFonts w:hint="eastAsia" w:ascii="宋体" w:hAnsi="宋体" w:cs="宋体"/>
                      <w:sz w:val="15"/>
                      <w:szCs w:val="15"/>
                      <w:lang w:eastAsia="zh-CN"/>
                    </w:rPr>
                    <w:t>工业大气污染物排放标准》（GB29620-2013）限值要求。</w:t>
                  </w:r>
                </w:p>
              </w:tc>
              <w:tc>
                <w:tcPr>
                  <w:tcW w:w="567" w:type="dxa"/>
                  <w:vAlign w:val="center"/>
                </w:tcPr>
                <w:p>
                  <w:pPr>
                    <w:pStyle w:val="41"/>
                    <w:spacing w:before="0" w:beforeAutospacing="0" w:line="260" w:lineRule="exact"/>
                    <w:jc w:val="center"/>
                    <w:rPr>
                      <w:rFonts w:ascii="宋体" w:hAnsi="宋体" w:cs="宋体"/>
                      <w:sz w:val="15"/>
                      <w:szCs w:val="15"/>
                      <w:lang w:eastAsia="en-US"/>
                    </w:rPr>
                  </w:pPr>
                  <w:r>
                    <w:rPr>
                      <w:rFonts w:ascii="宋体" w:hAnsi="宋体" w:cs="宋体"/>
                      <w:sz w:val="15"/>
                      <w:szCs w:val="15"/>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 w:hRule="atLeast"/>
                <w:jc w:val="center"/>
              </w:trPr>
              <w:tc>
                <w:tcPr>
                  <w:tcW w:w="3685" w:type="dxa"/>
                  <w:vAlign w:val="center"/>
                </w:tcPr>
                <w:p>
                  <w:pPr>
                    <w:pStyle w:val="41"/>
                    <w:spacing w:before="0" w:beforeAutospacing="0" w:line="280" w:lineRule="exact"/>
                    <w:rPr>
                      <w:rFonts w:ascii="宋体" w:hAnsi="宋体" w:cs="宋体"/>
                      <w:spacing w:val="-2"/>
                      <w:sz w:val="15"/>
                      <w:szCs w:val="15"/>
                      <w:lang w:eastAsia="zh-CN"/>
                    </w:rPr>
                  </w:pPr>
                  <w:r>
                    <w:rPr>
                      <w:rFonts w:hint="eastAsia"/>
                      <w:bCs/>
                      <w:spacing w:val="-2"/>
                      <w:sz w:val="15"/>
                      <w:szCs w:val="15"/>
                      <w:lang w:eastAsia="zh-CN"/>
                    </w:rPr>
                    <w:t>全面加强无组织排放管理。严格控制工业炉窑生产工艺过程及相关物料储存、输送等无组织排放，在保障生产安全的前提下，采取密闭、封闭等有效措施（见附件4），有效提高废气收集率，产尘点及车间不得有可见烟粉尘外逸。</w:t>
                  </w:r>
                </w:p>
              </w:tc>
              <w:tc>
                <w:tcPr>
                  <w:tcW w:w="2127" w:type="dxa"/>
                  <w:vAlign w:val="center"/>
                </w:tcPr>
                <w:p>
                  <w:pPr>
                    <w:pStyle w:val="41"/>
                    <w:spacing w:before="0" w:beforeAutospacing="0" w:line="280" w:lineRule="exact"/>
                    <w:rPr>
                      <w:rFonts w:ascii="宋体" w:hAnsi="宋体" w:cs="宋体"/>
                      <w:sz w:val="15"/>
                      <w:szCs w:val="15"/>
                      <w:lang w:eastAsia="zh-CN"/>
                    </w:rPr>
                  </w:pPr>
                  <w:r>
                    <w:rPr>
                      <w:rFonts w:ascii="宋体" w:hAnsi="宋体" w:cs="宋体"/>
                      <w:sz w:val="15"/>
                      <w:szCs w:val="15"/>
                      <w:lang w:eastAsia="zh-CN"/>
                    </w:rPr>
                    <w:t>本项目烧结砖生产过程，针对各废气产生环节采取封闭式生产、配套有收集处理设施。</w:t>
                  </w:r>
                </w:p>
              </w:tc>
              <w:tc>
                <w:tcPr>
                  <w:tcW w:w="567" w:type="dxa"/>
                  <w:vAlign w:val="center"/>
                </w:tcPr>
                <w:p>
                  <w:pPr>
                    <w:pStyle w:val="41"/>
                    <w:spacing w:before="0" w:beforeAutospacing="0" w:line="260" w:lineRule="exact"/>
                    <w:jc w:val="center"/>
                    <w:rPr>
                      <w:rFonts w:ascii="宋体" w:hAnsi="宋体" w:cs="宋体"/>
                      <w:sz w:val="15"/>
                      <w:szCs w:val="15"/>
                      <w:lang w:eastAsia="zh-CN"/>
                    </w:rPr>
                  </w:pPr>
                  <w:r>
                    <w:rPr>
                      <w:rFonts w:ascii="宋体" w:hAnsi="宋体" w:cs="宋体"/>
                      <w:sz w:val="15"/>
                      <w:szCs w:val="15"/>
                      <w:lang w:eastAsia="zh-CN"/>
                    </w:rPr>
                    <w:t>符合</w:t>
                  </w:r>
                </w:p>
              </w:tc>
            </w:tr>
          </w:tbl>
          <w:p>
            <w:pPr>
              <w:adjustRightInd w:val="0"/>
              <w:snapToGrid w:val="0"/>
              <w:spacing w:line="400" w:lineRule="exact"/>
              <w:jc w:val="left"/>
              <w:rPr>
                <w:rFonts w:eastAsia="黑体"/>
                <w:bCs/>
                <w:szCs w:val="21"/>
              </w:rPr>
            </w:pPr>
            <w:r>
              <w:rPr>
                <w:rFonts w:hint="eastAsia" w:eastAsia="黑体"/>
                <w:bCs/>
                <w:szCs w:val="21"/>
              </w:rPr>
              <w:t>5</w:t>
            </w:r>
            <w:r>
              <w:rPr>
                <w:rFonts w:eastAsia="黑体"/>
                <w:bCs/>
                <w:szCs w:val="21"/>
              </w:rPr>
              <w:t>、与</w:t>
            </w:r>
            <w:r>
              <w:rPr>
                <w:rFonts w:hint="eastAsia" w:eastAsia="黑体"/>
                <w:bCs/>
                <w:szCs w:val="21"/>
              </w:rPr>
              <w:t>《关于坚决遏制烧结砖瓦行业产能盲目扩张的通知》（川经信冶建</w:t>
            </w:r>
            <w:r>
              <w:rPr>
                <w:rFonts w:ascii="微软雅黑" w:hAnsi="微软雅黑" w:eastAsia="微软雅黑" w:cs="微软雅黑"/>
                <w:i w:val="0"/>
                <w:caps w:val="0"/>
                <w:color w:val="000000"/>
                <w:spacing w:val="0"/>
                <w:sz w:val="21"/>
                <w:szCs w:val="21"/>
                <w:shd w:val="clear" w:fill="FFFFFF"/>
              </w:rPr>
              <w:t>〔20</w:t>
            </w:r>
            <w:r>
              <w:rPr>
                <w:rFonts w:hint="eastAsia" w:ascii="微软雅黑" w:hAnsi="微软雅黑" w:eastAsia="微软雅黑" w:cs="微软雅黑"/>
                <w:i w:val="0"/>
                <w:caps w:val="0"/>
                <w:color w:val="000000"/>
                <w:spacing w:val="0"/>
                <w:sz w:val="21"/>
                <w:szCs w:val="21"/>
                <w:shd w:val="clear" w:fill="FFFFFF"/>
                <w:lang w:val="en-US" w:eastAsia="zh-CN"/>
              </w:rPr>
              <w:t>18</w:t>
            </w:r>
            <w:r>
              <w:rPr>
                <w:rFonts w:ascii="微软雅黑" w:hAnsi="微软雅黑" w:eastAsia="微软雅黑" w:cs="微软雅黑"/>
                <w:i w:val="0"/>
                <w:caps w:val="0"/>
                <w:color w:val="000000"/>
                <w:spacing w:val="0"/>
                <w:sz w:val="21"/>
                <w:szCs w:val="21"/>
                <w:shd w:val="clear" w:fill="FFFFFF"/>
              </w:rPr>
              <w:t>〕</w:t>
            </w:r>
            <w:r>
              <w:rPr>
                <w:rFonts w:hint="eastAsia" w:eastAsia="黑体"/>
                <w:bCs/>
                <w:szCs w:val="21"/>
              </w:rPr>
              <w:t>106 号）的符合性</w:t>
            </w:r>
          </w:p>
          <w:p>
            <w:pPr>
              <w:adjustRightInd w:val="0"/>
              <w:snapToGrid w:val="0"/>
              <w:spacing w:line="404" w:lineRule="exact"/>
              <w:ind w:firstLine="420" w:firstLineChars="200"/>
              <w:jc w:val="left"/>
              <w:rPr>
                <w:rFonts w:asciiTheme="minorEastAsia" w:hAnsiTheme="minorEastAsia" w:eastAsiaTheme="minorEastAsia"/>
                <w:bCs/>
                <w:szCs w:val="21"/>
              </w:rPr>
            </w:pPr>
            <w:r>
              <w:rPr>
                <w:rFonts w:hint="eastAsia" w:asciiTheme="minorEastAsia" w:hAnsiTheme="minorEastAsia" w:eastAsiaTheme="minorEastAsia"/>
                <w:bCs/>
                <w:szCs w:val="21"/>
              </w:rPr>
              <w:t>2018年5月15日，四川省经济和信息化委员会等 4 部门发布了《关于坚决遏制烧结砖瓦行业产能盲目扩张的通知》（川经信冶建</w:t>
            </w:r>
            <w:r>
              <w:rPr>
                <w:rFonts w:ascii="微软雅黑" w:hAnsi="微软雅黑" w:eastAsia="微软雅黑" w:cs="微软雅黑"/>
                <w:i w:val="0"/>
                <w:caps w:val="0"/>
                <w:color w:val="000000"/>
                <w:spacing w:val="0"/>
                <w:sz w:val="21"/>
                <w:szCs w:val="21"/>
                <w:shd w:val="clear" w:fill="FFFFFF"/>
              </w:rPr>
              <w:t>〔20</w:t>
            </w:r>
            <w:r>
              <w:rPr>
                <w:rFonts w:hint="eastAsia" w:ascii="微软雅黑" w:hAnsi="微软雅黑" w:eastAsia="微软雅黑" w:cs="微软雅黑"/>
                <w:i w:val="0"/>
                <w:caps w:val="0"/>
                <w:color w:val="000000"/>
                <w:spacing w:val="0"/>
                <w:sz w:val="21"/>
                <w:szCs w:val="21"/>
                <w:shd w:val="clear" w:fill="FFFFFF"/>
                <w:lang w:val="en-US" w:eastAsia="zh-CN"/>
              </w:rPr>
              <w:t>18</w:t>
            </w:r>
            <w:r>
              <w:rPr>
                <w:rFonts w:ascii="微软雅黑" w:hAnsi="微软雅黑" w:eastAsia="微软雅黑" w:cs="微软雅黑"/>
                <w:i w:val="0"/>
                <w:caps w:val="0"/>
                <w:color w:val="000000"/>
                <w:spacing w:val="0"/>
                <w:sz w:val="21"/>
                <w:szCs w:val="21"/>
                <w:shd w:val="clear" w:fill="FFFFFF"/>
              </w:rPr>
              <w:t>〕</w:t>
            </w:r>
            <w:r>
              <w:rPr>
                <w:rFonts w:hint="eastAsia" w:asciiTheme="minorEastAsia" w:hAnsiTheme="minorEastAsia" w:eastAsiaTheme="minorEastAsia"/>
                <w:bCs/>
                <w:szCs w:val="21"/>
              </w:rPr>
              <w:t>106 号），“二、备案新增产能项目  各市 (州)、县(市、区) 经济和信息化、发展改革主管部门要加强烧结砖瓦行业的项目管理，在 2020 年底前不得以任何名义备案新增产能项目，国土、环保等部门不得办理土地供应环评审批等相关业务，金融机构不得提供任何形式的新增授信支持。确有必要建设的项目，须制定产能减量化置换方案，用于建设项目的置换产能必须是合法合规，手续齐全的产能，国家明令淘汰的落后产能不能用于置换。用于建设项目置换的产能，在建设项目投产前必须关停拆除退出。”</w:t>
            </w:r>
          </w:p>
          <w:p>
            <w:pPr>
              <w:adjustRightInd w:val="0"/>
              <w:snapToGrid w:val="0"/>
              <w:spacing w:line="404" w:lineRule="exact"/>
              <w:ind w:firstLine="420" w:firstLineChars="200"/>
              <w:jc w:val="left"/>
              <w:rPr>
                <w:rFonts w:asciiTheme="minorEastAsia" w:hAnsiTheme="minorEastAsia" w:eastAsiaTheme="minorEastAsia"/>
                <w:bCs/>
                <w:szCs w:val="21"/>
              </w:rPr>
            </w:pPr>
            <w:r>
              <w:rPr>
                <w:rFonts w:hint="eastAsia" w:asciiTheme="minorEastAsia" w:hAnsiTheme="minorEastAsia" w:eastAsiaTheme="minorEastAsia"/>
                <w:bCs/>
                <w:szCs w:val="21"/>
              </w:rPr>
              <w:t>本项目是利用现有烧结砖瓦窑处置生活污水厂的污泥，替代部分制砖原料，项目实施后不新增砖瓦产能，也不属于通知中明令禁止的烧结砖瓦新建项目。</w:t>
            </w:r>
          </w:p>
          <w:p>
            <w:pPr>
              <w:adjustRightInd w:val="0"/>
              <w:snapToGrid w:val="0"/>
              <w:spacing w:line="404" w:lineRule="exact"/>
              <w:jc w:val="left"/>
              <w:rPr>
                <w:rFonts w:eastAsia="黑体"/>
                <w:bCs/>
                <w:szCs w:val="21"/>
              </w:rPr>
            </w:pPr>
            <w:r>
              <w:rPr>
                <w:rFonts w:hint="eastAsia" w:eastAsia="黑体"/>
                <w:bCs/>
                <w:szCs w:val="21"/>
              </w:rPr>
              <w:t>6</w:t>
            </w:r>
            <w:r>
              <w:rPr>
                <w:rFonts w:eastAsia="黑体"/>
                <w:bCs/>
                <w:szCs w:val="21"/>
              </w:rPr>
              <w:t>、与</w:t>
            </w:r>
            <w:r>
              <w:rPr>
                <w:rFonts w:hint="eastAsia" w:eastAsia="黑体"/>
                <w:bCs/>
                <w:szCs w:val="21"/>
              </w:rPr>
              <w:t>《关于加快淘汰烧结砖瓦落后产能的通知》（川经信办函</w:t>
            </w:r>
            <w:r>
              <w:rPr>
                <w:rFonts w:ascii="微软雅黑" w:hAnsi="微软雅黑" w:eastAsia="微软雅黑" w:cs="微软雅黑"/>
                <w:i w:val="0"/>
                <w:caps w:val="0"/>
                <w:color w:val="000000"/>
                <w:spacing w:val="0"/>
                <w:sz w:val="21"/>
                <w:szCs w:val="21"/>
                <w:shd w:val="clear" w:fill="FFFFFF"/>
              </w:rPr>
              <w:t>〔2020〕</w:t>
            </w:r>
            <w:r>
              <w:rPr>
                <w:rFonts w:hint="eastAsia" w:eastAsia="黑体"/>
                <w:bCs/>
                <w:szCs w:val="21"/>
              </w:rPr>
              <w:t>191 号）的符合性</w:t>
            </w:r>
          </w:p>
          <w:p>
            <w:pPr>
              <w:adjustRightInd w:val="0"/>
              <w:snapToGrid w:val="0"/>
              <w:spacing w:line="404" w:lineRule="exact"/>
              <w:ind w:firstLine="420" w:firstLineChars="200"/>
              <w:jc w:val="left"/>
              <w:rPr>
                <w:rFonts w:asciiTheme="minorEastAsia" w:hAnsiTheme="minorEastAsia" w:eastAsiaTheme="minorEastAsia"/>
                <w:bCs/>
                <w:szCs w:val="21"/>
              </w:rPr>
            </w:pPr>
            <w:r>
              <w:rPr>
                <w:rFonts w:hint="eastAsia" w:asciiTheme="minorEastAsia" w:hAnsiTheme="minorEastAsia" w:eastAsiaTheme="minorEastAsia"/>
                <w:bCs/>
                <w:szCs w:val="21"/>
              </w:rPr>
              <w:t>为了贯彻落实</w:t>
            </w:r>
            <w:r>
              <w:rPr>
                <w:rFonts w:hint="eastAsia" w:asciiTheme="minorEastAsia" w:hAnsiTheme="minorEastAsia" w:eastAsiaTheme="minorEastAsia"/>
                <w:bCs/>
                <w:szCs w:val="21"/>
                <w:lang w:eastAsia="zh-CN"/>
              </w:rPr>
              <w:t>国家发展和改革委员会</w:t>
            </w:r>
            <w:r>
              <w:rPr>
                <w:rFonts w:hint="eastAsia" w:asciiTheme="minorEastAsia" w:hAnsiTheme="minorEastAsia" w:eastAsiaTheme="minorEastAsia"/>
                <w:bCs/>
                <w:szCs w:val="21"/>
              </w:rPr>
              <w:t>《产业结构调整指导目录（2019年本）》（</w:t>
            </w:r>
            <w:r>
              <w:rPr>
                <w:rFonts w:hint="eastAsia" w:asciiTheme="minorEastAsia" w:hAnsiTheme="minorEastAsia" w:eastAsiaTheme="minorEastAsia"/>
                <w:bCs/>
                <w:szCs w:val="21"/>
                <w:lang w:eastAsia="zh-CN"/>
              </w:rPr>
              <w:t>国家发展和改革委员会</w:t>
            </w:r>
            <w:r>
              <w:rPr>
                <w:rFonts w:hint="eastAsia" w:asciiTheme="minorEastAsia" w:hAnsiTheme="minorEastAsia" w:eastAsiaTheme="minorEastAsia"/>
                <w:bCs/>
                <w:szCs w:val="21"/>
              </w:rPr>
              <w:t>第29号）有关要求，2020年9月15日，四川省经济和信息化厅办公室发布了《关于加快淘汰烧结砖瓦落后产能的通知》（川经信办函</w:t>
            </w:r>
            <w:r>
              <w:rPr>
                <w:rFonts w:ascii="微软雅黑" w:hAnsi="微软雅黑" w:eastAsia="微软雅黑" w:cs="微软雅黑"/>
                <w:i w:val="0"/>
                <w:caps w:val="0"/>
                <w:color w:val="000000"/>
                <w:spacing w:val="0"/>
                <w:sz w:val="21"/>
                <w:szCs w:val="21"/>
                <w:shd w:val="clear" w:fill="FFFFFF"/>
              </w:rPr>
              <w:t>〔2020〕</w:t>
            </w:r>
            <w:r>
              <w:rPr>
                <w:rFonts w:hint="eastAsia" w:asciiTheme="minorEastAsia" w:hAnsiTheme="minorEastAsia" w:eastAsiaTheme="minorEastAsia"/>
                <w:bCs/>
                <w:szCs w:val="21"/>
              </w:rPr>
              <w:t>191 号），“请各市(州)经济和信息化主管部门抓紧对辖区烧结砖瓦落后产能淘汰情况进行摸底调查，利用法治化和市场化手段，推进落后工艺装备、落后产品退出市场，确保 2020年12月31日前全面淘汰轮窑以及轮窑封门简易改造的“隧道窑”等落后产能。于9月30日前填报砖瓦轮窑落后产能退出进展情况表 (见附件)”。</w:t>
            </w:r>
          </w:p>
          <w:p>
            <w:pPr>
              <w:adjustRightInd w:val="0"/>
              <w:snapToGrid w:val="0"/>
              <w:spacing w:line="404" w:lineRule="exact"/>
              <w:ind w:firstLine="420" w:firstLineChars="200"/>
              <w:jc w:val="left"/>
              <w:rPr>
                <w:rFonts w:asciiTheme="minorEastAsia" w:hAnsiTheme="minorEastAsia" w:eastAsiaTheme="minorEastAsia"/>
                <w:bCs/>
                <w:szCs w:val="21"/>
              </w:rPr>
            </w:pPr>
            <w:r>
              <w:rPr>
                <w:rFonts w:hint="eastAsia" w:asciiTheme="minorEastAsia" w:hAnsiTheme="minorEastAsia" w:eastAsiaTheme="minorEastAsia"/>
                <w:bCs/>
                <w:szCs w:val="21"/>
              </w:rPr>
              <w:t>本项目处置污泥利用的烧结砖窑为隧道窑且不属于轮窑封门简易改造的“隧道窑”，不属于“川经信办函</w:t>
            </w:r>
            <w:r>
              <w:rPr>
                <w:rFonts w:ascii="微软雅黑" w:hAnsi="微软雅黑" w:eastAsia="微软雅黑" w:cs="微软雅黑"/>
                <w:i w:val="0"/>
                <w:caps w:val="0"/>
                <w:color w:val="000000"/>
                <w:spacing w:val="0"/>
                <w:sz w:val="21"/>
                <w:szCs w:val="21"/>
                <w:shd w:val="clear" w:fill="FFFFFF"/>
              </w:rPr>
              <w:t>〔2020〕</w:t>
            </w:r>
            <w:r>
              <w:rPr>
                <w:rFonts w:hint="eastAsia" w:asciiTheme="minorEastAsia" w:hAnsiTheme="minorEastAsia" w:eastAsiaTheme="minorEastAsia"/>
                <w:bCs/>
                <w:szCs w:val="21"/>
              </w:rPr>
              <w:t>191号”文中提及需加快淘汰的烧结砖瓦落后产能。</w:t>
            </w:r>
          </w:p>
          <w:p>
            <w:pPr>
              <w:adjustRightInd w:val="0"/>
              <w:snapToGrid w:val="0"/>
              <w:spacing w:line="404" w:lineRule="exact"/>
              <w:jc w:val="left"/>
              <w:rPr>
                <w:rFonts w:asciiTheme="minorEastAsia" w:hAnsiTheme="minorEastAsia" w:eastAsiaTheme="minorEastAsia"/>
                <w:b/>
                <w:bCs/>
                <w:szCs w:val="21"/>
              </w:rPr>
            </w:pPr>
            <w:r>
              <w:rPr>
                <w:rFonts w:hint="eastAsia" w:asciiTheme="minorEastAsia" w:hAnsiTheme="minorEastAsia" w:eastAsiaTheme="minorEastAsia"/>
                <w:b/>
                <w:bCs/>
                <w:szCs w:val="21"/>
              </w:rPr>
              <w:t>7、与四川省经济和信息化厅等 7 部门《关于加快烧结砖瓦行业转型升级促进高质量发展的实施意见》（</w:t>
            </w:r>
            <w:r>
              <w:rPr>
                <w:rFonts w:asciiTheme="minorEastAsia" w:hAnsiTheme="minorEastAsia" w:eastAsiaTheme="minorEastAsia"/>
                <w:b/>
                <w:bCs/>
                <w:szCs w:val="21"/>
              </w:rPr>
              <w:t>川经信材料〔2020〕201号</w:t>
            </w:r>
            <w:r>
              <w:rPr>
                <w:rFonts w:hint="eastAsia" w:asciiTheme="minorEastAsia" w:hAnsiTheme="minorEastAsia" w:eastAsiaTheme="minorEastAsia"/>
                <w:b/>
                <w:bCs/>
                <w:szCs w:val="21"/>
              </w:rPr>
              <w:t>）相符性分析</w:t>
            </w:r>
          </w:p>
          <w:p>
            <w:pPr>
              <w:adjustRightInd w:val="0"/>
              <w:snapToGrid w:val="0"/>
              <w:spacing w:line="404" w:lineRule="exact"/>
              <w:ind w:firstLine="420" w:firstLineChars="200"/>
              <w:jc w:val="left"/>
              <w:rPr>
                <w:rFonts w:asciiTheme="minorEastAsia" w:hAnsiTheme="minorEastAsia" w:eastAsiaTheme="minorEastAsia"/>
                <w:bCs/>
                <w:szCs w:val="21"/>
              </w:rPr>
            </w:pPr>
            <w:r>
              <w:rPr>
                <w:rFonts w:hint="eastAsia" w:asciiTheme="minorEastAsia" w:hAnsiTheme="minorEastAsia" w:eastAsiaTheme="minorEastAsia"/>
                <w:bCs/>
                <w:szCs w:val="21"/>
              </w:rPr>
              <w:t>为贯彻落实国家环保督</w:t>
            </w:r>
            <w:r>
              <w:rPr>
                <w:rFonts w:hint="eastAsia" w:asciiTheme="minorEastAsia" w:hAnsiTheme="minorEastAsia" w:eastAsiaTheme="minorEastAsia"/>
                <w:bCs/>
                <w:szCs w:val="21"/>
                <w:lang w:val="en-US" w:eastAsia="zh-CN"/>
              </w:rPr>
              <w:t>察</w:t>
            </w:r>
            <w:r>
              <w:rPr>
                <w:rFonts w:hint="eastAsia" w:asciiTheme="minorEastAsia" w:hAnsiTheme="minorEastAsia" w:eastAsiaTheme="minorEastAsia"/>
                <w:bCs/>
                <w:szCs w:val="21"/>
              </w:rPr>
              <w:t>反馈意见整改要求，促进我省烧结砖瓦行业转型升级和绿色发展。近日，由四川省经济和信息化厅、省发展和改革委、自然资源厅、生态环境厅、住房和城乡建设厅、应急管理厅、市场监督管理局等7个部门联合印发了《关于加快烧结砖瓦行业转型升级促进高质量发展的实施意见》</w:t>
            </w:r>
            <w:r>
              <w:rPr>
                <w:rFonts w:asciiTheme="minorEastAsia" w:hAnsiTheme="minorEastAsia" w:eastAsiaTheme="minorEastAsia"/>
                <w:bCs/>
                <w:szCs w:val="21"/>
              </w:rPr>
              <w:t>，文中指出：“</w:t>
            </w:r>
            <w:r>
              <w:rPr>
                <w:rFonts w:asciiTheme="minorEastAsia" w:hAnsiTheme="minorEastAsia" w:eastAsiaTheme="minorEastAsia"/>
                <w:b/>
                <w:bCs/>
                <w:szCs w:val="21"/>
              </w:rPr>
              <w:t>（一）</w:t>
            </w:r>
            <w:r>
              <w:rPr>
                <w:rFonts w:hint="eastAsia" w:asciiTheme="minorEastAsia" w:hAnsiTheme="minorEastAsia" w:eastAsiaTheme="minorEastAsia"/>
                <w:b/>
                <w:bCs/>
                <w:szCs w:val="21"/>
              </w:rPr>
              <w:t>淘汰落后产能，优化产业结构。</w:t>
            </w:r>
            <w:r>
              <w:rPr>
                <w:rFonts w:hint="eastAsia" w:asciiTheme="minorEastAsia" w:hAnsiTheme="minorEastAsia" w:eastAsiaTheme="minorEastAsia"/>
                <w:bCs/>
                <w:szCs w:val="21"/>
              </w:rPr>
              <w:t>各市（州）要科学合理编制行业发展规划或工作实施方案，利用法治化和市场化手段，推进落后工艺装备、落后产品退出市场，督促质量、安全、环保、能耗等不达标企业加快整改，对逾期未整改或整改仍未达标的企业，要依法关停退出。2020年12月31日前全面淘汰轮窑以及轮窑封门简易改造的“隧道窑”等落后产能。</w:t>
            </w:r>
            <w:r>
              <w:rPr>
                <w:rFonts w:hint="eastAsia" w:asciiTheme="minorEastAsia" w:hAnsiTheme="minorEastAsia" w:eastAsiaTheme="minorEastAsia"/>
                <w:b/>
                <w:bCs/>
                <w:szCs w:val="21"/>
              </w:rPr>
              <w:t>（四）强化固废处置，推进循环利用。</w:t>
            </w:r>
            <w:r>
              <w:rPr>
                <w:rFonts w:hint="eastAsia" w:asciiTheme="minorEastAsia" w:hAnsiTheme="minorEastAsia" w:eastAsiaTheme="minorEastAsia"/>
                <w:bCs/>
                <w:szCs w:val="21"/>
              </w:rPr>
              <w:t>支持烧结砖瓦企业协同处置工业固废、工程弃土、建筑垃圾、河流水厂淤泥、城市污泥等固体废弃物，扩大再生资源综合利用范围，理提高原燃料中固废掺配比。力研发砖扩大再生资源综合利用范围，合提高原燃料中固废掺配比。大力研发砖瓦炉窑协同处置固体废弃物的成套技术装备，提高砖瓦隧道窑综合利用能力和自动化水平。规范建筑垃圾管理与资源化利用工作，建立建筑垃圾源头减量、资源利用、无害处置管理体系。加快推进建筑垃圾资源化利用项目建设，完善建筑垃圾再生产品市场推广机制。</w:t>
            </w:r>
            <w:r>
              <w:rPr>
                <w:rFonts w:asciiTheme="minorEastAsia" w:hAnsiTheme="minorEastAsia" w:eastAsiaTheme="minorEastAsia"/>
                <w:bCs/>
                <w:szCs w:val="21"/>
              </w:rPr>
              <w:t>”</w:t>
            </w:r>
          </w:p>
          <w:p>
            <w:pPr>
              <w:adjustRightInd w:val="0"/>
              <w:snapToGrid w:val="0"/>
              <w:spacing w:line="400" w:lineRule="exact"/>
              <w:ind w:firstLine="420" w:firstLineChars="200"/>
              <w:jc w:val="left"/>
              <w:rPr>
                <w:rFonts w:asciiTheme="minorEastAsia" w:hAnsiTheme="minorEastAsia" w:eastAsiaTheme="minorEastAsia"/>
                <w:bCs/>
                <w:szCs w:val="21"/>
              </w:rPr>
            </w:pPr>
            <w:r>
              <w:rPr>
                <w:rFonts w:hint="eastAsia" w:asciiTheme="minorEastAsia" w:hAnsiTheme="minorEastAsia" w:eastAsiaTheme="minorEastAsia"/>
                <w:bCs/>
                <w:szCs w:val="21"/>
              </w:rPr>
              <w:t>本项目处置污泥拟利用的烧结砖瓦窑为隧道窑，不属于淘汰整改类型。改建项目综合利用城市生活污水处理厂污泥、以生活污水为主，符合循环利用政策要求。</w:t>
            </w:r>
          </w:p>
          <w:p>
            <w:pPr>
              <w:adjustRightInd w:val="0"/>
              <w:snapToGrid w:val="0"/>
              <w:spacing w:line="400" w:lineRule="exact"/>
              <w:jc w:val="left"/>
              <w:rPr>
                <w:rFonts w:eastAsia="黑体"/>
                <w:bCs/>
                <w:szCs w:val="21"/>
              </w:rPr>
            </w:pPr>
            <w:r>
              <w:rPr>
                <w:rFonts w:hint="eastAsia" w:eastAsia="黑体"/>
                <w:bCs/>
                <w:szCs w:val="21"/>
              </w:rPr>
              <w:t>8、与生态环境部《关于加强高耗能、高排放建设项目生态环境源头防控的指导意见》（环环评〔2021〕45 号）符合性分析</w:t>
            </w:r>
          </w:p>
          <w:p>
            <w:pPr>
              <w:widowControl/>
              <w:spacing w:line="400" w:lineRule="exact"/>
              <w:ind w:firstLine="420" w:firstLineChars="200"/>
              <w:jc w:val="left"/>
              <w:rPr>
                <w:kern w:val="0"/>
                <w:szCs w:val="21"/>
              </w:rPr>
            </w:pPr>
            <w:r>
              <w:rPr>
                <w:rFonts w:hint="eastAsia"/>
                <w:kern w:val="0"/>
                <w:szCs w:val="21"/>
              </w:rPr>
              <w:t>本项目与“环环评〔2021〕45 号”指导意见符合性分析如下：</w:t>
            </w:r>
          </w:p>
          <w:p>
            <w:pPr>
              <w:pStyle w:val="14"/>
              <w:spacing w:after="0" w:line="400" w:lineRule="exact"/>
              <w:ind w:left="0" w:leftChars="0" w:firstLine="560"/>
              <w:jc w:val="center"/>
              <w:rPr>
                <w:b/>
                <w:spacing w:val="-6"/>
                <w:sz w:val="18"/>
              </w:rPr>
            </w:pPr>
            <w:r>
              <w:rPr>
                <w:rFonts w:hint="eastAsia"/>
                <w:b/>
                <w:spacing w:val="-6"/>
                <w:sz w:val="18"/>
              </w:rPr>
              <w:t xml:space="preserve">表1-6  </w:t>
            </w:r>
            <w:r>
              <w:rPr>
                <w:rFonts w:hint="eastAsia"/>
                <w:b/>
                <w:spacing w:val="-6"/>
                <w:sz w:val="18"/>
                <w:szCs w:val="18"/>
              </w:rPr>
              <w:t>与</w:t>
            </w:r>
            <w:r>
              <w:rPr>
                <w:rFonts w:hint="eastAsia"/>
                <w:b/>
                <w:spacing w:val="-6"/>
                <w:kern w:val="0"/>
                <w:sz w:val="18"/>
                <w:szCs w:val="18"/>
              </w:rPr>
              <w:t>《四川省城镇生活污水处理厂污泥处理处置技术指引（试行）》符合性</w:t>
            </w:r>
          </w:p>
          <w:tbl>
            <w:tblPr>
              <w:tblStyle w:val="42"/>
              <w:tblW w:w="641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7"/>
              <w:gridCol w:w="2339"/>
              <w:gridCol w:w="2024"/>
              <w:gridCol w:w="5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 w:hRule="atLeast"/>
                <w:jc w:val="center"/>
              </w:trPr>
              <w:tc>
                <w:tcPr>
                  <w:tcW w:w="1477" w:type="dxa"/>
                  <w:tcBorders>
                    <w:right w:val="single" w:color="auto" w:sz="4" w:space="0"/>
                  </w:tcBorders>
                  <w:vAlign w:val="center"/>
                </w:tcPr>
                <w:p>
                  <w:pPr>
                    <w:pStyle w:val="41"/>
                    <w:spacing w:before="0" w:beforeAutospacing="0" w:line="260" w:lineRule="exact"/>
                    <w:jc w:val="center"/>
                    <w:rPr>
                      <w:rFonts w:ascii="宋体" w:hAnsi="宋体" w:cs="宋体"/>
                      <w:b/>
                      <w:sz w:val="15"/>
                      <w:szCs w:val="15"/>
                      <w:lang w:eastAsia="en-US"/>
                    </w:rPr>
                  </w:pPr>
                  <w:r>
                    <w:rPr>
                      <w:rFonts w:ascii="宋体" w:hAnsi="宋体" w:cs="宋体"/>
                      <w:b/>
                      <w:sz w:val="15"/>
                      <w:szCs w:val="15"/>
                      <w:lang w:eastAsia="en-US"/>
                    </w:rPr>
                    <w:t>法律法规政策及规划</w:t>
                  </w:r>
                </w:p>
              </w:tc>
              <w:tc>
                <w:tcPr>
                  <w:tcW w:w="2339" w:type="dxa"/>
                  <w:tcBorders>
                    <w:left w:val="single" w:color="auto" w:sz="4" w:space="0"/>
                  </w:tcBorders>
                  <w:vAlign w:val="center"/>
                </w:tcPr>
                <w:p>
                  <w:pPr>
                    <w:pStyle w:val="41"/>
                    <w:spacing w:before="0" w:line="260" w:lineRule="exact"/>
                    <w:jc w:val="center"/>
                    <w:rPr>
                      <w:rFonts w:ascii="宋体" w:hAnsi="宋体" w:cs="宋体"/>
                      <w:b/>
                      <w:sz w:val="15"/>
                      <w:szCs w:val="15"/>
                      <w:lang w:eastAsia="en-US"/>
                    </w:rPr>
                  </w:pPr>
                  <w:r>
                    <w:rPr>
                      <w:rFonts w:ascii="宋体" w:hAnsi="宋体" w:cs="宋体"/>
                      <w:b/>
                      <w:sz w:val="15"/>
                      <w:szCs w:val="15"/>
                      <w:lang w:eastAsia="en-US"/>
                    </w:rPr>
                    <w:t>主要要求</w:t>
                  </w:r>
                </w:p>
              </w:tc>
              <w:tc>
                <w:tcPr>
                  <w:tcW w:w="2024" w:type="dxa"/>
                  <w:vAlign w:val="center"/>
                </w:tcPr>
                <w:p>
                  <w:pPr>
                    <w:pStyle w:val="41"/>
                    <w:spacing w:before="0" w:beforeAutospacing="0" w:line="260" w:lineRule="exact"/>
                    <w:jc w:val="center"/>
                    <w:rPr>
                      <w:rFonts w:ascii="宋体" w:hAnsi="宋体" w:cs="宋体"/>
                      <w:b/>
                      <w:sz w:val="15"/>
                      <w:szCs w:val="15"/>
                      <w:lang w:eastAsia="en-US"/>
                    </w:rPr>
                  </w:pPr>
                  <w:r>
                    <w:rPr>
                      <w:rFonts w:ascii="宋体" w:hAnsi="宋体" w:cs="宋体"/>
                      <w:b/>
                      <w:sz w:val="15"/>
                      <w:szCs w:val="15"/>
                      <w:lang w:eastAsia="en-US"/>
                    </w:rPr>
                    <w:t>本项目情况</w:t>
                  </w:r>
                </w:p>
              </w:tc>
              <w:tc>
                <w:tcPr>
                  <w:tcW w:w="570" w:type="dxa"/>
                  <w:vAlign w:val="center"/>
                </w:tcPr>
                <w:p>
                  <w:pPr>
                    <w:pStyle w:val="41"/>
                    <w:spacing w:before="0" w:beforeAutospacing="0" w:line="260" w:lineRule="exact"/>
                    <w:jc w:val="center"/>
                    <w:rPr>
                      <w:rFonts w:ascii="宋体" w:hAnsi="宋体" w:cs="宋体"/>
                      <w:b/>
                      <w:sz w:val="15"/>
                      <w:szCs w:val="15"/>
                      <w:lang w:eastAsia="en-US"/>
                    </w:rPr>
                  </w:pPr>
                  <w:r>
                    <w:rPr>
                      <w:rFonts w:ascii="宋体" w:hAnsi="宋体" w:cs="宋体"/>
                      <w:b/>
                      <w:sz w:val="15"/>
                      <w:szCs w:val="15"/>
                      <w:lang w:eastAsia="en-US"/>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 w:hRule="atLeast"/>
                <w:jc w:val="center"/>
              </w:trPr>
              <w:tc>
                <w:tcPr>
                  <w:tcW w:w="1477" w:type="dxa"/>
                  <w:vMerge w:val="restart"/>
                  <w:tcBorders>
                    <w:right w:val="single" w:color="auto" w:sz="4" w:space="0"/>
                  </w:tcBorders>
                  <w:vAlign w:val="center"/>
                </w:tcPr>
                <w:p>
                  <w:pPr>
                    <w:pStyle w:val="41"/>
                    <w:spacing w:before="0" w:beforeAutospacing="0" w:line="260" w:lineRule="exact"/>
                    <w:rPr>
                      <w:rFonts w:ascii="宋体" w:hAnsi="宋体" w:cs="宋体"/>
                      <w:sz w:val="15"/>
                      <w:szCs w:val="15"/>
                      <w:lang w:eastAsia="zh-CN"/>
                    </w:rPr>
                  </w:pPr>
                  <w:r>
                    <w:rPr>
                      <w:rFonts w:hint="eastAsia" w:ascii="宋体" w:hAnsi="宋体" w:cs="宋体"/>
                      <w:sz w:val="15"/>
                      <w:szCs w:val="15"/>
                      <w:lang w:eastAsia="zh-CN"/>
                    </w:rPr>
                    <w:t>《关于加强高耗能、高排放建设项目生态环境源头防控的指导意见》(环环评(2021] 45号)</w:t>
                  </w:r>
                </w:p>
              </w:tc>
              <w:tc>
                <w:tcPr>
                  <w:tcW w:w="2339" w:type="dxa"/>
                  <w:tcBorders>
                    <w:left w:val="single" w:color="auto" w:sz="4" w:space="0"/>
                  </w:tcBorders>
                  <w:vAlign w:val="center"/>
                </w:tcPr>
                <w:p>
                  <w:pPr>
                    <w:pStyle w:val="41"/>
                    <w:spacing w:before="0" w:beforeAutospacing="0" w:line="260" w:lineRule="exact"/>
                    <w:rPr>
                      <w:rFonts w:ascii="宋体" w:hAnsi="宋体" w:cs="宋体"/>
                      <w:sz w:val="15"/>
                      <w:szCs w:val="15"/>
                      <w:lang w:eastAsia="zh-CN"/>
                    </w:rPr>
                  </w:pPr>
                  <w:r>
                    <w:rPr>
                      <w:rFonts w:hint="eastAsia" w:ascii="宋体" w:hAnsi="宋体" w:cs="宋体"/>
                      <w:sz w:val="15"/>
                      <w:szCs w:val="15"/>
                      <w:lang w:eastAsia="zh-CN"/>
                    </w:rPr>
                    <w:t>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2024" w:type="dxa"/>
                  <w:vAlign w:val="center"/>
                </w:tcPr>
                <w:p>
                  <w:pPr>
                    <w:pStyle w:val="41"/>
                    <w:spacing w:before="0" w:beforeAutospacing="0" w:line="260" w:lineRule="exact"/>
                    <w:rPr>
                      <w:rFonts w:ascii="宋体" w:hAnsi="宋体" w:cs="宋体"/>
                      <w:sz w:val="15"/>
                      <w:szCs w:val="15"/>
                      <w:lang w:eastAsia="zh-CN"/>
                    </w:rPr>
                  </w:pPr>
                  <w:r>
                    <w:rPr>
                      <w:rFonts w:hint="eastAsia" w:ascii="宋体" w:hAnsi="宋体" w:cs="宋体"/>
                      <w:sz w:val="15"/>
                      <w:szCs w:val="15"/>
                      <w:lang w:eastAsia="zh-CN"/>
                    </w:rPr>
                    <w:t>本项目为技术改造，不新增砖瓦产能。根据总量核算，项目技改后不新增污染物排放总量。</w:t>
                  </w:r>
                </w:p>
              </w:tc>
              <w:tc>
                <w:tcPr>
                  <w:tcW w:w="570" w:type="dxa"/>
                  <w:vAlign w:val="center"/>
                </w:tcPr>
                <w:p>
                  <w:pPr>
                    <w:pStyle w:val="41"/>
                    <w:spacing w:before="0" w:beforeAutospacing="0" w:line="260" w:lineRule="exact"/>
                    <w:jc w:val="center"/>
                    <w:rPr>
                      <w:rFonts w:ascii="宋体" w:hAnsi="宋体" w:cs="宋体"/>
                      <w:sz w:val="15"/>
                      <w:szCs w:val="15"/>
                      <w:lang w:eastAsia="zh-CN"/>
                    </w:rPr>
                  </w:pPr>
                  <w:r>
                    <w:rPr>
                      <w:rFonts w:ascii="宋体" w:hAnsi="宋体" w:cs="宋体"/>
                      <w:sz w:val="15"/>
                      <w:szCs w:val="15"/>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 w:hRule="atLeast"/>
                <w:jc w:val="center"/>
              </w:trPr>
              <w:tc>
                <w:tcPr>
                  <w:tcW w:w="1477" w:type="dxa"/>
                  <w:vMerge w:val="continue"/>
                  <w:tcBorders>
                    <w:right w:val="single" w:color="auto" w:sz="4" w:space="0"/>
                  </w:tcBorders>
                  <w:vAlign w:val="center"/>
                </w:tcPr>
                <w:p>
                  <w:pPr>
                    <w:pStyle w:val="41"/>
                    <w:spacing w:before="0" w:beforeAutospacing="0" w:line="260" w:lineRule="exact"/>
                    <w:rPr>
                      <w:rFonts w:ascii="宋体" w:hAnsi="宋体" w:cs="宋体"/>
                      <w:sz w:val="15"/>
                      <w:szCs w:val="15"/>
                      <w:lang w:eastAsia="zh-CN"/>
                    </w:rPr>
                  </w:pPr>
                </w:p>
              </w:tc>
              <w:tc>
                <w:tcPr>
                  <w:tcW w:w="2339" w:type="dxa"/>
                  <w:tcBorders>
                    <w:left w:val="single" w:color="auto" w:sz="4" w:space="0"/>
                  </w:tcBorders>
                  <w:vAlign w:val="center"/>
                </w:tcPr>
                <w:p>
                  <w:pPr>
                    <w:pStyle w:val="41"/>
                    <w:spacing w:before="0" w:beforeAutospacing="0" w:line="280" w:lineRule="exact"/>
                    <w:rPr>
                      <w:rFonts w:ascii="宋体" w:hAnsi="宋体" w:cs="宋体"/>
                      <w:sz w:val="15"/>
                      <w:szCs w:val="15"/>
                      <w:lang w:eastAsia="zh-CN"/>
                    </w:rPr>
                  </w:pPr>
                  <w:r>
                    <w:rPr>
                      <w:rFonts w:hint="eastAsia" w:ascii="宋体" w:hAnsi="宋体" w:cs="宋体"/>
                      <w:sz w:val="15"/>
                      <w:szCs w:val="15"/>
                      <w:lang w:eastAsia="zh-CN"/>
                    </w:rPr>
                    <w:t>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2024" w:type="dxa"/>
                  <w:vAlign w:val="center"/>
                </w:tcPr>
                <w:p>
                  <w:pPr>
                    <w:pStyle w:val="41"/>
                    <w:spacing w:before="0" w:beforeAutospacing="0" w:line="280" w:lineRule="exact"/>
                    <w:rPr>
                      <w:rFonts w:ascii="宋体" w:hAnsi="宋体" w:cs="宋体"/>
                      <w:sz w:val="15"/>
                      <w:szCs w:val="15"/>
                      <w:lang w:eastAsia="zh-CN"/>
                    </w:rPr>
                  </w:pPr>
                  <w:r>
                    <w:rPr>
                      <w:rFonts w:hint="eastAsia" w:ascii="宋体" w:hAnsi="宋体" w:cs="宋体"/>
                      <w:sz w:val="15"/>
                      <w:szCs w:val="15"/>
                      <w:lang w:eastAsia="zh-CN"/>
                    </w:rPr>
                    <w:t>本项目页岩砖为非金属矿物制品，本次改造为一般固体废物资源化处置利用，不属于石化、化工、焦化、有色金属冶炼、平板玻璃等项目。</w:t>
                  </w:r>
                </w:p>
              </w:tc>
              <w:tc>
                <w:tcPr>
                  <w:tcW w:w="570" w:type="dxa"/>
                  <w:vAlign w:val="center"/>
                </w:tcPr>
                <w:p>
                  <w:pPr>
                    <w:pStyle w:val="41"/>
                    <w:spacing w:before="0" w:beforeAutospacing="0" w:line="260" w:lineRule="exact"/>
                    <w:jc w:val="center"/>
                    <w:rPr>
                      <w:rFonts w:ascii="宋体" w:hAnsi="宋体" w:cs="宋体"/>
                      <w:sz w:val="15"/>
                      <w:szCs w:val="15"/>
                      <w:lang w:eastAsia="zh-CN"/>
                    </w:rPr>
                  </w:pPr>
                  <w:r>
                    <w:rPr>
                      <w:rFonts w:ascii="宋体" w:hAnsi="宋体" w:cs="宋体"/>
                      <w:sz w:val="15"/>
                      <w:szCs w:val="15"/>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 w:hRule="atLeast"/>
                <w:jc w:val="center"/>
              </w:trPr>
              <w:tc>
                <w:tcPr>
                  <w:tcW w:w="1477" w:type="dxa"/>
                  <w:vMerge w:val="continue"/>
                  <w:tcBorders>
                    <w:right w:val="single" w:color="auto" w:sz="4" w:space="0"/>
                  </w:tcBorders>
                  <w:vAlign w:val="center"/>
                </w:tcPr>
                <w:p>
                  <w:pPr>
                    <w:pStyle w:val="41"/>
                    <w:spacing w:before="0" w:beforeAutospacing="0" w:line="260" w:lineRule="exact"/>
                    <w:rPr>
                      <w:rFonts w:ascii="宋体" w:hAnsi="宋体" w:cs="宋体"/>
                      <w:sz w:val="15"/>
                      <w:szCs w:val="15"/>
                      <w:lang w:eastAsia="zh-CN"/>
                    </w:rPr>
                  </w:pPr>
                </w:p>
              </w:tc>
              <w:tc>
                <w:tcPr>
                  <w:tcW w:w="2339" w:type="dxa"/>
                  <w:tcBorders>
                    <w:left w:val="single" w:color="auto" w:sz="4" w:space="0"/>
                  </w:tcBorders>
                  <w:vAlign w:val="center"/>
                </w:tcPr>
                <w:p>
                  <w:pPr>
                    <w:pStyle w:val="41"/>
                    <w:spacing w:before="0" w:beforeAutospacing="0" w:line="280" w:lineRule="exact"/>
                    <w:rPr>
                      <w:rFonts w:ascii="宋体" w:hAnsi="宋体" w:cs="宋体"/>
                      <w:sz w:val="15"/>
                      <w:szCs w:val="15"/>
                      <w:lang w:eastAsia="zh-CN"/>
                    </w:rPr>
                  </w:pPr>
                  <w:r>
                    <w:rPr>
                      <w:rFonts w:hint="eastAsia" w:ascii="宋体" w:hAnsi="宋体" w:cs="宋体"/>
                      <w:sz w:val="15"/>
                      <w:szCs w:val="15"/>
                      <w:lang w:eastAsia="zh-CN"/>
                    </w:rPr>
                    <w:t>提升清洁生产和污染防治水平。新建、扩建“两高”项目应采用先进适用的工艺技术和装备，单位产品物耗、能耗、水耗等达到清洁生产先进水平，依法制定并严格落实防治土壤与地下水污染的措施。</w:t>
                  </w:r>
                </w:p>
              </w:tc>
              <w:tc>
                <w:tcPr>
                  <w:tcW w:w="2024" w:type="dxa"/>
                  <w:vAlign w:val="center"/>
                </w:tcPr>
                <w:p>
                  <w:pPr>
                    <w:pStyle w:val="41"/>
                    <w:spacing w:before="0" w:beforeAutospacing="0" w:line="280" w:lineRule="exact"/>
                    <w:rPr>
                      <w:rFonts w:ascii="宋体" w:hAnsi="宋体" w:cs="宋体"/>
                      <w:sz w:val="15"/>
                      <w:szCs w:val="15"/>
                      <w:lang w:eastAsia="zh-CN"/>
                    </w:rPr>
                  </w:pPr>
                  <w:r>
                    <w:rPr>
                      <w:rFonts w:hint="eastAsia" w:ascii="宋体" w:hAnsi="宋体" w:cs="宋体"/>
                      <w:sz w:val="15"/>
                      <w:szCs w:val="15"/>
                      <w:lang w:eastAsia="zh-CN"/>
                    </w:rPr>
                    <w:t>本项目为技术改造，不新增烧结砖产能;技改的同时将对现有环保治理措施进步提升、完善，并针对土壤、地下水提出相应的污染防治措施要求。</w:t>
                  </w:r>
                </w:p>
              </w:tc>
              <w:tc>
                <w:tcPr>
                  <w:tcW w:w="570" w:type="dxa"/>
                  <w:vAlign w:val="center"/>
                </w:tcPr>
                <w:p>
                  <w:pPr>
                    <w:pStyle w:val="41"/>
                    <w:spacing w:before="0" w:beforeAutospacing="0" w:line="260" w:lineRule="exact"/>
                    <w:jc w:val="center"/>
                    <w:rPr>
                      <w:rFonts w:ascii="宋体" w:hAnsi="宋体" w:cs="宋体"/>
                      <w:sz w:val="15"/>
                      <w:szCs w:val="15"/>
                      <w:lang w:eastAsia="zh-CN"/>
                    </w:rPr>
                  </w:pPr>
                  <w:r>
                    <w:rPr>
                      <w:rFonts w:ascii="宋体" w:hAnsi="宋体" w:cs="宋体"/>
                      <w:sz w:val="15"/>
                      <w:szCs w:val="15"/>
                      <w:lang w:eastAsia="zh-CN"/>
                    </w:rPr>
                    <w:t>符合</w:t>
                  </w:r>
                </w:p>
              </w:tc>
            </w:tr>
          </w:tbl>
          <w:p>
            <w:pPr>
              <w:adjustRightInd w:val="0"/>
              <w:snapToGrid w:val="0"/>
              <w:spacing w:line="400" w:lineRule="exact"/>
              <w:jc w:val="left"/>
              <w:rPr>
                <w:rFonts w:eastAsia="黑体"/>
                <w:bCs/>
                <w:szCs w:val="21"/>
              </w:rPr>
            </w:pPr>
            <w:r>
              <w:rPr>
                <w:rFonts w:hint="eastAsia" w:eastAsia="黑体"/>
                <w:bCs/>
                <w:szCs w:val="21"/>
              </w:rPr>
              <w:t>9</w:t>
            </w:r>
            <w:r>
              <w:rPr>
                <w:rFonts w:eastAsia="黑体"/>
                <w:bCs/>
                <w:szCs w:val="21"/>
              </w:rPr>
              <w:t>、</w:t>
            </w:r>
            <w:r>
              <w:rPr>
                <w:rFonts w:hint="eastAsia" w:eastAsia="黑体"/>
                <w:bCs/>
                <w:szCs w:val="21"/>
              </w:rPr>
              <w:t>四川省城镇生活污水处理厂污泥处理处置技术指引（试行）的符合性</w:t>
            </w:r>
          </w:p>
          <w:p>
            <w:pPr>
              <w:widowControl/>
              <w:spacing w:line="400" w:lineRule="exact"/>
              <w:ind w:firstLine="420" w:firstLineChars="200"/>
              <w:jc w:val="left"/>
              <w:rPr>
                <w:kern w:val="0"/>
                <w:szCs w:val="21"/>
              </w:rPr>
            </w:pPr>
            <w:r>
              <w:rPr>
                <w:rFonts w:hint="eastAsia"/>
                <w:kern w:val="0"/>
                <w:szCs w:val="21"/>
              </w:rPr>
              <w:t>2021年9月9日，四川省住房和城乡建设厅以文“川建城建函〔2021〕1228号”印发了《四川省城镇生活污水处理厂污泥处理处置技术指引（试行）》。该技术指引提出：</w:t>
            </w:r>
          </w:p>
          <w:p>
            <w:pPr>
              <w:pStyle w:val="14"/>
              <w:spacing w:after="0" w:line="400" w:lineRule="exact"/>
              <w:ind w:left="0" w:leftChars="0"/>
              <w:jc w:val="center"/>
              <w:rPr>
                <w:b/>
                <w:spacing w:val="-6"/>
                <w:sz w:val="18"/>
              </w:rPr>
            </w:pPr>
            <w:r>
              <w:rPr>
                <w:rFonts w:hint="eastAsia"/>
                <w:b/>
                <w:spacing w:val="-6"/>
                <w:sz w:val="18"/>
              </w:rPr>
              <w:t xml:space="preserve">表1-7  </w:t>
            </w:r>
            <w:r>
              <w:rPr>
                <w:rFonts w:hint="eastAsia"/>
                <w:b/>
                <w:spacing w:val="-6"/>
                <w:sz w:val="18"/>
                <w:szCs w:val="18"/>
              </w:rPr>
              <w:t>与</w:t>
            </w:r>
            <w:r>
              <w:rPr>
                <w:rFonts w:hint="eastAsia"/>
                <w:b/>
                <w:spacing w:val="-6"/>
                <w:kern w:val="0"/>
                <w:sz w:val="18"/>
                <w:szCs w:val="18"/>
              </w:rPr>
              <w:t>《四川省城镇生活污水处理厂污泥处理处置技术指引（试行）》符合性</w:t>
            </w:r>
          </w:p>
          <w:tbl>
            <w:tblPr>
              <w:tblStyle w:val="42"/>
              <w:tblW w:w="637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85"/>
              <w:gridCol w:w="2127"/>
              <w:gridCol w:w="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3685" w:type="dxa"/>
                  <w:vAlign w:val="center"/>
                </w:tcPr>
                <w:p>
                  <w:pPr>
                    <w:pStyle w:val="41"/>
                    <w:spacing w:before="0" w:beforeAutospacing="0" w:line="260" w:lineRule="exact"/>
                    <w:jc w:val="center"/>
                    <w:rPr>
                      <w:rFonts w:ascii="宋体" w:hAnsi="宋体" w:cs="宋体"/>
                      <w:b/>
                      <w:sz w:val="15"/>
                      <w:szCs w:val="15"/>
                      <w:lang w:eastAsia="en-US"/>
                    </w:rPr>
                  </w:pPr>
                  <w:r>
                    <w:rPr>
                      <w:rFonts w:ascii="宋体" w:hAnsi="宋体" w:cs="宋体"/>
                      <w:b/>
                      <w:sz w:val="15"/>
                      <w:szCs w:val="15"/>
                      <w:lang w:eastAsia="en-US"/>
                    </w:rPr>
                    <w:t>清单要求</w:t>
                  </w:r>
                </w:p>
              </w:tc>
              <w:tc>
                <w:tcPr>
                  <w:tcW w:w="2127" w:type="dxa"/>
                  <w:vAlign w:val="center"/>
                </w:tcPr>
                <w:p>
                  <w:pPr>
                    <w:pStyle w:val="41"/>
                    <w:spacing w:before="0" w:beforeAutospacing="0" w:line="260" w:lineRule="exact"/>
                    <w:jc w:val="center"/>
                    <w:rPr>
                      <w:rFonts w:ascii="宋体" w:hAnsi="宋体" w:cs="宋体"/>
                      <w:b/>
                      <w:sz w:val="15"/>
                      <w:szCs w:val="15"/>
                      <w:lang w:eastAsia="en-US"/>
                    </w:rPr>
                  </w:pPr>
                  <w:r>
                    <w:rPr>
                      <w:rFonts w:ascii="宋体" w:hAnsi="宋体" w:cs="宋体"/>
                      <w:b/>
                      <w:sz w:val="15"/>
                      <w:szCs w:val="15"/>
                      <w:lang w:eastAsia="en-US"/>
                    </w:rPr>
                    <w:t>本项目情况</w:t>
                  </w:r>
                </w:p>
              </w:tc>
              <w:tc>
                <w:tcPr>
                  <w:tcW w:w="567" w:type="dxa"/>
                  <w:vAlign w:val="center"/>
                </w:tcPr>
                <w:p>
                  <w:pPr>
                    <w:pStyle w:val="41"/>
                    <w:spacing w:before="0" w:beforeAutospacing="0" w:line="260" w:lineRule="exact"/>
                    <w:jc w:val="center"/>
                    <w:rPr>
                      <w:rFonts w:ascii="宋体" w:hAnsi="宋体" w:cs="宋体"/>
                      <w:b/>
                      <w:sz w:val="15"/>
                      <w:szCs w:val="15"/>
                      <w:lang w:eastAsia="en-US"/>
                    </w:rPr>
                  </w:pPr>
                  <w:r>
                    <w:rPr>
                      <w:rFonts w:ascii="宋体" w:hAnsi="宋体" w:cs="宋体"/>
                      <w:b/>
                      <w:sz w:val="15"/>
                      <w:szCs w:val="15"/>
                      <w:lang w:eastAsia="en-US"/>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 w:hRule="atLeast"/>
                <w:jc w:val="center"/>
              </w:trPr>
              <w:tc>
                <w:tcPr>
                  <w:tcW w:w="3685" w:type="dxa"/>
                  <w:vAlign w:val="center"/>
                </w:tcPr>
                <w:p>
                  <w:pPr>
                    <w:pStyle w:val="41"/>
                    <w:spacing w:before="0" w:beforeAutospacing="0" w:line="260" w:lineRule="exact"/>
                    <w:rPr>
                      <w:rFonts w:ascii="宋体" w:hAnsi="宋体" w:cs="宋体"/>
                      <w:sz w:val="15"/>
                      <w:szCs w:val="15"/>
                      <w:lang w:eastAsia="zh-CN"/>
                    </w:rPr>
                  </w:pPr>
                  <w:r>
                    <w:rPr>
                      <w:rFonts w:hint="eastAsia"/>
                      <w:bCs/>
                      <w:sz w:val="15"/>
                      <w:szCs w:val="15"/>
                      <w:lang w:eastAsia="zh-CN"/>
                    </w:rPr>
                    <w:t>1.2本技术指引所称城镇生活污水处理厂污泥（以下简称“污泥”)，是指在城镇生活污水处理过程中产生的半固态或固态物质，不包括栅渣、浮渣和沉砂。</w:t>
                  </w:r>
                </w:p>
              </w:tc>
              <w:tc>
                <w:tcPr>
                  <w:tcW w:w="2127" w:type="dxa"/>
                  <w:vAlign w:val="center"/>
                </w:tcPr>
                <w:p>
                  <w:pPr>
                    <w:pStyle w:val="41"/>
                    <w:spacing w:before="0" w:beforeAutospacing="0" w:line="260" w:lineRule="exact"/>
                    <w:rPr>
                      <w:rFonts w:ascii="宋体" w:hAnsi="宋体" w:cs="宋体"/>
                      <w:sz w:val="15"/>
                      <w:szCs w:val="15"/>
                      <w:lang w:eastAsia="zh-CN"/>
                    </w:rPr>
                  </w:pPr>
                  <w:r>
                    <w:rPr>
                      <w:rFonts w:ascii="宋体" w:hAnsi="宋体" w:cs="宋体"/>
                      <w:sz w:val="15"/>
                      <w:szCs w:val="15"/>
                      <w:lang w:eastAsia="zh-CN"/>
                    </w:rPr>
                    <w:t>本项目拟处置的污水厂污泥，不包括污水厂的</w:t>
                  </w:r>
                  <w:r>
                    <w:rPr>
                      <w:rFonts w:hint="eastAsia"/>
                      <w:bCs/>
                      <w:sz w:val="15"/>
                      <w:szCs w:val="15"/>
                      <w:lang w:eastAsia="zh-CN"/>
                    </w:rPr>
                    <w:t>栅渣、浮渣和沉砂。</w:t>
                  </w:r>
                </w:p>
              </w:tc>
              <w:tc>
                <w:tcPr>
                  <w:tcW w:w="567" w:type="dxa"/>
                  <w:vAlign w:val="center"/>
                </w:tcPr>
                <w:p>
                  <w:pPr>
                    <w:pStyle w:val="41"/>
                    <w:spacing w:before="0" w:beforeAutospacing="0" w:line="260" w:lineRule="exact"/>
                    <w:jc w:val="center"/>
                    <w:rPr>
                      <w:rFonts w:ascii="宋体" w:hAnsi="宋体" w:cs="宋体"/>
                      <w:sz w:val="15"/>
                      <w:szCs w:val="15"/>
                      <w:lang w:eastAsia="en-US"/>
                    </w:rPr>
                  </w:pPr>
                  <w:r>
                    <w:rPr>
                      <w:rFonts w:ascii="宋体" w:hAnsi="宋体" w:cs="宋体"/>
                      <w:sz w:val="15"/>
                      <w:szCs w:val="15"/>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 w:hRule="atLeast"/>
                <w:jc w:val="center"/>
              </w:trPr>
              <w:tc>
                <w:tcPr>
                  <w:tcW w:w="3685" w:type="dxa"/>
                  <w:vAlign w:val="center"/>
                </w:tcPr>
                <w:p>
                  <w:pPr>
                    <w:pStyle w:val="41"/>
                    <w:spacing w:before="0" w:beforeAutospacing="0" w:line="260" w:lineRule="exact"/>
                    <w:rPr>
                      <w:rFonts w:ascii="宋体" w:hAnsi="宋体" w:cs="宋体"/>
                      <w:sz w:val="15"/>
                      <w:szCs w:val="15"/>
                      <w:lang w:eastAsia="zh-CN"/>
                    </w:rPr>
                  </w:pPr>
                  <w:r>
                    <w:rPr>
                      <w:rFonts w:hint="eastAsia"/>
                      <w:bCs/>
                      <w:sz w:val="15"/>
                      <w:szCs w:val="15"/>
                      <w:lang w:eastAsia="zh-CN"/>
                    </w:rPr>
                    <w:t>1.3本技术指引所称污泥衍生产品(以下简称“污泥产品”,是指在城镇生活污水处理厂污泥经过减量化、稳定化、无害化后形成的可资源化利用的衍生产品。</w:t>
                  </w:r>
                </w:p>
              </w:tc>
              <w:tc>
                <w:tcPr>
                  <w:tcW w:w="2127" w:type="dxa"/>
                  <w:vAlign w:val="center"/>
                </w:tcPr>
                <w:p>
                  <w:pPr>
                    <w:pStyle w:val="41"/>
                    <w:spacing w:before="0" w:beforeAutospacing="0" w:line="260" w:lineRule="exact"/>
                    <w:rPr>
                      <w:rFonts w:ascii="宋体" w:hAnsi="宋体" w:cs="宋体"/>
                      <w:sz w:val="15"/>
                      <w:szCs w:val="15"/>
                      <w:lang w:eastAsia="zh-CN"/>
                    </w:rPr>
                  </w:pPr>
                  <w:r>
                    <w:rPr>
                      <w:rFonts w:ascii="宋体" w:hAnsi="宋体" w:cs="宋体"/>
                      <w:sz w:val="15"/>
                      <w:szCs w:val="15"/>
                      <w:lang w:eastAsia="zh-CN"/>
                    </w:rPr>
                    <w:t>本项目是利用污水厂污泥替代部分制砖原料，最终制成烧结砖，属于污泥可资源化利用后的</w:t>
                  </w:r>
                  <w:r>
                    <w:rPr>
                      <w:rFonts w:hint="eastAsia"/>
                      <w:bCs/>
                      <w:sz w:val="15"/>
                      <w:szCs w:val="15"/>
                      <w:lang w:eastAsia="zh-CN"/>
                    </w:rPr>
                    <w:t>衍生产品。</w:t>
                  </w:r>
                </w:p>
              </w:tc>
              <w:tc>
                <w:tcPr>
                  <w:tcW w:w="567" w:type="dxa"/>
                  <w:vAlign w:val="center"/>
                </w:tcPr>
                <w:p>
                  <w:pPr>
                    <w:pStyle w:val="41"/>
                    <w:spacing w:before="0" w:beforeAutospacing="0" w:line="260" w:lineRule="exact"/>
                    <w:jc w:val="center"/>
                    <w:rPr>
                      <w:rFonts w:ascii="宋体" w:hAnsi="宋体" w:cs="宋体"/>
                      <w:sz w:val="15"/>
                      <w:szCs w:val="15"/>
                      <w:lang w:eastAsia="en-US"/>
                    </w:rPr>
                  </w:pPr>
                  <w:r>
                    <w:rPr>
                      <w:rFonts w:ascii="宋体" w:hAnsi="宋体" w:cs="宋体"/>
                      <w:sz w:val="15"/>
                      <w:szCs w:val="15"/>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 w:hRule="atLeast"/>
                <w:jc w:val="center"/>
              </w:trPr>
              <w:tc>
                <w:tcPr>
                  <w:tcW w:w="3685" w:type="dxa"/>
                  <w:vAlign w:val="center"/>
                </w:tcPr>
                <w:p>
                  <w:pPr>
                    <w:pStyle w:val="41"/>
                    <w:spacing w:before="0" w:beforeAutospacing="0" w:line="260" w:lineRule="exact"/>
                    <w:rPr>
                      <w:rFonts w:ascii="宋体" w:hAnsi="宋体" w:cs="宋体"/>
                      <w:sz w:val="15"/>
                      <w:szCs w:val="15"/>
                      <w:lang w:eastAsia="zh-CN"/>
                    </w:rPr>
                  </w:pPr>
                  <w:r>
                    <w:rPr>
                      <w:rFonts w:hint="eastAsia"/>
                      <w:bCs/>
                      <w:sz w:val="15"/>
                      <w:szCs w:val="15"/>
                      <w:lang w:eastAsia="zh-CN"/>
                    </w:rPr>
                    <w:t>1.6污泥处理处置的目标是实现污泥的减量化、稳定化和无害化;鼓励回收和利用污泥中的能源和资源。坚持在安全、环保和经济的前提下实现污泥的处理处置和综合利用，达到节能减排和发展循环经济的目的。</w:t>
                  </w:r>
                </w:p>
              </w:tc>
              <w:tc>
                <w:tcPr>
                  <w:tcW w:w="2127" w:type="dxa"/>
                  <w:vAlign w:val="center"/>
                </w:tcPr>
                <w:p>
                  <w:pPr>
                    <w:pStyle w:val="41"/>
                    <w:spacing w:before="0" w:beforeAutospacing="0" w:line="260" w:lineRule="exact"/>
                    <w:rPr>
                      <w:rFonts w:ascii="宋体" w:hAnsi="宋体" w:cs="宋体"/>
                      <w:sz w:val="15"/>
                      <w:szCs w:val="15"/>
                      <w:lang w:eastAsia="zh-CN"/>
                    </w:rPr>
                  </w:pPr>
                  <w:r>
                    <w:rPr>
                      <w:rFonts w:ascii="宋体" w:hAnsi="宋体" w:cs="宋体"/>
                      <w:sz w:val="15"/>
                      <w:szCs w:val="15"/>
                      <w:lang w:eastAsia="zh-CN"/>
                    </w:rPr>
                    <w:t>本项目对污泥进行处置，并配备了相应</w:t>
                  </w:r>
                  <w:r>
                    <w:rPr>
                      <w:rFonts w:hint="eastAsia" w:ascii="宋体" w:hAnsi="宋体" w:cs="宋体"/>
                      <w:sz w:val="15"/>
                      <w:szCs w:val="15"/>
                      <w:lang w:eastAsia="zh-CN"/>
                    </w:rPr>
                    <w:t>的污染治理设施，能够做到减量化、稳定化和无害化，实现污染物减排。</w:t>
                  </w:r>
                </w:p>
              </w:tc>
              <w:tc>
                <w:tcPr>
                  <w:tcW w:w="567" w:type="dxa"/>
                  <w:vAlign w:val="center"/>
                </w:tcPr>
                <w:p>
                  <w:pPr>
                    <w:pStyle w:val="41"/>
                    <w:spacing w:before="0" w:beforeAutospacing="0" w:line="260" w:lineRule="exact"/>
                    <w:jc w:val="center"/>
                    <w:rPr>
                      <w:rFonts w:ascii="宋体" w:hAnsi="宋体" w:cs="宋体"/>
                      <w:sz w:val="15"/>
                      <w:szCs w:val="15"/>
                      <w:lang w:eastAsia="en-US"/>
                    </w:rPr>
                  </w:pPr>
                  <w:r>
                    <w:rPr>
                      <w:rFonts w:ascii="宋体" w:hAnsi="宋体" w:cs="宋体"/>
                      <w:sz w:val="15"/>
                      <w:szCs w:val="15"/>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 w:hRule="atLeast"/>
                <w:jc w:val="center"/>
              </w:trPr>
              <w:tc>
                <w:tcPr>
                  <w:tcW w:w="3685" w:type="dxa"/>
                  <w:vAlign w:val="center"/>
                </w:tcPr>
                <w:p>
                  <w:pPr>
                    <w:pStyle w:val="41"/>
                    <w:spacing w:before="0" w:beforeAutospacing="0" w:line="260" w:lineRule="exact"/>
                    <w:rPr>
                      <w:rFonts w:ascii="宋体" w:hAnsi="宋体" w:cs="宋体"/>
                      <w:sz w:val="15"/>
                      <w:szCs w:val="15"/>
                      <w:lang w:eastAsia="zh-CN"/>
                    </w:rPr>
                  </w:pPr>
                  <w:r>
                    <w:rPr>
                      <w:rFonts w:hint="eastAsia"/>
                      <w:bCs/>
                      <w:sz w:val="15"/>
                      <w:szCs w:val="15"/>
                      <w:lang w:eastAsia="zh-CN"/>
                    </w:rPr>
                    <w:t>1.8鼓励充分利用社会资源处理处置污泥;鼓励污泥处理处置技术创新和科技进步;鼓励研发适合我省实际情况和地区特点的污泥处理处置新技术、新工艺和新设备。</w:t>
                  </w:r>
                </w:p>
              </w:tc>
              <w:tc>
                <w:tcPr>
                  <w:tcW w:w="2127" w:type="dxa"/>
                  <w:vAlign w:val="center"/>
                </w:tcPr>
                <w:p>
                  <w:pPr>
                    <w:pStyle w:val="41"/>
                    <w:spacing w:before="0" w:beforeAutospacing="0" w:line="260" w:lineRule="exact"/>
                    <w:rPr>
                      <w:rFonts w:ascii="宋体" w:hAnsi="宋体" w:cs="宋体"/>
                      <w:sz w:val="15"/>
                      <w:szCs w:val="15"/>
                      <w:lang w:eastAsia="zh-CN"/>
                    </w:rPr>
                  </w:pPr>
                  <w:r>
                    <w:rPr>
                      <w:rFonts w:ascii="宋体" w:hAnsi="宋体" w:cs="宋体"/>
                      <w:sz w:val="15"/>
                      <w:szCs w:val="15"/>
                      <w:lang w:eastAsia="zh-CN"/>
                    </w:rPr>
                    <w:t>本项目属于社会投资项目，利用污泥掺烧制砖，属于《技术指引》鼓励的污泥处置工艺路线</w:t>
                  </w:r>
                </w:p>
              </w:tc>
              <w:tc>
                <w:tcPr>
                  <w:tcW w:w="567" w:type="dxa"/>
                  <w:vAlign w:val="center"/>
                </w:tcPr>
                <w:p>
                  <w:pPr>
                    <w:pStyle w:val="41"/>
                    <w:spacing w:before="0" w:beforeAutospacing="0" w:line="260" w:lineRule="exact"/>
                    <w:jc w:val="center"/>
                    <w:rPr>
                      <w:rFonts w:ascii="宋体" w:hAnsi="宋体" w:cs="宋体"/>
                      <w:sz w:val="15"/>
                      <w:szCs w:val="15"/>
                      <w:lang w:eastAsia="en-US"/>
                    </w:rPr>
                  </w:pPr>
                  <w:r>
                    <w:rPr>
                      <w:rFonts w:ascii="宋体" w:hAnsi="宋体" w:cs="宋体"/>
                      <w:sz w:val="15"/>
                      <w:szCs w:val="15"/>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69" w:hRule="atLeast"/>
                <w:jc w:val="center"/>
              </w:trPr>
              <w:tc>
                <w:tcPr>
                  <w:tcW w:w="3685" w:type="dxa"/>
                  <w:vAlign w:val="center"/>
                </w:tcPr>
                <w:p>
                  <w:pPr>
                    <w:pStyle w:val="41"/>
                    <w:spacing w:before="0" w:beforeAutospacing="0" w:line="260" w:lineRule="exact"/>
                    <w:rPr>
                      <w:rFonts w:ascii="宋体" w:hAnsi="宋体" w:cs="宋体"/>
                      <w:sz w:val="15"/>
                      <w:szCs w:val="15"/>
                      <w:lang w:eastAsia="zh-CN"/>
                    </w:rPr>
                  </w:pPr>
                  <w:r>
                    <w:rPr>
                      <w:rFonts w:hint="eastAsia"/>
                      <w:bCs/>
                      <w:sz w:val="15"/>
                      <w:szCs w:val="15"/>
                      <w:lang w:eastAsia="zh-CN"/>
                    </w:rPr>
                    <w:t>3.3.2污泥用于制砖时，污泥泥质应符合《城镇污水处理厂污泥处置 制砖用泥质》(GB/T 25031）的规定，利用污泥制备出的成品砖质量应当满足国家标准《烧结普通砖》(GB5101) 、《烧结多孔砖和多孔砌块》(GB 13544）和《烧结空心砖和空心砌块》(GB 13545）中的相关规定。有机质含量较低的污泥宜用于制砖。污泥占总原料重量比(以干污泥计)不宜超过10%，在工业条件允许或产品需要的情况下，混合比例可适当提高。</w:t>
                  </w:r>
                </w:p>
              </w:tc>
              <w:tc>
                <w:tcPr>
                  <w:tcW w:w="2127" w:type="dxa"/>
                  <w:vAlign w:val="center"/>
                </w:tcPr>
                <w:p>
                  <w:pPr>
                    <w:pStyle w:val="41"/>
                    <w:spacing w:before="0" w:beforeAutospacing="0" w:line="260" w:lineRule="exact"/>
                    <w:rPr>
                      <w:rFonts w:ascii="宋体" w:hAnsi="宋体" w:cs="宋体"/>
                      <w:sz w:val="15"/>
                      <w:szCs w:val="15"/>
                      <w:lang w:eastAsia="zh-CN"/>
                    </w:rPr>
                  </w:pPr>
                  <w:r>
                    <w:rPr>
                      <w:rFonts w:ascii="宋体" w:hAnsi="宋体" w:cs="宋体"/>
                      <w:sz w:val="15"/>
                      <w:szCs w:val="15"/>
                      <w:lang w:eastAsia="zh-CN"/>
                    </w:rPr>
                    <w:t>本项目掺烧的污泥泥质满足制砖用泥质要求，成品砖也满足相应的国家标准要求；本项目</w:t>
                  </w:r>
                  <w:r>
                    <w:rPr>
                      <w:rFonts w:hint="eastAsia"/>
                      <w:bCs/>
                      <w:sz w:val="15"/>
                      <w:szCs w:val="15"/>
                      <w:lang w:eastAsia="zh-CN"/>
                    </w:rPr>
                    <w:t>污泥占总原料重量比(以干污泥计)为</w:t>
                  </w:r>
                  <w:r>
                    <w:rPr>
                      <w:rFonts w:hint="eastAsia" w:ascii="Times New Roman" w:hAnsi="Times New Roman"/>
                      <w:bCs/>
                      <w:sz w:val="15"/>
                      <w:szCs w:val="15"/>
                      <w:lang w:eastAsia="zh-CN"/>
                    </w:rPr>
                    <w:t>9.38%，未超过10%，不会影响产品质量及生产线的正常运转。</w:t>
                  </w:r>
                </w:p>
              </w:tc>
              <w:tc>
                <w:tcPr>
                  <w:tcW w:w="567" w:type="dxa"/>
                  <w:vAlign w:val="center"/>
                </w:tcPr>
                <w:p>
                  <w:pPr>
                    <w:pStyle w:val="41"/>
                    <w:spacing w:before="0" w:beforeAutospacing="0" w:line="260" w:lineRule="exact"/>
                    <w:jc w:val="center"/>
                    <w:rPr>
                      <w:rFonts w:ascii="宋体" w:hAnsi="宋体" w:cs="宋体"/>
                      <w:sz w:val="15"/>
                      <w:szCs w:val="15"/>
                      <w:lang w:eastAsia="en-US"/>
                    </w:rPr>
                  </w:pPr>
                  <w:r>
                    <w:rPr>
                      <w:rFonts w:ascii="宋体" w:hAnsi="宋体" w:cs="宋体"/>
                      <w:sz w:val="15"/>
                      <w:szCs w:val="15"/>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 w:hRule="atLeast"/>
                <w:jc w:val="center"/>
              </w:trPr>
              <w:tc>
                <w:tcPr>
                  <w:tcW w:w="3685" w:type="dxa"/>
                  <w:vAlign w:val="center"/>
                </w:tcPr>
                <w:p>
                  <w:pPr>
                    <w:pStyle w:val="41"/>
                    <w:spacing w:before="0" w:beforeAutospacing="0" w:line="260" w:lineRule="exact"/>
                    <w:rPr>
                      <w:rFonts w:ascii="宋体" w:hAnsi="宋体" w:cs="宋体"/>
                      <w:sz w:val="15"/>
                      <w:szCs w:val="15"/>
                      <w:lang w:eastAsia="en-US"/>
                    </w:rPr>
                  </w:pPr>
                  <w:r>
                    <w:rPr>
                      <w:rFonts w:hint="eastAsia"/>
                      <w:bCs/>
                      <w:sz w:val="15"/>
                      <w:szCs w:val="15"/>
                      <w:lang w:eastAsia="zh-CN"/>
                    </w:rPr>
                    <w:t>5.1污泥运输。鼓励采用管道、密闭车辆和密闭驳船等方式运输污泥。运输过程中应进行全过程监控和管理，防止因暴露、洒落或滴漏造成的环境二次污染。</w:t>
                  </w:r>
                  <w:r>
                    <w:rPr>
                      <w:rFonts w:hint="eastAsia"/>
                      <w:bCs/>
                      <w:sz w:val="15"/>
                      <w:szCs w:val="15"/>
                      <w:lang w:eastAsia="en-US"/>
                    </w:rPr>
                    <w:t>严禁随意倾倒、偷排污泥。</w:t>
                  </w:r>
                </w:p>
              </w:tc>
              <w:tc>
                <w:tcPr>
                  <w:tcW w:w="2127" w:type="dxa"/>
                  <w:vAlign w:val="center"/>
                </w:tcPr>
                <w:p>
                  <w:pPr>
                    <w:pStyle w:val="41"/>
                    <w:spacing w:before="0" w:beforeAutospacing="0" w:line="260" w:lineRule="exact"/>
                    <w:rPr>
                      <w:rFonts w:ascii="宋体" w:hAnsi="宋体" w:cs="宋体"/>
                      <w:sz w:val="15"/>
                      <w:szCs w:val="15"/>
                      <w:lang w:eastAsia="zh-CN"/>
                    </w:rPr>
                  </w:pPr>
                  <w:r>
                    <w:rPr>
                      <w:rFonts w:ascii="宋体" w:hAnsi="宋体" w:cs="宋体"/>
                      <w:sz w:val="15"/>
                      <w:szCs w:val="15"/>
                      <w:lang w:eastAsia="zh-CN"/>
                    </w:rPr>
                    <w:t>本项目拟处置污泥，采用密闭车辆运输，运输过程采取相应的管理措施，不会造成二次污染</w:t>
                  </w:r>
                </w:p>
              </w:tc>
              <w:tc>
                <w:tcPr>
                  <w:tcW w:w="567" w:type="dxa"/>
                  <w:vAlign w:val="center"/>
                </w:tcPr>
                <w:p>
                  <w:pPr>
                    <w:pStyle w:val="41"/>
                    <w:spacing w:before="0" w:beforeAutospacing="0" w:line="260" w:lineRule="exact"/>
                    <w:jc w:val="center"/>
                    <w:rPr>
                      <w:rFonts w:ascii="宋体" w:hAnsi="宋体" w:cs="宋体"/>
                      <w:sz w:val="15"/>
                      <w:szCs w:val="15"/>
                      <w:lang w:eastAsia="zh-CN"/>
                    </w:rPr>
                  </w:pPr>
                  <w:r>
                    <w:rPr>
                      <w:rFonts w:ascii="宋体" w:hAnsi="宋体" w:cs="宋体"/>
                      <w:sz w:val="15"/>
                      <w:szCs w:val="15"/>
                      <w:lang w:eastAsia="zh-CN"/>
                    </w:rPr>
                    <w:t>符合</w:t>
                  </w:r>
                </w:p>
              </w:tc>
            </w:tr>
          </w:tbl>
          <w:p>
            <w:pPr>
              <w:adjustRightInd w:val="0"/>
              <w:snapToGrid w:val="0"/>
              <w:spacing w:line="400" w:lineRule="exact"/>
              <w:ind w:left="-53" w:leftChars="-25" w:right="-53" w:rightChars="-25"/>
              <w:jc w:val="left"/>
              <w:rPr>
                <w:rFonts w:eastAsia="黑体"/>
                <w:bCs/>
                <w:szCs w:val="21"/>
              </w:rPr>
            </w:pPr>
            <w:r>
              <w:rPr>
                <w:rFonts w:hint="eastAsia" w:eastAsia="黑体"/>
                <w:bCs/>
                <w:szCs w:val="21"/>
              </w:rPr>
              <w:t>10、与大气污染防治等相关规划符合性分析</w:t>
            </w:r>
          </w:p>
          <w:p>
            <w:pPr>
              <w:adjustRightInd w:val="0"/>
              <w:snapToGrid w:val="0"/>
              <w:spacing w:line="400" w:lineRule="exact"/>
              <w:ind w:left="-53" w:leftChars="-25" w:right="-53" w:rightChars="-25" w:firstLine="420" w:firstLineChars="200"/>
              <w:jc w:val="left"/>
              <w:rPr>
                <w:kern w:val="0"/>
                <w:szCs w:val="21"/>
              </w:rPr>
            </w:pPr>
            <w:r>
              <w:rPr>
                <w:rFonts w:hint="eastAsia"/>
                <w:kern w:val="0"/>
                <w:szCs w:val="21"/>
              </w:rPr>
              <w:t>本项目与《四川省人民政府关于印发四川省打赢蓝天保卫战等九个实施方案的通知》(川府发</w:t>
            </w:r>
            <w:r>
              <w:rPr>
                <w:rFonts w:ascii="微软雅黑" w:hAnsi="微软雅黑" w:eastAsia="微软雅黑" w:cs="微软雅黑"/>
                <w:i w:val="0"/>
                <w:caps w:val="0"/>
                <w:color w:val="000000"/>
                <w:spacing w:val="0"/>
                <w:sz w:val="21"/>
                <w:szCs w:val="21"/>
                <w:shd w:val="clear" w:fill="FFFFFF"/>
              </w:rPr>
              <w:t>〔20</w:t>
            </w:r>
            <w:r>
              <w:rPr>
                <w:rFonts w:hint="eastAsia" w:ascii="微软雅黑" w:hAnsi="微软雅黑" w:eastAsia="微软雅黑" w:cs="微软雅黑"/>
                <w:i w:val="0"/>
                <w:caps w:val="0"/>
                <w:color w:val="000000"/>
                <w:spacing w:val="0"/>
                <w:sz w:val="21"/>
                <w:szCs w:val="21"/>
                <w:shd w:val="clear" w:fill="FFFFFF"/>
                <w:lang w:val="en-US" w:eastAsia="zh-CN"/>
              </w:rPr>
              <w:t>19</w:t>
            </w:r>
            <w:r>
              <w:rPr>
                <w:rFonts w:ascii="微软雅黑" w:hAnsi="微软雅黑" w:eastAsia="微软雅黑" w:cs="微软雅黑"/>
                <w:i w:val="0"/>
                <w:caps w:val="0"/>
                <w:color w:val="000000"/>
                <w:spacing w:val="0"/>
                <w:sz w:val="21"/>
                <w:szCs w:val="21"/>
                <w:shd w:val="clear" w:fill="FFFFFF"/>
              </w:rPr>
              <w:t>〕</w:t>
            </w:r>
            <w:r>
              <w:rPr>
                <w:rFonts w:hint="eastAsia"/>
                <w:kern w:val="0"/>
                <w:szCs w:val="21"/>
              </w:rPr>
              <w:t>4号)、《四川省蓝天保卫行动方案《2017-2020年》《四川省大气污染防治行动计划实施细则2017年度实施计划》的符合性如下表</w:t>
            </w:r>
            <w:r>
              <w:rPr>
                <w:kern w:val="0"/>
                <w:szCs w:val="21"/>
              </w:rPr>
              <w:t>。</w:t>
            </w:r>
          </w:p>
          <w:p>
            <w:pPr>
              <w:spacing w:line="400" w:lineRule="exact"/>
              <w:jc w:val="center"/>
              <w:rPr>
                <w:b/>
                <w:sz w:val="18"/>
                <w:szCs w:val="18"/>
              </w:rPr>
            </w:pPr>
          </w:p>
          <w:p>
            <w:pPr>
              <w:spacing w:line="400" w:lineRule="exact"/>
              <w:jc w:val="center"/>
              <w:rPr>
                <w:b/>
                <w:sz w:val="18"/>
                <w:szCs w:val="18"/>
              </w:rPr>
            </w:pPr>
          </w:p>
          <w:p>
            <w:pPr>
              <w:spacing w:line="400" w:lineRule="exact"/>
              <w:jc w:val="center"/>
              <w:rPr>
                <w:b/>
                <w:sz w:val="18"/>
                <w:szCs w:val="18"/>
              </w:rPr>
            </w:pPr>
            <w:bookmarkStart w:id="6" w:name="_GoBack"/>
            <w:bookmarkEnd w:id="6"/>
          </w:p>
          <w:p>
            <w:pPr>
              <w:spacing w:line="400" w:lineRule="exact"/>
              <w:jc w:val="center"/>
              <w:rPr>
                <w:b/>
                <w:sz w:val="18"/>
                <w:szCs w:val="18"/>
              </w:rPr>
            </w:pPr>
          </w:p>
          <w:p>
            <w:pPr>
              <w:spacing w:line="400" w:lineRule="exact"/>
              <w:jc w:val="center"/>
              <w:rPr>
                <w:b/>
                <w:sz w:val="18"/>
                <w:szCs w:val="18"/>
              </w:rPr>
            </w:pPr>
          </w:p>
          <w:p>
            <w:pPr>
              <w:spacing w:line="400" w:lineRule="exact"/>
              <w:jc w:val="center"/>
              <w:rPr>
                <w:b/>
                <w:sz w:val="18"/>
                <w:szCs w:val="18"/>
              </w:rPr>
            </w:pPr>
          </w:p>
          <w:p>
            <w:pPr>
              <w:spacing w:line="400" w:lineRule="exact"/>
              <w:jc w:val="center"/>
              <w:rPr>
                <w:b/>
                <w:sz w:val="18"/>
                <w:szCs w:val="18"/>
              </w:rPr>
            </w:pPr>
          </w:p>
          <w:p>
            <w:pPr>
              <w:spacing w:line="400" w:lineRule="exact"/>
              <w:jc w:val="center"/>
              <w:rPr>
                <w:b/>
                <w:sz w:val="18"/>
                <w:szCs w:val="18"/>
              </w:rPr>
            </w:pPr>
          </w:p>
          <w:p>
            <w:pPr>
              <w:spacing w:line="100" w:lineRule="exact"/>
              <w:jc w:val="center"/>
              <w:rPr>
                <w:b/>
                <w:sz w:val="18"/>
                <w:szCs w:val="18"/>
              </w:rPr>
            </w:pPr>
          </w:p>
          <w:p>
            <w:pPr>
              <w:spacing w:line="100" w:lineRule="exact"/>
              <w:jc w:val="center"/>
              <w:rPr>
                <w:b/>
                <w:sz w:val="18"/>
                <w:szCs w:val="18"/>
              </w:rPr>
            </w:pPr>
          </w:p>
          <w:p>
            <w:pPr>
              <w:spacing w:line="100" w:lineRule="exact"/>
              <w:jc w:val="center"/>
              <w:rPr>
                <w:b/>
                <w:sz w:val="18"/>
                <w:szCs w:val="18"/>
              </w:rPr>
            </w:pPr>
          </w:p>
          <w:p>
            <w:pPr>
              <w:spacing w:line="100" w:lineRule="exact"/>
              <w:jc w:val="center"/>
              <w:rPr>
                <w:b/>
                <w:sz w:val="18"/>
                <w:szCs w:val="18"/>
              </w:rPr>
            </w:pPr>
          </w:p>
          <w:p>
            <w:pPr>
              <w:spacing w:line="100" w:lineRule="exact"/>
              <w:jc w:val="center"/>
              <w:rPr>
                <w:b/>
                <w:sz w:val="18"/>
                <w:szCs w:val="18"/>
              </w:rPr>
            </w:pPr>
          </w:p>
          <w:p>
            <w:pPr>
              <w:spacing w:line="100" w:lineRule="exact"/>
              <w:jc w:val="center"/>
              <w:rPr>
                <w:b/>
                <w:sz w:val="18"/>
                <w:szCs w:val="18"/>
              </w:rPr>
            </w:pPr>
          </w:p>
          <w:p>
            <w:pPr>
              <w:spacing w:line="100" w:lineRule="exact"/>
              <w:jc w:val="center"/>
              <w:rPr>
                <w:b/>
                <w:sz w:val="18"/>
                <w:szCs w:val="18"/>
              </w:rPr>
            </w:pPr>
          </w:p>
          <w:p>
            <w:pPr>
              <w:spacing w:line="400" w:lineRule="exact"/>
              <w:jc w:val="center"/>
              <w:rPr>
                <w:b/>
                <w:sz w:val="18"/>
                <w:szCs w:val="18"/>
              </w:rPr>
            </w:pPr>
            <w:r>
              <w:rPr>
                <w:b/>
                <w:sz w:val="18"/>
                <w:szCs w:val="18"/>
              </w:rPr>
              <w:t>表</w:t>
            </w:r>
            <w:r>
              <w:rPr>
                <w:rFonts w:hint="eastAsia"/>
                <w:b/>
                <w:sz w:val="18"/>
                <w:szCs w:val="18"/>
              </w:rPr>
              <w:t xml:space="preserve">1-8   </w:t>
            </w:r>
            <w:r>
              <w:rPr>
                <w:b/>
                <w:sz w:val="18"/>
                <w:szCs w:val="18"/>
              </w:rPr>
              <w:t>与大气污染防治等相关规划</w:t>
            </w:r>
            <w:r>
              <w:rPr>
                <w:rFonts w:hint="eastAsia"/>
                <w:b/>
                <w:sz w:val="18"/>
                <w:szCs w:val="18"/>
              </w:rPr>
              <w:t>的</w:t>
            </w:r>
            <w:r>
              <w:rPr>
                <w:b/>
                <w:sz w:val="18"/>
                <w:szCs w:val="18"/>
              </w:rPr>
              <w:t>符合性</w:t>
            </w:r>
          </w:p>
          <w:tbl>
            <w:tblPr>
              <w:tblStyle w:val="21"/>
              <w:tblW w:w="64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4239"/>
              <w:gridCol w:w="739"/>
              <w:gridCol w:w="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910" w:type="dxa"/>
                  <w:vAlign w:val="center"/>
                </w:tcPr>
                <w:p>
                  <w:pPr>
                    <w:spacing w:line="240" w:lineRule="exact"/>
                    <w:ind w:left="-53" w:leftChars="-25" w:right="-53" w:rightChars="-25"/>
                    <w:jc w:val="center"/>
                    <w:rPr>
                      <w:b/>
                      <w:sz w:val="15"/>
                      <w:szCs w:val="15"/>
                    </w:rPr>
                  </w:pPr>
                  <w:r>
                    <w:rPr>
                      <w:b/>
                      <w:sz w:val="15"/>
                      <w:szCs w:val="15"/>
                    </w:rPr>
                    <w:t>项目</w:t>
                  </w:r>
                </w:p>
              </w:tc>
              <w:tc>
                <w:tcPr>
                  <w:tcW w:w="4239" w:type="dxa"/>
                  <w:vAlign w:val="center"/>
                </w:tcPr>
                <w:p>
                  <w:pPr>
                    <w:spacing w:line="240" w:lineRule="exact"/>
                    <w:ind w:left="-53" w:leftChars="-25" w:right="-53" w:rightChars="-25"/>
                    <w:jc w:val="center"/>
                    <w:rPr>
                      <w:b/>
                      <w:sz w:val="15"/>
                      <w:szCs w:val="15"/>
                    </w:rPr>
                  </w:pPr>
                  <w:r>
                    <w:rPr>
                      <w:b/>
                      <w:sz w:val="15"/>
                      <w:szCs w:val="15"/>
                    </w:rPr>
                    <w:t>控制标准（部分和本项目有关的）</w:t>
                  </w:r>
                </w:p>
              </w:tc>
              <w:tc>
                <w:tcPr>
                  <w:tcW w:w="739" w:type="dxa"/>
                  <w:vAlign w:val="center"/>
                </w:tcPr>
                <w:p>
                  <w:pPr>
                    <w:spacing w:line="240" w:lineRule="exact"/>
                    <w:ind w:left="-53" w:leftChars="-25" w:right="-53" w:rightChars="-25"/>
                    <w:jc w:val="center"/>
                    <w:rPr>
                      <w:b/>
                      <w:sz w:val="15"/>
                      <w:szCs w:val="15"/>
                    </w:rPr>
                  </w:pPr>
                  <w:r>
                    <w:rPr>
                      <w:b/>
                      <w:sz w:val="15"/>
                      <w:szCs w:val="15"/>
                    </w:rPr>
                    <w:t>项目情况</w:t>
                  </w:r>
                </w:p>
              </w:tc>
              <w:tc>
                <w:tcPr>
                  <w:tcW w:w="610" w:type="dxa"/>
                  <w:vAlign w:val="center"/>
                </w:tcPr>
                <w:p>
                  <w:pPr>
                    <w:spacing w:line="240" w:lineRule="exact"/>
                    <w:ind w:left="-53" w:leftChars="-25" w:right="-53" w:rightChars="-25"/>
                    <w:jc w:val="center"/>
                    <w:rPr>
                      <w:b/>
                      <w:sz w:val="15"/>
                      <w:szCs w:val="15"/>
                    </w:rPr>
                  </w:pPr>
                  <w:r>
                    <w:rPr>
                      <w:b/>
                      <w:sz w:val="15"/>
                      <w:szCs w:val="15"/>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jc w:val="center"/>
              </w:trPr>
              <w:tc>
                <w:tcPr>
                  <w:tcW w:w="910" w:type="dxa"/>
                  <w:vMerge w:val="restart"/>
                  <w:vAlign w:val="center"/>
                </w:tcPr>
                <w:p>
                  <w:pPr>
                    <w:spacing w:line="240" w:lineRule="exact"/>
                    <w:ind w:left="-53" w:leftChars="-25" w:right="-53" w:rightChars="-25"/>
                    <w:jc w:val="center"/>
                    <w:rPr>
                      <w:sz w:val="15"/>
                      <w:szCs w:val="15"/>
                    </w:rPr>
                  </w:pPr>
                  <w:r>
                    <w:rPr>
                      <w:rFonts w:hint="eastAsia"/>
                      <w:sz w:val="15"/>
                      <w:szCs w:val="15"/>
                    </w:rPr>
                    <w:t>《四川省人民政府关于印发四川省打赢蓝天保卫战等九个实施方案的通知》——《四川省打赢蓝天保卫战实施方案》</w:t>
                  </w:r>
                </w:p>
              </w:tc>
              <w:tc>
                <w:tcPr>
                  <w:tcW w:w="4239" w:type="dxa"/>
                </w:tcPr>
                <w:p>
                  <w:pPr>
                    <w:spacing w:line="240" w:lineRule="exact"/>
                    <w:ind w:left="-53" w:leftChars="-25" w:right="-53" w:rightChars="-25"/>
                    <w:rPr>
                      <w:spacing w:val="-6"/>
                      <w:sz w:val="15"/>
                      <w:szCs w:val="15"/>
                    </w:rPr>
                  </w:pPr>
                  <w:r>
                    <w:rPr>
                      <w:rFonts w:hint="eastAsia"/>
                      <w:spacing w:val="-6"/>
                      <w:sz w:val="15"/>
                      <w:szCs w:val="15"/>
                    </w:rPr>
                    <w:t>四川省大气污染防治重点区域包括成都市、自贡市、德阳市、内江市全域、泸州市江阳区、龙马潭区、纳溪区、泸县全域、绵阳市涪城区、游仙区、安州区、江油市三台县全域、遂宁市船山区、安居区、蓬溪县、大英县全域、乐山市市中区、五通桥区、沙湾区、峨眉山市、犍为县、井研县、夹江县全域、南充市顺庆区、高坪区、嘉陵区全域、宜宾市翠屏区除李端镇、牟坪镇外的区域、南溪区全域、叙州区除商州镇、龙池乡、凤仪乡、双龙镇外的区域，江安县全域，高县庆符镇、文江镇、胜天镇、月江镇、广安市广安区、前锋区全域、达州市通川区全域、达川区除陈家乡、罐子乡、渡市镇外的区域、雅安市雨城区、名山区全域、眉山市东坡区、彭山区、仁寿县、丹棱县、青神县全域、资阳市雁江区全域</w:t>
                  </w:r>
                </w:p>
              </w:tc>
              <w:tc>
                <w:tcPr>
                  <w:tcW w:w="739" w:type="dxa"/>
                  <w:vMerge w:val="restart"/>
                  <w:vAlign w:val="center"/>
                </w:tcPr>
                <w:p>
                  <w:pPr>
                    <w:spacing w:line="240" w:lineRule="exact"/>
                    <w:ind w:left="-53" w:leftChars="-25" w:right="-53" w:rightChars="-25"/>
                    <w:jc w:val="left"/>
                    <w:rPr>
                      <w:sz w:val="15"/>
                      <w:szCs w:val="15"/>
                    </w:rPr>
                  </w:pPr>
                  <w:r>
                    <w:rPr>
                      <w:rFonts w:hint="eastAsia"/>
                      <w:sz w:val="15"/>
                      <w:szCs w:val="15"/>
                    </w:rPr>
                    <w:t>本项目位于大竹县高明镇同心村9组，不属于大气污染防治重点区域。本次技改主要是采取原料替代的方式处置污泥，原料堆场采取封闭式处理，喷雾洒水降尘。</w:t>
                  </w:r>
                </w:p>
              </w:tc>
              <w:tc>
                <w:tcPr>
                  <w:tcW w:w="610" w:type="dxa"/>
                  <w:vAlign w:val="center"/>
                </w:tcPr>
                <w:p>
                  <w:pPr>
                    <w:spacing w:line="240" w:lineRule="exact"/>
                    <w:ind w:left="-53" w:leftChars="-25" w:right="-53" w:rightChars="-25"/>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4" w:hRule="atLeast"/>
                <w:jc w:val="center"/>
              </w:trPr>
              <w:tc>
                <w:tcPr>
                  <w:tcW w:w="910" w:type="dxa"/>
                  <w:vMerge w:val="continue"/>
                  <w:vAlign w:val="center"/>
                </w:tcPr>
                <w:p>
                  <w:pPr>
                    <w:spacing w:line="240" w:lineRule="exact"/>
                    <w:ind w:left="-53" w:leftChars="-25" w:right="-53" w:rightChars="-25"/>
                    <w:jc w:val="center"/>
                    <w:rPr>
                      <w:sz w:val="15"/>
                      <w:szCs w:val="15"/>
                    </w:rPr>
                  </w:pPr>
                </w:p>
              </w:tc>
              <w:tc>
                <w:tcPr>
                  <w:tcW w:w="4239" w:type="dxa"/>
                </w:tcPr>
                <w:p>
                  <w:pPr>
                    <w:spacing w:line="240" w:lineRule="exact"/>
                    <w:ind w:left="-53" w:leftChars="-25" w:right="-53" w:rightChars="-25"/>
                    <w:rPr>
                      <w:sz w:val="15"/>
                      <w:szCs w:val="15"/>
                    </w:rPr>
                  </w:pPr>
                  <w:r>
                    <w:rPr>
                      <w:rFonts w:hint="eastAsia"/>
                      <w:sz w:val="15"/>
                      <w:szCs w:val="15"/>
                    </w:rPr>
                    <w:t>三、重点任务（四）加强扬尘管控，提高城市环境管理水平。强化堆场扬尘管控。工业企业堆场实施规范化全封闭管理。并采取覆盖措施有效控制扬尘污染;堆场内进行搅拌、破碎、筛分等作业时应喷水抑尘，遇重污染天气时禁止进行产生扬尘的作业。物料装卸配备喷淋等防尘措施，转运物料尽量采取封闭式皮带输送。厂区主要运输通道实施硬化并定期冲洗或湿式清扫，堆场进出口设车辆冲洗设施，运输车辆实施密闭或全覆盖，及时收集清理堆场外道路上撒落的物料</w:t>
                  </w:r>
                </w:p>
              </w:tc>
              <w:tc>
                <w:tcPr>
                  <w:tcW w:w="739" w:type="dxa"/>
                  <w:vMerge w:val="continue"/>
                  <w:vAlign w:val="center"/>
                </w:tcPr>
                <w:p>
                  <w:pPr>
                    <w:spacing w:line="240" w:lineRule="exact"/>
                    <w:ind w:left="-53" w:leftChars="-25" w:right="-53" w:rightChars="-25"/>
                    <w:jc w:val="left"/>
                    <w:rPr>
                      <w:sz w:val="15"/>
                      <w:szCs w:val="15"/>
                    </w:rPr>
                  </w:pPr>
                </w:p>
              </w:tc>
              <w:tc>
                <w:tcPr>
                  <w:tcW w:w="610" w:type="dxa"/>
                  <w:vAlign w:val="center"/>
                </w:tcPr>
                <w:p>
                  <w:pPr>
                    <w:spacing w:line="240" w:lineRule="exact"/>
                    <w:ind w:left="-53" w:leftChars="-25" w:right="-53" w:rightChars="-25"/>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2" w:hRule="atLeast"/>
                <w:jc w:val="center"/>
              </w:trPr>
              <w:tc>
                <w:tcPr>
                  <w:tcW w:w="910" w:type="dxa"/>
                  <w:vAlign w:val="center"/>
                </w:tcPr>
                <w:p>
                  <w:pPr>
                    <w:spacing w:line="240" w:lineRule="exact"/>
                    <w:ind w:left="-53" w:leftChars="-25" w:right="-53" w:rightChars="-25"/>
                    <w:jc w:val="center"/>
                    <w:rPr>
                      <w:sz w:val="15"/>
                      <w:szCs w:val="15"/>
                    </w:rPr>
                  </w:pPr>
                  <w:r>
                    <w:rPr>
                      <w:rFonts w:hint="eastAsia"/>
                      <w:sz w:val="15"/>
                      <w:szCs w:val="15"/>
                    </w:rPr>
                    <w:t>《四川省蓝天保卫行动方案》《2017-2020年》</w:t>
                  </w:r>
                </w:p>
              </w:tc>
              <w:tc>
                <w:tcPr>
                  <w:tcW w:w="4239" w:type="dxa"/>
                </w:tcPr>
                <w:p>
                  <w:pPr>
                    <w:spacing w:line="240" w:lineRule="exact"/>
                    <w:ind w:left="-53" w:leftChars="-25" w:right="-53" w:rightChars="-25"/>
                    <w:rPr>
                      <w:sz w:val="15"/>
                      <w:szCs w:val="15"/>
                    </w:rPr>
                  </w:pPr>
                  <w:r>
                    <w:rPr>
                      <w:rFonts w:hint="eastAsia"/>
                      <w:sz w:val="15"/>
                      <w:szCs w:val="15"/>
                    </w:rPr>
                    <w:t>三、重点任务（四）强力推进城市扬尘综合整治:2、强化堆场扬尘管控。工业企业堆场实施规范化全封闭管理。易产生扬尘的物料堆场采取封闭式库仓，不具备封闭式库仓改造条件的，应设置不低于料堆高度的严密围挡，且采取覆盖措施有效控制扬尘污染;堆场内进行搅拌、粉碎、筛分等作业时应喷水抑尘，在重污染天气时禁止进行产生扬尘的作业。物料装卸配备喷淋等防尘措施，转运物料尽量采取封闭式皮带输送。厂区主要运输通道实施硬化并定期冲洗或湿式清扫，堆场进出口设置车辆冲洗设施，运输车辆实施密闭或全覆盖，及时收集清理堆场外道路上撒落的物料。</w:t>
                  </w:r>
                </w:p>
              </w:tc>
              <w:tc>
                <w:tcPr>
                  <w:tcW w:w="739" w:type="dxa"/>
                  <w:vMerge w:val="continue"/>
                  <w:vAlign w:val="center"/>
                </w:tcPr>
                <w:p>
                  <w:pPr>
                    <w:spacing w:line="240" w:lineRule="exact"/>
                    <w:ind w:left="-53" w:leftChars="-25" w:right="-53" w:rightChars="-25"/>
                    <w:jc w:val="left"/>
                    <w:rPr>
                      <w:sz w:val="15"/>
                      <w:szCs w:val="15"/>
                    </w:rPr>
                  </w:pPr>
                </w:p>
              </w:tc>
              <w:tc>
                <w:tcPr>
                  <w:tcW w:w="610" w:type="dxa"/>
                  <w:vAlign w:val="center"/>
                </w:tcPr>
                <w:p>
                  <w:pPr>
                    <w:spacing w:line="240" w:lineRule="exact"/>
                    <w:ind w:left="-53" w:leftChars="-25" w:right="-53" w:rightChars="-25"/>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7" w:hRule="atLeast"/>
                <w:jc w:val="center"/>
              </w:trPr>
              <w:tc>
                <w:tcPr>
                  <w:tcW w:w="910" w:type="dxa"/>
                  <w:vAlign w:val="center"/>
                </w:tcPr>
                <w:p>
                  <w:pPr>
                    <w:spacing w:line="240" w:lineRule="exact"/>
                    <w:ind w:left="-53" w:leftChars="-25" w:right="-53" w:rightChars="-25"/>
                    <w:jc w:val="center"/>
                    <w:rPr>
                      <w:sz w:val="15"/>
                      <w:szCs w:val="15"/>
                    </w:rPr>
                  </w:pPr>
                  <w:r>
                    <w:rPr>
                      <w:rFonts w:hint="eastAsia"/>
                      <w:sz w:val="15"/>
                      <w:szCs w:val="15"/>
                    </w:rPr>
                    <w:t>《四川省大气污染防治行动计划实施细则2017年度实施计划》</w:t>
                  </w:r>
                </w:p>
              </w:tc>
              <w:tc>
                <w:tcPr>
                  <w:tcW w:w="4239" w:type="dxa"/>
                </w:tcPr>
                <w:p>
                  <w:pPr>
                    <w:spacing w:line="240" w:lineRule="exact"/>
                    <w:ind w:left="-53" w:leftChars="-25" w:right="-53" w:rightChars="-25"/>
                    <w:rPr>
                      <w:sz w:val="15"/>
                      <w:szCs w:val="15"/>
                    </w:rPr>
                  </w:pPr>
                  <w:r>
                    <w:rPr>
                      <w:rFonts w:hint="eastAsia"/>
                      <w:sz w:val="15"/>
                      <w:szCs w:val="15"/>
                    </w:rPr>
                    <w:t>二、重点任务。（四）深化面源污染治理，加强城市环境综合管理。强化堆场扬尘控制。强化煤堆、料堆的监督管理，推进视频监控设施安装。大型煤堆、料堆场应建立密闭料仓与传送装置，生产企业中小型堆场和废渣堆场应搭建顶蓬并修筑防风墙。对临时露天堆放的，应加以覆盖或建设自动喷淋装置;对长期堆放的废弃物，应采取覆绿、铺装、硬化、定期喷洒抑尘剂或稳定剂等措施</w:t>
                  </w:r>
                </w:p>
              </w:tc>
              <w:tc>
                <w:tcPr>
                  <w:tcW w:w="739" w:type="dxa"/>
                  <w:vMerge w:val="continue"/>
                  <w:vAlign w:val="center"/>
                </w:tcPr>
                <w:p>
                  <w:pPr>
                    <w:spacing w:line="240" w:lineRule="exact"/>
                    <w:ind w:left="-53" w:leftChars="-25" w:right="-53" w:rightChars="-25"/>
                    <w:jc w:val="left"/>
                    <w:rPr>
                      <w:sz w:val="15"/>
                      <w:szCs w:val="15"/>
                    </w:rPr>
                  </w:pPr>
                </w:p>
              </w:tc>
              <w:tc>
                <w:tcPr>
                  <w:tcW w:w="610" w:type="dxa"/>
                  <w:vAlign w:val="center"/>
                </w:tcPr>
                <w:p>
                  <w:pPr>
                    <w:spacing w:line="240" w:lineRule="exact"/>
                    <w:ind w:left="-53" w:leftChars="-25" w:right="-53" w:rightChars="-25"/>
                    <w:jc w:val="center"/>
                    <w:rPr>
                      <w:sz w:val="15"/>
                      <w:szCs w:val="15"/>
                    </w:rPr>
                  </w:pPr>
                  <w:r>
                    <w:rPr>
                      <w:sz w:val="15"/>
                      <w:szCs w:val="15"/>
                    </w:rPr>
                    <w:t>符合</w:t>
                  </w:r>
                </w:p>
              </w:tc>
            </w:tr>
          </w:tbl>
          <w:p>
            <w:pPr>
              <w:adjustRightInd w:val="0"/>
              <w:snapToGrid w:val="0"/>
              <w:spacing w:line="400" w:lineRule="exact"/>
              <w:ind w:left="-53" w:leftChars="-25" w:right="-53" w:rightChars="-25"/>
              <w:jc w:val="left"/>
              <w:rPr>
                <w:bCs/>
                <w:kern w:val="0"/>
                <w:szCs w:val="21"/>
              </w:rPr>
            </w:pPr>
            <w:r>
              <w:rPr>
                <w:rFonts w:hint="eastAsia" w:eastAsia="黑体"/>
                <w:bCs/>
                <w:szCs w:val="21"/>
              </w:rPr>
              <w:t>11</w:t>
            </w:r>
            <w:r>
              <w:rPr>
                <w:rFonts w:eastAsia="黑体"/>
                <w:bCs/>
                <w:szCs w:val="21"/>
              </w:rPr>
              <w:t>、外环境关系介绍</w:t>
            </w:r>
          </w:p>
          <w:p>
            <w:pPr>
              <w:pStyle w:val="14"/>
              <w:spacing w:after="0" w:line="400" w:lineRule="exact"/>
              <w:ind w:left="0" w:leftChars="0" w:firstLine="420" w:firstLineChars="200"/>
              <w:jc w:val="left"/>
              <w:rPr>
                <w:bCs/>
                <w:kern w:val="0"/>
                <w:szCs w:val="21"/>
              </w:rPr>
            </w:pPr>
            <w:r>
              <w:rPr>
                <w:rFonts w:hint="eastAsia"/>
                <w:bCs/>
                <w:kern w:val="0"/>
                <w:szCs w:val="21"/>
              </w:rPr>
              <w:t>本项目位于大竹县高明镇同心村9组。根据现场踏勘，其外环境关系如下：</w:t>
            </w:r>
          </w:p>
          <w:p>
            <w:pPr>
              <w:pStyle w:val="14"/>
              <w:spacing w:after="0" w:line="400" w:lineRule="exact"/>
              <w:ind w:left="0" w:leftChars="0" w:firstLine="420" w:firstLineChars="200"/>
              <w:jc w:val="left"/>
              <w:rPr>
                <w:bCs/>
                <w:kern w:val="0"/>
                <w:szCs w:val="21"/>
              </w:rPr>
            </w:pPr>
            <w:r>
              <w:rPr>
                <w:rFonts w:hint="eastAsia"/>
                <w:bCs/>
                <w:kern w:val="0"/>
                <w:szCs w:val="21"/>
              </w:rPr>
              <w:t>本项目位于高明至周家的县道公路右侧，周边为农村环境。项目东北面相邻12m有1户住户，相距60~260m有10户住户。项目东面相邻8~16m有2户住户，相邻260m有5户住户。项目东南面相邻8m有1户住户，相邻110~280m有13户住户。项目南面为大片农田。项目西南面相距70m有2户住户。项目西面为大片农田，以西为县道公路，公路旁距离项目约160m为同心村村委会办公室，相距460~500m处有14户住户。项目西北面公路旁相距60m有2户住户，相距150~280m处有8户住户。项目北面相距280m处有5户住户。</w:t>
            </w:r>
          </w:p>
          <w:p>
            <w:pPr>
              <w:pStyle w:val="14"/>
              <w:spacing w:after="0" w:line="400" w:lineRule="exact"/>
              <w:ind w:left="0" w:leftChars="0" w:firstLine="420" w:firstLineChars="200"/>
              <w:jc w:val="left"/>
              <w:rPr>
                <w:kern w:val="0"/>
                <w:szCs w:val="21"/>
              </w:rPr>
            </w:pPr>
            <w:r>
              <w:rPr>
                <w:rFonts w:hint="eastAsia"/>
                <w:bCs/>
                <w:kern w:val="0"/>
                <w:szCs w:val="21"/>
              </w:rPr>
              <w:t>与项目有关的地表水体为西面相距约620m的高滩河。</w:t>
            </w:r>
          </w:p>
          <w:p>
            <w:pPr>
              <w:adjustRightInd w:val="0"/>
              <w:snapToGrid w:val="0"/>
              <w:spacing w:line="400" w:lineRule="exact"/>
              <w:ind w:left="-53" w:leftChars="-25" w:right="-53" w:rightChars="-25"/>
              <w:jc w:val="left"/>
              <w:rPr>
                <w:rFonts w:eastAsia="黑体"/>
                <w:bCs/>
                <w:szCs w:val="21"/>
              </w:rPr>
            </w:pPr>
            <w:r>
              <w:rPr>
                <w:rFonts w:hint="eastAsia" w:eastAsia="黑体"/>
                <w:bCs/>
                <w:szCs w:val="21"/>
              </w:rPr>
              <w:t>12</w:t>
            </w:r>
            <w:r>
              <w:rPr>
                <w:rFonts w:eastAsia="黑体"/>
                <w:bCs/>
                <w:szCs w:val="21"/>
              </w:rPr>
              <w:t>、</w:t>
            </w:r>
            <w:r>
              <w:rPr>
                <w:rFonts w:hint="eastAsia" w:eastAsia="黑体"/>
                <w:bCs/>
                <w:szCs w:val="21"/>
              </w:rPr>
              <w:t>选址合理性分析</w:t>
            </w:r>
          </w:p>
          <w:p>
            <w:pPr>
              <w:autoSpaceDE w:val="0"/>
              <w:autoSpaceDN w:val="0"/>
              <w:adjustRightInd w:val="0"/>
              <w:snapToGrid w:val="0"/>
              <w:spacing w:line="400" w:lineRule="exact"/>
              <w:ind w:firstLine="420" w:firstLineChars="200"/>
              <w:jc w:val="left"/>
              <w:rPr>
                <w:kern w:val="0"/>
                <w:szCs w:val="21"/>
              </w:rPr>
            </w:pPr>
            <w:r>
              <w:rPr>
                <w:rFonts w:hint="eastAsia"/>
                <w:szCs w:val="21"/>
              </w:rPr>
              <w:t>（1）查阅相关</w:t>
            </w:r>
            <w:r>
              <w:rPr>
                <w:rFonts w:hint="eastAsia"/>
              </w:rPr>
              <w:t>资料，项目用地区域及评价范围内</w:t>
            </w:r>
            <w:r>
              <w:rPr>
                <w:kern w:val="0"/>
                <w:szCs w:val="21"/>
              </w:rPr>
              <w:t>不涉及自然保护区、风景名胜区等，也不属于生态保护红线范围，永久基本农田范围等依法设立的各级各类保护区域。</w:t>
            </w:r>
          </w:p>
          <w:p>
            <w:pPr>
              <w:autoSpaceDE w:val="0"/>
              <w:autoSpaceDN w:val="0"/>
              <w:adjustRightInd w:val="0"/>
              <w:snapToGrid w:val="0"/>
              <w:spacing w:line="400" w:lineRule="exact"/>
              <w:ind w:firstLine="420" w:firstLineChars="200"/>
              <w:jc w:val="left"/>
              <w:rPr>
                <w:kern w:val="0"/>
                <w:szCs w:val="21"/>
              </w:rPr>
            </w:pPr>
            <w:r>
              <w:rPr>
                <w:kern w:val="0"/>
                <w:szCs w:val="21"/>
              </w:rPr>
              <w:t>（</w:t>
            </w:r>
            <w:r>
              <w:rPr>
                <w:rFonts w:hint="eastAsia"/>
                <w:kern w:val="0"/>
                <w:szCs w:val="21"/>
              </w:rPr>
              <w:t>2</w:t>
            </w:r>
            <w:r>
              <w:rPr>
                <w:kern w:val="0"/>
                <w:szCs w:val="21"/>
              </w:rPr>
              <w:t>）根据调查，</w:t>
            </w:r>
            <w:r>
              <w:rPr>
                <w:rFonts w:hint="eastAsia"/>
                <w:kern w:val="0"/>
                <w:szCs w:val="21"/>
              </w:rPr>
              <w:t>高明镇场镇自来水由大竹县盛洁城乡供排水有限公司下属的高童水厂供水。根据达州市人民政府《关于划定万源市、宣汉县和大竹县乡镇及以下集中式饮用水水源地保护区的批复》（达市府函〔2020</w:t>
            </w:r>
            <w:r>
              <w:rPr>
                <w:rFonts w:hint="eastAsia" w:ascii="宋体" w:hAnsi="宋体"/>
                <w:kern w:val="0"/>
                <w:szCs w:val="21"/>
              </w:rPr>
              <w:t>〕</w:t>
            </w:r>
            <w:r>
              <w:rPr>
                <w:rFonts w:hint="eastAsia"/>
                <w:kern w:val="0"/>
                <w:szCs w:val="21"/>
              </w:rPr>
              <w:t>124号），高童集中供水工程供水站取水口位于周家镇中和场社区8组，取水口信息E107°16′29.40″,N30°35′0.97″，属湖库型饮用水源地。其一级保护区水域：青滩子水库多年平均水位对应的高程线(632.6m)以下的全部水域范围；陆域：水库一级保护区水域外 200米范围内，但不超过分水岭和水库沿岸最近道路外侧的全部陆域范围。二级保护区水域：除一级保护区外，青滩子水库坝顶以上(含大坝坝顶)汇水范围内，大竹县境内全部水域范围；陆域：除一级保护区外，青滩子水库坝顶以上(含大坝坝顶)汇水范围内，大竹县境内全部陆域范围。</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根据调查，高童集中供水工程供水站取水口及青滩子水库位于项目西北面约8.8km处；水库大坝下游有小河沟汇入高滩河，属于高滩河的支流。本项目位于高滩河左岸，有小水沟汇入高滩河，与青滩子水库下游小河沟不属于同一支流。因此，本项目不在大竹县周家镇青滩子水库集中式饮用水水源地保护区范围。</w:t>
            </w:r>
          </w:p>
          <w:p>
            <w:pPr>
              <w:pStyle w:val="14"/>
              <w:spacing w:after="0" w:line="400" w:lineRule="exact"/>
              <w:ind w:left="0" w:leftChars="0" w:firstLine="420" w:firstLineChars="200"/>
              <w:rPr>
                <w:kern w:val="0"/>
                <w:szCs w:val="21"/>
              </w:rPr>
            </w:pPr>
            <w:r>
              <w:rPr>
                <w:rFonts w:hint="eastAsia"/>
                <w:kern w:val="0"/>
                <w:szCs w:val="21"/>
              </w:rPr>
              <w:t>（3）本项目为技改项目，工程建设全部布置在现有厂区范围内，不新增土地占用。</w:t>
            </w:r>
          </w:p>
          <w:p>
            <w:pPr>
              <w:pStyle w:val="14"/>
              <w:spacing w:after="0" w:line="400" w:lineRule="exact"/>
              <w:ind w:left="0" w:leftChars="0" w:firstLine="420" w:firstLineChars="200"/>
              <w:rPr>
                <w:kern w:val="0"/>
                <w:szCs w:val="21"/>
              </w:rPr>
            </w:pPr>
            <w:r>
              <w:rPr>
                <w:rFonts w:hint="eastAsia"/>
                <w:kern w:val="0"/>
                <w:szCs w:val="21"/>
              </w:rPr>
              <w:t>（4）项目依托现有新型烧结砖生产线进行污泥综合利用，实现了废旧资源再利用。同时利用现有烧结砖生产线的各类环保设施进行污染物治理后，能够实现达标排放；同时对现有环保设施采取“以新带老”整改措施后，可有效降低对周边环境的污染影响。</w:t>
            </w:r>
          </w:p>
          <w:p>
            <w:pPr>
              <w:pStyle w:val="14"/>
              <w:spacing w:after="0" w:line="100" w:lineRule="exact"/>
              <w:ind w:left="0" w:leftChars="0" w:firstLine="420" w:firstLineChars="200"/>
              <w:rPr>
                <w:kern w:val="0"/>
                <w:szCs w:val="21"/>
              </w:rPr>
            </w:pPr>
          </w:p>
          <w:p>
            <w:pPr>
              <w:pStyle w:val="14"/>
              <w:spacing w:after="0" w:line="100" w:lineRule="exact"/>
              <w:ind w:left="0" w:leftChars="0" w:firstLine="420" w:firstLineChars="200"/>
            </w:pPr>
          </w:p>
          <w:p>
            <w:pPr>
              <w:pStyle w:val="14"/>
              <w:spacing w:after="0" w:line="100" w:lineRule="exact"/>
              <w:ind w:left="0" w:leftChars="0" w:firstLine="420" w:firstLineChars="200"/>
            </w:pPr>
          </w:p>
          <w:p>
            <w:pPr>
              <w:pStyle w:val="14"/>
              <w:spacing w:after="0" w:line="100" w:lineRule="exact"/>
              <w:ind w:left="0" w:leftChars="0" w:firstLine="420" w:firstLineChars="200"/>
            </w:pPr>
          </w:p>
          <w:p>
            <w:pPr>
              <w:pStyle w:val="14"/>
              <w:spacing w:after="0" w:line="100" w:lineRule="exact"/>
              <w:ind w:left="0" w:leftChars="0" w:firstLine="420" w:firstLineChars="200"/>
            </w:pPr>
          </w:p>
          <w:p>
            <w:pPr>
              <w:pStyle w:val="14"/>
              <w:spacing w:after="0" w:line="100" w:lineRule="exact"/>
              <w:ind w:left="0" w:leftChars="0" w:firstLine="420" w:firstLineChars="200"/>
            </w:pPr>
          </w:p>
          <w:p>
            <w:pPr>
              <w:pStyle w:val="14"/>
              <w:spacing w:after="0" w:line="100" w:lineRule="exact"/>
              <w:ind w:left="0" w:leftChars="0" w:firstLine="420" w:firstLineChars="200"/>
            </w:pPr>
          </w:p>
          <w:p>
            <w:pPr>
              <w:pStyle w:val="14"/>
              <w:spacing w:after="0" w:line="100" w:lineRule="exact"/>
              <w:ind w:left="0" w:leftChars="0" w:firstLine="420" w:firstLineChars="200"/>
            </w:pPr>
          </w:p>
          <w:p>
            <w:pPr>
              <w:pStyle w:val="14"/>
              <w:spacing w:after="0" w:line="100" w:lineRule="exact"/>
              <w:ind w:left="0" w:leftChars="0" w:firstLine="420" w:firstLineChars="200"/>
            </w:pPr>
          </w:p>
          <w:p>
            <w:pPr>
              <w:pStyle w:val="14"/>
              <w:spacing w:after="0" w:line="100" w:lineRule="exact"/>
              <w:ind w:left="0" w:leftChars="0" w:firstLine="420" w:firstLineChars="200"/>
            </w:pPr>
          </w:p>
          <w:p>
            <w:pPr>
              <w:pStyle w:val="14"/>
              <w:spacing w:after="0" w:line="100" w:lineRule="exact"/>
              <w:ind w:left="0" w:leftChars="0" w:firstLine="420" w:firstLineChars="200"/>
            </w:pPr>
          </w:p>
          <w:p>
            <w:pPr>
              <w:pStyle w:val="14"/>
              <w:spacing w:after="0" w:line="100" w:lineRule="exact"/>
              <w:ind w:left="0" w:leftChars="0" w:firstLine="420" w:firstLineChars="200"/>
            </w:pPr>
          </w:p>
          <w:p>
            <w:pPr>
              <w:pStyle w:val="14"/>
              <w:spacing w:after="0" w:line="100" w:lineRule="exact"/>
              <w:ind w:left="0" w:leftChars="0" w:firstLine="420" w:firstLineChars="200"/>
            </w:pPr>
          </w:p>
          <w:p>
            <w:pPr>
              <w:pStyle w:val="14"/>
              <w:spacing w:after="0" w:line="100" w:lineRule="exact"/>
              <w:ind w:left="0" w:leftChars="0" w:firstLine="420" w:firstLineChars="200"/>
            </w:pPr>
          </w:p>
          <w:p>
            <w:pPr>
              <w:pStyle w:val="14"/>
              <w:spacing w:after="0" w:line="100" w:lineRule="exact"/>
              <w:ind w:left="0" w:leftChars="0" w:firstLine="420" w:firstLineChars="200"/>
            </w:pPr>
          </w:p>
          <w:p>
            <w:pPr>
              <w:pStyle w:val="14"/>
              <w:spacing w:after="0" w:line="100" w:lineRule="exact"/>
              <w:ind w:left="0" w:leftChars="0" w:firstLine="420" w:firstLineChars="200"/>
            </w:pPr>
          </w:p>
          <w:p>
            <w:pPr>
              <w:pStyle w:val="14"/>
              <w:spacing w:after="0" w:line="100" w:lineRule="exact"/>
              <w:ind w:left="0" w:leftChars="0" w:firstLine="420" w:firstLineChars="200"/>
            </w:pPr>
          </w:p>
          <w:p>
            <w:pPr>
              <w:pStyle w:val="14"/>
              <w:spacing w:after="0" w:line="100" w:lineRule="exact"/>
              <w:ind w:left="0" w:leftChars="0" w:firstLine="420" w:firstLineChars="200"/>
            </w:pPr>
          </w:p>
        </w:tc>
      </w:tr>
    </w:tbl>
    <w:p>
      <w:pPr>
        <w:widowControl/>
        <w:spacing w:line="20" w:lineRule="exact"/>
        <w:jc w:val="left"/>
        <w:rPr>
          <w:rFonts w:eastAsia="黑体"/>
          <w:sz w:val="30"/>
        </w:rPr>
        <w:sectPr>
          <w:pgSz w:w="11906" w:h="16838"/>
          <w:pgMar w:top="1701" w:right="1531" w:bottom="1701" w:left="1531" w:header="851" w:footer="1077" w:gutter="0"/>
          <w:pgNumType w:fmt="numberInDash"/>
          <w:cols w:space="720" w:num="1"/>
        </w:sectPr>
      </w:pPr>
    </w:p>
    <w:p>
      <w:pPr>
        <w:pStyle w:val="18"/>
        <w:jc w:val="center"/>
        <w:outlineLvl w:val="0"/>
        <w:rPr>
          <w:rFonts w:ascii="Times New Roman" w:hAnsi="Times New Roman" w:eastAsia="黑体" w:cs="Times New Roman"/>
          <w:snapToGrid w:val="0"/>
          <w:kern w:val="0"/>
          <w:sz w:val="30"/>
          <w:szCs w:val="30"/>
        </w:rPr>
      </w:pPr>
      <w:r>
        <w:rPr>
          <w:rFonts w:ascii="Times New Roman" w:hAnsi="Times New Roman" w:eastAsia="黑体" w:cs="Times New Roman"/>
          <w:snapToGrid w:val="0"/>
          <w:sz w:val="30"/>
          <w:szCs w:val="30"/>
        </w:rPr>
        <w:t>二、建设项目工程分析</w:t>
      </w:r>
    </w:p>
    <w:tbl>
      <w:tblPr>
        <w:tblStyle w:val="20"/>
        <w:tblpPr w:leftFromText="180" w:rightFromText="180" w:vertAnchor="text" w:tblpXSpec="center" w:tblpY="1"/>
        <w:tblOverlap w:val="never"/>
        <w:tblW w:w="8878" w:type="dxa"/>
        <w:tblInd w:w="7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1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845" w:hRule="atLeast"/>
        </w:trPr>
        <w:tc>
          <w:tcPr>
            <w:tcW w:w="736" w:type="dxa"/>
            <w:tcBorders>
              <w:top w:val="single" w:color="auto" w:sz="8" w:space="0"/>
              <w:left w:val="single" w:color="auto" w:sz="8" w:space="0"/>
              <w:bottom w:val="single" w:color="auto" w:sz="4" w:space="0"/>
              <w:right w:val="single" w:color="auto" w:sz="4" w:space="0"/>
            </w:tcBorders>
            <w:vAlign w:val="center"/>
          </w:tcPr>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w:t>
            </w: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内容</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
          <w:p/>
          <w:p/>
          <w:p/>
          <w:p/>
          <w:p/>
          <w:p/>
          <w:p/>
          <w:p/>
          <w:p/>
          <w:p/>
          <w:p/>
        </w:tc>
        <w:tc>
          <w:tcPr>
            <w:tcW w:w="8142" w:type="dxa"/>
            <w:tcBorders>
              <w:top w:val="single" w:color="auto" w:sz="8" w:space="0"/>
              <w:left w:val="single" w:color="auto" w:sz="4" w:space="0"/>
              <w:bottom w:val="single" w:color="auto" w:sz="4" w:space="0"/>
              <w:right w:val="single" w:color="auto" w:sz="8" w:space="0"/>
            </w:tcBorders>
          </w:tcPr>
          <w:p>
            <w:pPr>
              <w:adjustRightInd w:val="0"/>
              <w:snapToGrid w:val="0"/>
              <w:spacing w:line="400" w:lineRule="exact"/>
              <w:ind w:left="-53" w:leftChars="-25" w:right="-53" w:rightChars="-25"/>
              <w:jc w:val="left"/>
              <w:rPr>
                <w:rFonts w:eastAsia="黑体"/>
                <w:bCs/>
                <w:szCs w:val="21"/>
              </w:rPr>
            </w:pPr>
            <w:r>
              <w:rPr>
                <w:rFonts w:hint="eastAsia" w:eastAsia="黑体"/>
                <w:bCs/>
                <w:szCs w:val="21"/>
              </w:rPr>
              <w:t>1</w:t>
            </w:r>
            <w:r>
              <w:rPr>
                <w:rFonts w:eastAsia="黑体"/>
                <w:bCs/>
                <w:szCs w:val="21"/>
              </w:rPr>
              <w:t>、项目由来</w:t>
            </w:r>
          </w:p>
          <w:p>
            <w:pPr>
              <w:adjustRightInd w:val="0"/>
              <w:snapToGrid w:val="0"/>
              <w:spacing w:line="400" w:lineRule="exact"/>
              <w:ind w:firstLine="420" w:firstLineChars="200"/>
              <w:jc w:val="left"/>
              <w:rPr>
                <w:kern w:val="0"/>
                <w:szCs w:val="21"/>
              </w:rPr>
            </w:pPr>
            <w:r>
              <w:rPr>
                <w:rFonts w:ascii="宋体" w:hAnsi="宋体"/>
                <w:kern w:val="0"/>
                <w:szCs w:val="21"/>
              </w:rPr>
              <w:t>随着四川省及各市州对污水处理等基础设施建设的加强，各流域水污染防治的推进，更急促进了城镇生活污水治理设施的完善。</w:t>
            </w:r>
            <w:r>
              <w:rPr>
                <w:rFonts w:hint="eastAsia"/>
                <w:kern w:val="0"/>
                <w:szCs w:val="21"/>
              </w:rPr>
              <w:t>随着污水处理设施的建设，污泥产生量也日益增多，亟需寻求环保的处置去向。</w:t>
            </w:r>
          </w:p>
          <w:p>
            <w:pPr>
              <w:adjustRightInd w:val="0"/>
              <w:snapToGrid w:val="0"/>
              <w:spacing w:line="400" w:lineRule="exact"/>
              <w:ind w:firstLine="420" w:firstLineChars="200"/>
              <w:jc w:val="left"/>
              <w:rPr>
                <w:kern w:val="0"/>
                <w:szCs w:val="21"/>
              </w:rPr>
            </w:pPr>
            <w:r>
              <w:rPr>
                <w:bCs/>
                <w:kern w:val="0"/>
                <w:szCs w:val="21"/>
              </w:rPr>
              <w:t>为满足国家固体废物污染防治要求，响应对固体废物充分利用及无害化处置的循环经济发展号召，大竹县同兴矸石砖厂</w:t>
            </w:r>
            <w:r>
              <w:rPr>
                <w:kern w:val="0"/>
                <w:szCs w:val="21"/>
              </w:rPr>
              <w:t>（以下简称“同兴</w:t>
            </w:r>
            <w:r>
              <w:rPr>
                <w:bCs/>
                <w:kern w:val="0"/>
                <w:szCs w:val="21"/>
              </w:rPr>
              <w:t>砖厂</w:t>
            </w:r>
            <w:r>
              <w:rPr>
                <w:kern w:val="0"/>
                <w:szCs w:val="21"/>
              </w:rPr>
              <w:t>”）</w:t>
            </w:r>
            <w:r>
              <w:rPr>
                <w:rFonts w:hint="eastAsia"/>
                <w:kern w:val="0"/>
                <w:szCs w:val="21"/>
              </w:rPr>
              <w:t>，拟利用现有烧结砖生产线，处置生活污水处理厂的污泥约1.5万吨。本次技改仅对原制砖系统的原料进行部分替代，不改变其原有生产能力。</w:t>
            </w:r>
          </w:p>
          <w:p>
            <w:pPr>
              <w:adjustRightInd w:val="0"/>
              <w:snapToGrid w:val="0"/>
              <w:spacing w:line="400" w:lineRule="exact"/>
              <w:ind w:firstLine="420" w:firstLineChars="200"/>
              <w:jc w:val="left"/>
              <w:rPr>
                <w:kern w:val="0"/>
                <w:szCs w:val="21"/>
              </w:rPr>
            </w:pPr>
            <w:r>
              <w:rPr>
                <w:rFonts w:hint="eastAsia"/>
                <w:kern w:val="0"/>
                <w:szCs w:val="21"/>
              </w:rPr>
              <w:t>大竹县同兴矸石砖厂，主要从事页岩砖的生产和销售，曾用名“大竹县同心页岩砖厂”，最早成立于2001年，由大竹县明滩乡同心村与自然人童远刚联合创办。由于企业最早创办时暂未办理营业执照，该砖厂最早办理环境影响评价手续时，遂以其所属乡镇的名称（大竹县明滩乡）确定项目名称为：大竹县明滩页岩砖厂。2001年11月16日，建设单位填报了《建设项目环境影响登记表》，且建设单位信息一栏由其中一方投资人童远刚暂替（详见附件“情况说明”）。</w:t>
            </w:r>
          </w:p>
          <w:p>
            <w:pPr>
              <w:adjustRightInd w:val="0"/>
              <w:snapToGrid w:val="0"/>
              <w:spacing w:line="400" w:lineRule="exact"/>
              <w:ind w:firstLine="420" w:firstLineChars="200"/>
              <w:jc w:val="left"/>
              <w:rPr>
                <w:kern w:val="0"/>
                <w:szCs w:val="21"/>
              </w:rPr>
            </w:pPr>
            <w:r>
              <w:rPr>
                <w:rFonts w:hint="eastAsia"/>
                <w:kern w:val="0"/>
                <w:szCs w:val="21"/>
              </w:rPr>
              <w:t>根据调查，同兴砖厂烧结砖生产线建设有1条隧道窑，窑体长约80m宽约15m，配套建设有原料粉碎车间、产品成型车间等；主要采用页岩（建筑渣土等）和煤矸石为原料，设计年产折标砖1000万匹/年。</w:t>
            </w:r>
          </w:p>
          <w:p>
            <w:pPr>
              <w:adjustRightInd w:val="0"/>
              <w:snapToGrid w:val="0"/>
              <w:spacing w:line="400" w:lineRule="exact"/>
              <w:ind w:left="-53" w:leftChars="-25" w:right="-53" w:rightChars="-25"/>
              <w:jc w:val="left"/>
              <w:rPr>
                <w:rFonts w:eastAsia="黑体"/>
                <w:bCs/>
                <w:szCs w:val="21"/>
              </w:rPr>
            </w:pPr>
            <w:r>
              <w:rPr>
                <w:rFonts w:hint="eastAsia" w:eastAsia="黑体"/>
                <w:bCs/>
                <w:szCs w:val="21"/>
              </w:rPr>
              <w:t>2</w:t>
            </w:r>
            <w:r>
              <w:rPr>
                <w:rFonts w:eastAsia="黑体"/>
                <w:bCs/>
                <w:szCs w:val="21"/>
              </w:rPr>
              <w:t>、建设内容</w:t>
            </w:r>
          </w:p>
          <w:p>
            <w:pPr>
              <w:adjustRightInd w:val="0"/>
              <w:snapToGrid w:val="0"/>
              <w:spacing w:line="400" w:lineRule="exact"/>
              <w:ind w:left="-53" w:leftChars="-25" w:right="-53" w:rightChars="-25" w:firstLine="420" w:firstLineChars="200"/>
              <w:jc w:val="left"/>
              <w:rPr>
                <w:kern w:val="0"/>
                <w:szCs w:val="21"/>
              </w:rPr>
            </w:pPr>
            <w:r>
              <w:rPr>
                <w:rFonts w:hint="eastAsia"/>
                <w:kern w:val="0"/>
                <w:szCs w:val="21"/>
              </w:rPr>
              <w:t>本项目拟新建一个污泥贮存间及污泥烘干设施，同时对现有部分环保设施进行整改完善。</w:t>
            </w:r>
          </w:p>
          <w:p>
            <w:pPr>
              <w:autoSpaceDE w:val="0"/>
              <w:autoSpaceDN w:val="0"/>
              <w:adjustRightInd w:val="0"/>
              <w:snapToGrid w:val="0"/>
              <w:spacing w:line="400" w:lineRule="exact"/>
              <w:ind w:firstLine="420" w:firstLineChars="200"/>
              <w:jc w:val="left"/>
              <w:rPr>
                <w:kern w:val="0"/>
                <w:szCs w:val="21"/>
              </w:rPr>
            </w:pPr>
            <w:r>
              <w:rPr>
                <w:kern w:val="0"/>
                <w:szCs w:val="21"/>
              </w:rPr>
              <w:t>项目组成和可能产生的环境问题见表</w:t>
            </w:r>
            <w:r>
              <w:rPr>
                <w:rFonts w:hint="eastAsia"/>
                <w:kern w:val="0"/>
                <w:szCs w:val="21"/>
              </w:rPr>
              <w:t>2-1</w:t>
            </w:r>
            <w:r>
              <w:rPr>
                <w:kern w:val="0"/>
                <w:szCs w:val="21"/>
              </w:rPr>
              <w:t>，依托利旧可行性分析见表</w:t>
            </w:r>
            <w:r>
              <w:rPr>
                <w:rFonts w:hint="eastAsia"/>
                <w:kern w:val="0"/>
                <w:szCs w:val="21"/>
              </w:rPr>
              <w:t>2-2。</w:t>
            </w:r>
          </w:p>
          <w:p>
            <w:pPr>
              <w:autoSpaceDE w:val="0"/>
              <w:autoSpaceDN w:val="0"/>
              <w:adjustRightInd w:val="0"/>
              <w:snapToGrid w:val="0"/>
              <w:spacing w:line="400" w:lineRule="exact"/>
              <w:ind w:firstLine="360" w:firstLineChars="200"/>
              <w:jc w:val="center"/>
              <w:rPr>
                <w:sz w:val="18"/>
                <w:szCs w:val="18"/>
              </w:rPr>
            </w:pPr>
            <w:r>
              <w:rPr>
                <w:rFonts w:eastAsia="黑体"/>
                <w:bCs/>
                <w:sz w:val="18"/>
                <w:szCs w:val="18"/>
              </w:rPr>
              <w:t>表</w:t>
            </w:r>
            <w:r>
              <w:rPr>
                <w:rFonts w:hint="eastAsia" w:eastAsia="黑体"/>
                <w:bCs/>
                <w:sz w:val="18"/>
                <w:szCs w:val="18"/>
              </w:rPr>
              <w:t xml:space="preserve">2-1     </w:t>
            </w:r>
            <w:r>
              <w:rPr>
                <w:rFonts w:eastAsia="黑体"/>
                <w:bCs/>
                <w:sz w:val="18"/>
                <w:szCs w:val="18"/>
              </w:rPr>
              <w:t>项目组成及可能产生的主要环境问题</w:t>
            </w:r>
          </w:p>
          <w:tbl>
            <w:tblPr>
              <w:tblStyle w:val="20"/>
              <w:tblW w:w="79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948"/>
              <w:gridCol w:w="3555"/>
              <w:gridCol w:w="869"/>
              <w:gridCol w:w="1264"/>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 w:hRule="atLeast"/>
                <w:jc w:val="center"/>
              </w:trPr>
              <w:tc>
                <w:tcPr>
                  <w:tcW w:w="622" w:type="dxa"/>
                  <w:vMerge w:val="restart"/>
                  <w:vAlign w:val="center"/>
                </w:tcPr>
                <w:p>
                  <w:pPr>
                    <w:autoSpaceDE w:val="0"/>
                    <w:autoSpaceDN w:val="0"/>
                    <w:adjustRightInd w:val="0"/>
                    <w:spacing w:line="260" w:lineRule="exact"/>
                    <w:ind w:left="-53" w:leftChars="-25" w:right="-53" w:rightChars="-25"/>
                    <w:jc w:val="center"/>
                    <w:rPr>
                      <w:b/>
                      <w:sz w:val="18"/>
                      <w:szCs w:val="18"/>
                    </w:rPr>
                  </w:pPr>
                  <w:r>
                    <w:rPr>
                      <w:rFonts w:hint="eastAsia"/>
                      <w:b/>
                      <w:sz w:val="18"/>
                      <w:szCs w:val="18"/>
                    </w:rPr>
                    <w:t>分类</w:t>
                  </w:r>
                </w:p>
              </w:tc>
              <w:tc>
                <w:tcPr>
                  <w:tcW w:w="948" w:type="dxa"/>
                  <w:vMerge w:val="restart"/>
                  <w:vAlign w:val="center"/>
                </w:tcPr>
                <w:p>
                  <w:pPr>
                    <w:autoSpaceDE w:val="0"/>
                    <w:autoSpaceDN w:val="0"/>
                    <w:adjustRightInd w:val="0"/>
                    <w:spacing w:line="260" w:lineRule="exact"/>
                    <w:ind w:left="-53" w:leftChars="-25" w:right="-53" w:rightChars="-25"/>
                    <w:jc w:val="center"/>
                    <w:rPr>
                      <w:b/>
                      <w:sz w:val="18"/>
                      <w:szCs w:val="18"/>
                    </w:rPr>
                  </w:pPr>
                  <w:r>
                    <w:rPr>
                      <w:b/>
                      <w:sz w:val="18"/>
                      <w:szCs w:val="18"/>
                    </w:rPr>
                    <w:t>名称</w:t>
                  </w:r>
                </w:p>
              </w:tc>
              <w:tc>
                <w:tcPr>
                  <w:tcW w:w="3555" w:type="dxa"/>
                  <w:vMerge w:val="restart"/>
                  <w:vAlign w:val="center"/>
                </w:tcPr>
                <w:p>
                  <w:pPr>
                    <w:autoSpaceDE w:val="0"/>
                    <w:autoSpaceDN w:val="0"/>
                    <w:adjustRightInd w:val="0"/>
                    <w:spacing w:line="260" w:lineRule="exact"/>
                    <w:ind w:left="-53" w:leftChars="-25" w:right="-53" w:rightChars="-25"/>
                    <w:jc w:val="center"/>
                    <w:rPr>
                      <w:b/>
                      <w:sz w:val="18"/>
                      <w:szCs w:val="18"/>
                    </w:rPr>
                  </w:pPr>
                  <w:r>
                    <w:rPr>
                      <w:b/>
                      <w:sz w:val="18"/>
                      <w:szCs w:val="18"/>
                    </w:rPr>
                    <w:t>建设内容及规模</w:t>
                  </w:r>
                </w:p>
              </w:tc>
              <w:tc>
                <w:tcPr>
                  <w:tcW w:w="2133" w:type="dxa"/>
                  <w:gridSpan w:val="2"/>
                  <w:vAlign w:val="center"/>
                </w:tcPr>
                <w:p>
                  <w:pPr>
                    <w:autoSpaceDE w:val="0"/>
                    <w:autoSpaceDN w:val="0"/>
                    <w:adjustRightInd w:val="0"/>
                    <w:spacing w:line="260" w:lineRule="exact"/>
                    <w:ind w:left="-53" w:leftChars="-25" w:right="-53" w:rightChars="-25"/>
                    <w:jc w:val="center"/>
                    <w:rPr>
                      <w:b/>
                      <w:sz w:val="18"/>
                      <w:szCs w:val="18"/>
                    </w:rPr>
                  </w:pPr>
                  <w:r>
                    <w:rPr>
                      <w:b/>
                      <w:sz w:val="18"/>
                      <w:szCs w:val="18"/>
                    </w:rPr>
                    <w:t>可能产生的主要环境问题</w:t>
                  </w:r>
                </w:p>
              </w:tc>
              <w:tc>
                <w:tcPr>
                  <w:tcW w:w="645" w:type="dxa"/>
                  <w:vMerge w:val="restart"/>
                  <w:vAlign w:val="center"/>
                </w:tcPr>
                <w:p>
                  <w:pPr>
                    <w:autoSpaceDE w:val="0"/>
                    <w:autoSpaceDN w:val="0"/>
                    <w:adjustRightInd w:val="0"/>
                    <w:spacing w:line="260" w:lineRule="exact"/>
                    <w:ind w:left="-53" w:leftChars="-25" w:right="-53" w:rightChars="-25"/>
                    <w:jc w:val="center"/>
                    <w:rPr>
                      <w:b/>
                      <w:sz w:val="18"/>
                      <w:szCs w:val="18"/>
                    </w:rPr>
                  </w:pPr>
                  <w:r>
                    <w:rPr>
                      <w:rFonts w:hint="eastAsia"/>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 w:hRule="atLeast"/>
                <w:jc w:val="center"/>
              </w:trPr>
              <w:tc>
                <w:tcPr>
                  <w:tcW w:w="622" w:type="dxa"/>
                  <w:vMerge w:val="continue"/>
                  <w:vAlign w:val="center"/>
                </w:tcPr>
                <w:p>
                  <w:pPr>
                    <w:autoSpaceDE w:val="0"/>
                    <w:autoSpaceDN w:val="0"/>
                    <w:adjustRightInd w:val="0"/>
                    <w:spacing w:line="260" w:lineRule="exact"/>
                    <w:ind w:left="-53" w:leftChars="-25" w:right="-53" w:rightChars="-25"/>
                    <w:jc w:val="center"/>
                    <w:rPr>
                      <w:b/>
                      <w:sz w:val="18"/>
                      <w:szCs w:val="18"/>
                    </w:rPr>
                  </w:pPr>
                </w:p>
              </w:tc>
              <w:tc>
                <w:tcPr>
                  <w:tcW w:w="948" w:type="dxa"/>
                  <w:vMerge w:val="continue"/>
                  <w:vAlign w:val="center"/>
                </w:tcPr>
                <w:p>
                  <w:pPr>
                    <w:autoSpaceDE w:val="0"/>
                    <w:autoSpaceDN w:val="0"/>
                    <w:adjustRightInd w:val="0"/>
                    <w:spacing w:line="260" w:lineRule="exact"/>
                    <w:ind w:left="-53" w:leftChars="-25" w:right="-53" w:rightChars="-25"/>
                    <w:jc w:val="center"/>
                    <w:rPr>
                      <w:b/>
                      <w:sz w:val="18"/>
                      <w:szCs w:val="18"/>
                    </w:rPr>
                  </w:pPr>
                </w:p>
              </w:tc>
              <w:tc>
                <w:tcPr>
                  <w:tcW w:w="3555" w:type="dxa"/>
                  <w:vMerge w:val="continue"/>
                  <w:vAlign w:val="center"/>
                </w:tcPr>
                <w:p>
                  <w:pPr>
                    <w:autoSpaceDE w:val="0"/>
                    <w:autoSpaceDN w:val="0"/>
                    <w:adjustRightInd w:val="0"/>
                    <w:spacing w:line="260" w:lineRule="exact"/>
                    <w:ind w:left="-53" w:leftChars="-25" w:right="-53" w:rightChars="-25"/>
                    <w:jc w:val="center"/>
                    <w:rPr>
                      <w:b/>
                      <w:sz w:val="18"/>
                      <w:szCs w:val="18"/>
                    </w:rPr>
                  </w:pPr>
                </w:p>
              </w:tc>
              <w:tc>
                <w:tcPr>
                  <w:tcW w:w="869" w:type="dxa"/>
                  <w:vAlign w:val="center"/>
                </w:tcPr>
                <w:p>
                  <w:pPr>
                    <w:autoSpaceDE w:val="0"/>
                    <w:autoSpaceDN w:val="0"/>
                    <w:adjustRightInd w:val="0"/>
                    <w:spacing w:line="260" w:lineRule="exact"/>
                    <w:ind w:left="-53" w:leftChars="-25" w:right="-53" w:rightChars="-25"/>
                    <w:jc w:val="center"/>
                    <w:rPr>
                      <w:b/>
                      <w:sz w:val="18"/>
                      <w:szCs w:val="18"/>
                    </w:rPr>
                  </w:pPr>
                  <w:r>
                    <w:rPr>
                      <w:b/>
                      <w:sz w:val="18"/>
                      <w:szCs w:val="18"/>
                    </w:rPr>
                    <w:t>施工期</w:t>
                  </w:r>
                </w:p>
              </w:tc>
              <w:tc>
                <w:tcPr>
                  <w:tcW w:w="1264" w:type="dxa"/>
                  <w:vAlign w:val="center"/>
                </w:tcPr>
                <w:p>
                  <w:pPr>
                    <w:autoSpaceDE w:val="0"/>
                    <w:autoSpaceDN w:val="0"/>
                    <w:adjustRightInd w:val="0"/>
                    <w:spacing w:line="260" w:lineRule="exact"/>
                    <w:ind w:left="-53" w:leftChars="-25" w:right="-53" w:rightChars="-25"/>
                    <w:jc w:val="center"/>
                    <w:rPr>
                      <w:b/>
                      <w:sz w:val="18"/>
                      <w:szCs w:val="18"/>
                    </w:rPr>
                  </w:pPr>
                  <w:r>
                    <w:rPr>
                      <w:b/>
                      <w:sz w:val="18"/>
                      <w:szCs w:val="18"/>
                    </w:rPr>
                    <w:t>营运期</w:t>
                  </w:r>
                </w:p>
              </w:tc>
              <w:tc>
                <w:tcPr>
                  <w:tcW w:w="645" w:type="dxa"/>
                  <w:vMerge w:val="continue"/>
                  <w:vAlign w:val="center"/>
                </w:tcPr>
                <w:p>
                  <w:pPr>
                    <w:autoSpaceDE w:val="0"/>
                    <w:autoSpaceDN w:val="0"/>
                    <w:adjustRightInd w:val="0"/>
                    <w:spacing w:line="260" w:lineRule="exact"/>
                    <w:ind w:left="-53" w:leftChars="-25" w:right="-53" w:rightChars="-25"/>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622" w:type="dxa"/>
                  <w:vMerge w:val="restart"/>
                  <w:vAlign w:val="center"/>
                </w:tcPr>
                <w:p>
                  <w:pPr>
                    <w:spacing w:line="260" w:lineRule="exact"/>
                    <w:ind w:left="-53" w:leftChars="-25" w:right="-53" w:rightChars="-25"/>
                    <w:jc w:val="center"/>
                    <w:rPr>
                      <w:sz w:val="18"/>
                      <w:szCs w:val="18"/>
                    </w:rPr>
                  </w:pPr>
                  <w:r>
                    <w:rPr>
                      <w:sz w:val="18"/>
                      <w:szCs w:val="18"/>
                    </w:rPr>
                    <w:t>主体</w:t>
                  </w:r>
                </w:p>
                <w:p>
                  <w:pPr>
                    <w:spacing w:line="260" w:lineRule="exact"/>
                    <w:ind w:left="-53" w:leftChars="-25" w:right="-53" w:rightChars="-25"/>
                    <w:jc w:val="center"/>
                    <w:rPr>
                      <w:sz w:val="18"/>
                      <w:szCs w:val="18"/>
                    </w:rPr>
                  </w:pPr>
                  <w:r>
                    <w:rPr>
                      <w:sz w:val="18"/>
                      <w:szCs w:val="18"/>
                    </w:rPr>
                    <w:t>工程</w:t>
                  </w:r>
                </w:p>
              </w:tc>
              <w:tc>
                <w:tcPr>
                  <w:tcW w:w="948" w:type="dxa"/>
                  <w:vAlign w:val="center"/>
                </w:tcPr>
                <w:p>
                  <w:pPr>
                    <w:spacing w:line="260" w:lineRule="exact"/>
                    <w:ind w:left="-53" w:leftChars="-25" w:right="-53" w:rightChars="-25"/>
                    <w:jc w:val="center"/>
                    <w:rPr>
                      <w:sz w:val="18"/>
                      <w:szCs w:val="18"/>
                    </w:rPr>
                  </w:pPr>
                  <w:r>
                    <w:rPr>
                      <w:sz w:val="18"/>
                      <w:szCs w:val="18"/>
                    </w:rPr>
                    <w:t>污泥贮</w:t>
                  </w:r>
                </w:p>
                <w:p>
                  <w:pPr>
                    <w:spacing w:line="260" w:lineRule="exact"/>
                    <w:ind w:left="-53" w:leftChars="-25" w:right="-53" w:rightChars="-25"/>
                    <w:jc w:val="center"/>
                    <w:rPr>
                      <w:sz w:val="18"/>
                      <w:szCs w:val="18"/>
                    </w:rPr>
                  </w:pPr>
                  <w:r>
                    <w:rPr>
                      <w:sz w:val="18"/>
                      <w:szCs w:val="18"/>
                    </w:rPr>
                    <w:t>存间</w:t>
                  </w:r>
                </w:p>
              </w:tc>
              <w:tc>
                <w:tcPr>
                  <w:tcW w:w="3555" w:type="dxa"/>
                  <w:vAlign w:val="center"/>
                </w:tcPr>
                <w:p>
                  <w:pPr>
                    <w:spacing w:line="260" w:lineRule="exact"/>
                    <w:ind w:left="-53" w:leftChars="-25" w:right="-53" w:rightChars="-25"/>
                    <w:rPr>
                      <w:sz w:val="18"/>
                      <w:szCs w:val="18"/>
                    </w:rPr>
                  </w:pPr>
                  <w:r>
                    <w:rPr>
                      <w:sz w:val="18"/>
                      <w:szCs w:val="18"/>
                    </w:rPr>
                    <w:t>位于现有原料堆场内，占地面积约</w:t>
                  </w:r>
                  <w:r>
                    <w:rPr>
                      <w:rFonts w:hint="eastAsia"/>
                      <w:sz w:val="18"/>
                      <w:szCs w:val="18"/>
                    </w:rPr>
                    <w:t>500m</w:t>
                  </w:r>
                  <w:r>
                    <w:rPr>
                      <w:rFonts w:hint="eastAsia"/>
                      <w:sz w:val="18"/>
                      <w:szCs w:val="18"/>
                      <w:vertAlign w:val="superscript"/>
                    </w:rPr>
                    <w:t>2</w:t>
                  </w:r>
                  <w:r>
                    <w:rPr>
                      <w:rFonts w:hint="eastAsia"/>
                      <w:sz w:val="18"/>
                      <w:szCs w:val="18"/>
                    </w:rPr>
                    <w:t>，与其他原料之间有实体围墙隔开，采取单独封闭措施，贮存区地面采取防渗处理</w:t>
                  </w:r>
                </w:p>
              </w:tc>
              <w:tc>
                <w:tcPr>
                  <w:tcW w:w="869" w:type="dxa"/>
                  <w:vMerge w:val="restart"/>
                  <w:vAlign w:val="center"/>
                </w:tcPr>
                <w:p>
                  <w:pPr>
                    <w:spacing w:line="260" w:lineRule="exact"/>
                    <w:ind w:left="-53" w:leftChars="-25" w:right="-53" w:rightChars="-25"/>
                    <w:rPr>
                      <w:sz w:val="18"/>
                      <w:szCs w:val="18"/>
                    </w:rPr>
                  </w:pPr>
                  <w:r>
                    <w:rPr>
                      <w:rFonts w:hint="eastAsia"/>
                      <w:sz w:val="18"/>
                      <w:szCs w:val="18"/>
                    </w:rPr>
                    <w:t>施工废气、废水、噪声、固废</w:t>
                  </w:r>
                </w:p>
              </w:tc>
              <w:tc>
                <w:tcPr>
                  <w:tcW w:w="1264" w:type="dxa"/>
                  <w:vAlign w:val="center"/>
                </w:tcPr>
                <w:p>
                  <w:pPr>
                    <w:spacing w:line="260" w:lineRule="exact"/>
                    <w:ind w:left="-53" w:leftChars="-25" w:right="-53" w:rightChars="-25"/>
                    <w:jc w:val="center"/>
                    <w:rPr>
                      <w:sz w:val="18"/>
                      <w:szCs w:val="18"/>
                    </w:rPr>
                  </w:pPr>
                  <w:r>
                    <w:rPr>
                      <w:rFonts w:hint="eastAsia"/>
                      <w:sz w:val="18"/>
                      <w:szCs w:val="18"/>
                    </w:rPr>
                    <w:t>废气、噪声</w:t>
                  </w:r>
                </w:p>
              </w:tc>
              <w:tc>
                <w:tcPr>
                  <w:tcW w:w="645" w:type="dxa"/>
                  <w:vAlign w:val="center"/>
                </w:tcPr>
                <w:p>
                  <w:pPr>
                    <w:spacing w:line="260" w:lineRule="exact"/>
                    <w:ind w:left="-53" w:leftChars="-25" w:right="-53" w:rightChars="-25"/>
                    <w:jc w:val="center"/>
                    <w:rPr>
                      <w:sz w:val="18"/>
                      <w:szCs w:val="18"/>
                    </w:rPr>
                  </w:pPr>
                  <w:r>
                    <w:rPr>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Align w:val="center"/>
                </w:tcPr>
                <w:p>
                  <w:pPr>
                    <w:spacing w:line="260" w:lineRule="exact"/>
                    <w:ind w:left="-53" w:leftChars="-25" w:right="-53" w:rightChars="-25"/>
                    <w:jc w:val="center"/>
                    <w:rPr>
                      <w:sz w:val="18"/>
                      <w:szCs w:val="18"/>
                    </w:rPr>
                  </w:pPr>
                  <w:r>
                    <w:rPr>
                      <w:sz w:val="18"/>
                      <w:szCs w:val="18"/>
                    </w:rPr>
                    <w:t>污泥烘干生产线</w:t>
                  </w:r>
                </w:p>
              </w:tc>
              <w:tc>
                <w:tcPr>
                  <w:tcW w:w="3555" w:type="dxa"/>
                  <w:vAlign w:val="center"/>
                </w:tcPr>
                <w:p>
                  <w:pPr>
                    <w:spacing w:line="260" w:lineRule="exact"/>
                    <w:ind w:left="-53" w:leftChars="-25" w:right="-53" w:rightChars="-25"/>
                    <w:rPr>
                      <w:sz w:val="18"/>
                      <w:szCs w:val="18"/>
                    </w:rPr>
                  </w:pPr>
                  <w:r>
                    <w:rPr>
                      <w:rFonts w:hint="eastAsia"/>
                      <w:sz w:val="18"/>
                      <w:szCs w:val="18"/>
                    </w:rPr>
                    <w:t>采用滚筒烘干机烘干，滚筒长18m直径1.8m，热源来自一台生物质成型燃料燃烧机</w:t>
                  </w:r>
                </w:p>
              </w:tc>
              <w:tc>
                <w:tcPr>
                  <w:tcW w:w="869" w:type="dxa"/>
                  <w:vMerge w:val="continue"/>
                  <w:vAlign w:val="center"/>
                </w:tcPr>
                <w:p>
                  <w:pPr>
                    <w:spacing w:line="260" w:lineRule="exact"/>
                    <w:ind w:left="-53" w:leftChars="-25" w:right="-53" w:rightChars="-25"/>
                    <w:rPr>
                      <w:sz w:val="18"/>
                      <w:szCs w:val="18"/>
                    </w:rPr>
                  </w:pPr>
                </w:p>
              </w:tc>
              <w:tc>
                <w:tcPr>
                  <w:tcW w:w="1264" w:type="dxa"/>
                  <w:vAlign w:val="center"/>
                </w:tcPr>
                <w:p>
                  <w:pPr>
                    <w:spacing w:line="260" w:lineRule="exact"/>
                    <w:ind w:left="-53" w:leftChars="-25" w:right="-53" w:rightChars="-25"/>
                    <w:jc w:val="center"/>
                    <w:rPr>
                      <w:sz w:val="18"/>
                      <w:szCs w:val="18"/>
                    </w:rPr>
                  </w:pPr>
                  <w:r>
                    <w:rPr>
                      <w:sz w:val="18"/>
                      <w:szCs w:val="18"/>
                    </w:rPr>
                    <w:t>废气、噪声、固废</w:t>
                  </w:r>
                </w:p>
              </w:tc>
              <w:tc>
                <w:tcPr>
                  <w:tcW w:w="645" w:type="dxa"/>
                  <w:vAlign w:val="center"/>
                </w:tcPr>
                <w:p>
                  <w:pPr>
                    <w:spacing w:line="260" w:lineRule="exact"/>
                    <w:ind w:left="-53" w:leftChars="-25" w:right="-53" w:rightChars="-25"/>
                    <w:jc w:val="center"/>
                    <w:rPr>
                      <w:sz w:val="18"/>
                      <w:szCs w:val="18"/>
                    </w:rPr>
                  </w:pPr>
                  <w:r>
                    <w:rPr>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Align w:val="center"/>
                </w:tcPr>
                <w:p>
                  <w:pPr>
                    <w:spacing w:line="260" w:lineRule="exact"/>
                    <w:ind w:left="-53" w:leftChars="-25" w:right="-53" w:rightChars="-25"/>
                    <w:jc w:val="center"/>
                    <w:rPr>
                      <w:sz w:val="18"/>
                      <w:szCs w:val="18"/>
                    </w:rPr>
                  </w:pPr>
                  <w:r>
                    <w:rPr>
                      <w:sz w:val="18"/>
                      <w:szCs w:val="18"/>
                    </w:rPr>
                    <w:t>污泥处置利用</w:t>
                  </w:r>
                </w:p>
              </w:tc>
              <w:tc>
                <w:tcPr>
                  <w:tcW w:w="3555" w:type="dxa"/>
                  <w:vAlign w:val="center"/>
                </w:tcPr>
                <w:p>
                  <w:pPr>
                    <w:spacing w:line="260" w:lineRule="exact"/>
                    <w:ind w:left="-53" w:leftChars="-25" w:right="-53" w:rightChars="-25"/>
                    <w:rPr>
                      <w:sz w:val="18"/>
                      <w:szCs w:val="18"/>
                    </w:rPr>
                  </w:pPr>
                  <w:r>
                    <w:rPr>
                      <w:rFonts w:hint="eastAsia"/>
                      <w:sz w:val="18"/>
                      <w:szCs w:val="18"/>
                    </w:rPr>
                    <w:t>利用现有设计年产折标砖1000万匹/年烧结砖隧道窑1条（窑体长约80m宽约15m）以及原料破碎、制砖等环节，以干燥污泥替代部分制砖原料，实现污泥建筑材料综合利用</w:t>
                  </w:r>
                </w:p>
              </w:tc>
              <w:tc>
                <w:tcPr>
                  <w:tcW w:w="869" w:type="dxa"/>
                  <w:vMerge w:val="continue"/>
                  <w:vAlign w:val="center"/>
                </w:tcPr>
                <w:p>
                  <w:pPr>
                    <w:spacing w:line="260" w:lineRule="exact"/>
                    <w:ind w:left="-53" w:leftChars="-25" w:right="-53" w:rightChars="-25"/>
                    <w:rPr>
                      <w:sz w:val="18"/>
                      <w:szCs w:val="18"/>
                    </w:rPr>
                  </w:pPr>
                </w:p>
              </w:tc>
              <w:tc>
                <w:tcPr>
                  <w:tcW w:w="1264" w:type="dxa"/>
                  <w:vAlign w:val="center"/>
                </w:tcPr>
                <w:p>
                  <w:pPr>
                    <w:spacing w:line="260" w:lineRule="exact"/>
                    <w:ind w:left="-53" w:leftChars="-25" w:right="-53" w:rightChars="-25"/>
                    <w:jc w:val="center"/>
                    <w:rPr>
                      <w:sz w:val="18"/>
                      <w:szCs w:val="18"/>
                    </w:rPr>
                  </w:pPr>
                  <w:r>
                    <w:rPr>
                      <w:sz w:val="18"/>
                      <w:szCs w:val="18"/>
                    </w:rPr>
                    <w:t>废气、废水、噪声、固废</w:t>
                  </w:r>
                </w:p>
              </w:tc>
              <w:tc>
                <w:tcPr>
                  <w:tcW w:w="645" w:type="dxa"/>
                  <w:vAlign w:val="center"/>
                </w:tcPr>
                <w:p>
                  <w:pPr>
                    <w:spacing w:line="26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 w:hRule="atLeast"/>
                <w:jc w:val="center"/>
              </w:trPr>
              <w:tc>
                <w:tcPr>
                  <w:tcW w:w="622" w:type="dxa"/>
                  <w:vMerge w:val="restart"/>
                  <w:vAlign w:val="center"/>
                </w:tcPr>
                <w:p>
                  <w:pPr>
                    <w:spacing w:line="260" w:lineRule="exact"/>
                    <w:ind w:left="-53" w:leftChars="-25" w:right="-53" w:rightChars="-25"/>
                    <w:jc w:val="center"/>
                    <w:rPr>
                      <w:sz w:val="18"/>
                      <w:szCs w:val="18"/>
                    </w:rPr>
                  </w:pPr>
                  <w:r>
                    <w:rPr>
                      <w:sz w:val="18"/>
                      <w:szCs w:val="18"/>
                    </w:rPr>
                    <w:t>辅助</w:t>
                  </w:r>
                </w:p>
                <w:p>
                  <w:pPr>
                    <w:spacing w:line="260" w:lineRule="exact"/>
                    <w:ind w:left="-53" w:leftChars="-25" w:right="-53" w:rightChars="-25"/>
                    <w:jc w:val="center"/>
                    <w:rPr>
                      <w:sz w:val="18"/>
                      <w:szCs w:val="18"/>
                    </w:rPr>
                  </w:pPr>
                  <w:r>
                    <w:rPr>
                      <w:rFonts w:hint="eastAsia"/>
                      <w:sz w:val="18"/>
                      <w:szCs w:val="18"/>
                    </w:rPr>
                    <w:t>工程</w:t>
                  </w:r>
                </w:p>
              </w:tc>
              <w:tc>
                <w:tcPr>
                  <w:tcW w:w="948" w:type="dxa"/>
                  <w:vAlign w:val="center"/>
                </w:tcPr>
                <w:p>
                  <w:pPr>
                    <w:spacing w:line="260" w:lineRule="exact"/>
                    <w:ind w:left="-53" w:leftChars="-25" w:right="-53" w:rightChars="-25"/>
                    <w:jc w:val="center"/>
                    <w:rPr>
                      <w:sz w:val="18"/>
                      <w:szCs w:val="18"/>
                    </w:rPr>
                  </w:pPr>
                  <w:r>
                    <w:rPr>
                      <w:rFonts w:hint="eastAsia"/>
                      <w:sz w:val="18"/>
                      <w:szCs w:val="18"/>
                    </w:rPr>
                    <w:t>工具房</w:t>
                  </w:r>
                </w:p>
              </w:tc>
              <w:tc>
                <w:tcPr>
                  <w:tcW w:w="3555" w:type="dxa"/>
                  <w:vAlign w:val="center"/>
                </w:tcPr>
                <w:p>
                  <w:pPr>
                    <w:spacing w:line="260" w:lineRule="exact"/>
                    <w:ind w:left="-53" w:leftChars="-25" w:right="-53" w:rightChars="-25"/>
                    <w:jc w:val="center"/>
                    <w:rPr>
                      <w:sz w:val="18"/>
                      <w:szCs w:val="18"/>
                      <w:vertAlign w:val="superscript"/>
                    </w:rPr>
                  </w:pPr>
                  <w:r>
                    <w:rPr>
                      <w:rFonts w:hint="eastAsia"/>
                      <w:sz w:val="18"/>
                      <w:szCs w:val="18"/>
                    </w:rPr>
                    <w:t>位于办公楼1楼，建筑面积约15m</w:t>
                  </w:r>
                  <w:r>
                    <w:rPr>
                      <w:rFonts w:hint="eastAsia"/>
                      <w:sz w:val="18"/>
                      <w:szCs w:val="18"/>
                      <w:vertAlign w:val="superscript"/>
                    </w:rPr>
                    <w:t>2</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w:t>
                  </w:r>
                </w:p>
              </w:tc>
              <w:tc>
                <w:tcPr>
                  <w:tcW w:w="645" w:type="dxa"/>
                  <w:vAlign w:val="center"/>
                </w:tcPr>
                <w:p>
                  <w:pPr>
                    <w:spacing w:line="26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Align w:val="center"/>
                </w:tcPr>
                <w:p>
                  <w:pPr>
                    <w:spacing w:line="260" w:lineRule="exact"/>
                    <w:ind w:left="-53" w:leftChars="-25" w:right="-53" w:rightChars="-25"/>
                    <w:jc w:val="center"/>
                    <w:rPr>
                      <w:sz w:val="18"/>
                      <w:szCs w:val="18"/>
                    </w:rPr>
                  </w:pPr>
                  <w:r>
                    <w:rPr>
                      <w:rFonts w:hint="eastAsia"/>
                      <w:sz w:val="18"/>
                      <w:szCs w:val="18"/>
                    </w:rPr>
                    <w:t>原料堆场</w:t>
                  </w:r>
                </w:p>
              </w:tc>
              <w:tc>
                <w:tcPr>
                  <w:tcW w:w="3555" w:type="dxa"/>
                  <w:vAlign w:val="center"/>
                </w:tcPr>
                <w:p>
                  <w:pPr>
                    <w:spacing w:line="260" w:lineRule="exact"/>
                    <w:ind w:left="-53" w:leftChars="-25" w:right="-53" w:rightChars="-25"/>
                    <w:jc w:val="left"/>
                    <w:rPr>
                      <w:spacing w:val="-4"/>
                      <w:sz w:val="18"/>
                      <w:szCs w:val="18"/>
                    </w:rPr>
                  </w:pPr>
                  <w:r>
                    <w:rPr>
                      <w:rFonts w:hint="eastAsia"/>
                      <w:spacing w:val="-4"/>
                      <w:sz w:val="18"/>
                      <w:szCs w:val="18"/>
                    </w:rPr>
                    <w:t>原料煤矸石的堆放利用现有原料堆场，建筑面积约150</w:t>
                  </w:r>
                  <w:r>
                    <w:rPr>
                      <w:spacing w:val="-4"/>
                      <w:sz w:val="18"/>
                      <w:szCs w:val="18"/>
                    </w:rPr>
                    <w:t>0m</w:t>
                  </w:r>
                  <w:r>
                    <w:rPr>
                      <w:spacing w:val="-4"/>
                      <w:sz w:val="18"/>
                      <w:szCs w:val="18"/>
                      <w:vertAlign w:val="superscript"/>
                    </w:rPr>
                    <w:t>2</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扬尘、噪声</w:t>
                  </w:r>
                </w:p>
              </w:tc>
              <w:tc>
                <w:tcPr>
                  <w:tcW w:w="645" w:type="dxa"/>
                  <w:vAlign w:val="center"/>
                </w:tcPr>
                <w:p>
                  <w:pPr>
                    <w:spacing w:line="26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jc w:val="center"/>
              </w:trPr>
              <w:tc>
                <w:tcPr>
                  <w:tcW w:w="622" w:type="dxa"/>
                  <w:vMerge w:val="restart"/>
                  <w:vAlign w:val="center"/>
                </w:tcPr>
                <w:p>
                  <w:pPr>
                    <w:spacing w:line="260" w:lineRule="exact"/>
                    <w:ind w:left="-53" w:leftChars="-25" w:right="-53" w:rightChars="-25"/>
                    <w:jc w:val="center"/>
                    <w:rPr>
                      <w:sz w:val="18"/>
                      <w:szCs w:val="18"/>
                    </w:rPr>
                  </w:pPr>
                  <w:r>
                    <w:rPr>
                      <w:rFonts w:hint="eastAsia"/>
                      <w:sz w:val="18"/>
                      <w:szCs w:val="18"/>
                    </w:rPr>
                    <w:t>公用</w:t>
                  </w:r>
                  <w:r>
                    <w:rPr>
                      <w:sz w:val="18"/>
                      <w:szCs w:val="18"/>
                    </w:rPr>
                    <w:t>工程</w:t>
                  </w:r>
                </w:p>
              </w:tc>
              <w:tc>
                <w:tcPr>
                  <w:tcW w:w="948" w:type="dxa"/>
                  <w:vAlign w:val="center"/>
                </w:tcPr>
                <w:p>
                  <w:pPr>
                    <w:spacing w:line="260" w:lineRule="exact"/>
                    <w:ind w:left="-53" w:leftChars="-25" w:right="-53" w:rightChars="-25"/>
                    <w:jc w:val="center"/>
                    <w:rPr>
                      <w:sz w:val="18"/>
                      <w:szCs w:val="18"/>
                    </w:rPr>
                  </w:pPr>
                  <w:r>
                    <w:rPr>
                      <w:rFonts w:hint="eastAsia"/>
                      <w:sz w:val="18"/>
                      <w:szCs w:val="18"/>
                    </w:rPr>
                    <w:t>供电设施</w:t>
                  </w:r>
                </w:p>
              </w:tc>
              <w:tc>
                <w:tcPr>
                  <w:tcW w:w="3555" w:type="dxa"/>
                  <w:vAlign w:val="center"/>
                </w:tcPr>
                <w:p>
                  <w:pPr>
                    <w:spacing w:line="260" w:lineRule="exact"/>
                    <w:ind w:left="-53" w:leftChars="-25" w:right="-53" w:rightChars="-25"/>
                    <w:rPr>
                      <w:sz w:val="18"/>
                      <w:szCs w:val="18"/>
                    </w:rPr>
                  </w:pPr>
                  <w:r>
                    <w:rPr>
                      <w:rFonts w:hint="eastAsia"/>
                      <w:sz w:val="18"/>
                      <w:szCs w:val="18"/>
                    </w:rPr>
                    <w:t>电源来自于场镇供电电网，厂区内设变压器1个，共1000KVA</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w:t>
                  </w:r>
                </w:p>
              </w:tc>
              <w:tc>
                <w:tcPr>
                  <w:tcW w:w="645" w:type="dxa"/>
                  <w:vAlign w:val="center"/>
                </w:tcPr>
                <w:p>
                  <w:pPr>
                    <w:spacing w:line="26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Align w:val="center"/>
                </w:tcPr>
                <w:p>
                  <w:pPr>
                    <w:spacing w:line="260" w:lineRule="exact"/>
                    <w:ind w:left="-53" w:leftChars="-25" w:right="-53" w:rightChars="-25"/>
                    <w:jc w:val="center"/>
                    <w:rPr>
                      <w:sz w:val="18"/>
                      <w:szCs w:val="18"/>
                    </w:rPr>
                  </w:pPr>
                  <w:r>
                    <w:rPr>
                      <w:rFonts w:hint="eastAsia"/>
                      <w:sz w:val="18"/>
                      <w:szCs w:val="18"/>
                    </w:rPr>
                    <w:t>供水设施</w:t>
                  </w:r>
                </w:p>
              </w:tc>
              <w:tc>
                <w:tcPr>
                  <w:tcW w:w="3555" w:type="dxa"/>
                  <w:vAlign w:val="center"/>
                </w:tcPr>
                <w:p>
                  <w:pPr>
                    <w:spacing w:line="260" w:lineRule="exact"/>
                    <w:ind w:left="-53" w:leftChars="-25" w:right="-53" w:rightChars="-25"/>
                    <w:rPr>
                      <w:sz w:val="18"/>
                      <w:szCs w:val="18"/>
                    </w:rPr>
                  </w:pPr>
                  <w:r>
                    <w:rPr>
                      <w:rFonts w:hint="eastAsia"/>
                      <w:sz w:val="18"/>
                      <w:szCs w:val="18"/>
                    </w:rPr>
                    <w:t>生产、生活用水来自自打井水，以及小堰塘收集的降雨补充水</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w:t>
                  </w:r>
                </w:p>
              </w:tc>
              <w:tc>
                <w:tcPr>
                  <w:tcW w:w="645" w:type="dxa"/>
                  <w:vAlign w:val="center"/>
                </w:tcPr>
                <w:p>
                  <w:pPr>
                    <w:spacing w:line="26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Align w:val="center"/>
                </w:tcPr>
                <w:p>
                  <w:pPr>
                    <w:spacing w:line="240" w:lineRule="exact"/>
                    <w:ind w:left="-53" w:leftChars="-25" w:right="-53" w:rightChars="-25"/>
                    <w:jc w:val="center"/>
                    <w:rPr>
                      <w:sz w:val="18"/>
                      <w:szCs w:val="18"/>
                    </w:rPr>
                  </w:pPr>
                  <w:r>
                    <w:rPr>
                      <w:rFonts w:hint="eastAsia"/>
                      <w:sz w:val="18"/>
                      <w:szCs w:val="18"/>
                    </w:rPr>
                    <w:t>排水设施</w:t>
                  </w:r>
                </w:p>
              </w:tc>
              <w:tc>
                <w:tcPr>
                  <w:tcW w:w="3555" w:type="dxa"/>
                  <w:vAlign w:val="center"/>
                </w:tcPr>
                <w:p>
                  <w:pPr>
                    <w:spacing w:line="240" w:lineRule="exact"/>
                    <w:ind w:left="-53" w:leftChars="-25" w:right="-53" w:rightChars="-25"/>
                    <w:rPr>
                      <w:sz w:val="18"/>
                      <w:szCs w:val="18"/>
                    </w:rPr>
                  </w:pPr>
                  <w:r>
                    <w:rPr>
                      <w:rFonts w:hint="eastAsia"/>
                      <w:sz w:val="18"/>
                      <w:szCs w:val="18"/>
                    </w:rPr>
                    <w:t>厂区实行雨污分流排水。生产废水收集处理后全部循环回用不外排。厂区原料堆场及车间四周，分别建截排水沟收集外排附近雨水沟</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w:t>
                  </w:r>
                </w:p>
              </w:tc>
              <w:tc>
                <w:tcPr>
                  <w:tcW w:w="645" w:type="dxa"/>
                  <w:vAlign w:val="center"/>
                </w:tcPr>
                <w:p>
                  <w:pPr>
                    <w:spacing w:line="26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Align w:val="center"/>
                </w:tcPr>
                <w:p>
                  <w:pPr>
                    <w:spacing w:line="260" w:lineRule="exact"/>
                    <w:ind w:left="-53" w:leftChars="-25" w:right="-53" w:rightChars="-25"/>
                    <w:jc w:val="center"/>
                    <w:rPr>
                      <w:sz w:val="18"/>
                      <w:szCs w:val="18"/>
                    </w:rPr>
                  </w:pPr>
                  <w:r>
                    <w:rPr>
                      <w:rFonts w:hint="eastAsia"/>
                      <w:sz w:val="18"/>
                      <w:szCs w:val="18"/>
                    </w:rPr>
                    <w:t>产品运输道路</w:t>
                  </w:r>
                </w:p>
              </w:tc>
              <w:tc>
                <w:tcPr>
                  <w:tcW w:w="3555" w:type="dxa"/>
                  <w:vAlign w:val="center"/>
                </w:tcPr>
                <w:p>
                  <w:pPr>
                    <w:spacing w:line="260" w:lineRule="exact"/>
                    <w:ind w:left="-53" w:leftChars="-25" w:right="-53" w:rightChars="-25"/>
                    <w:jc w:val="center"/>
                    <w:rPr>
                      <w:sz w:val="18"/>
                      <w:szCs w:val="18"/>
                    </w:rPr>
                  </w:pPr>
                  <w:r>
                    <w:rPr>
                      <w:sz w:val="18"/>
                      <w:szCs w:val="18"/>
                    </w:rPr>
                    <w:t>利用附近县道公路开展运输作业</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扬尘、噪声</w:t>
                  </w:r>
                </w:p>
              </w:tc>
              <w:tc>
                <w:tcPr>
                  <w:tcW w:w="645" w:type="dxa"/>
                  <w:vAlign w:val="center"/>
                </w:tcPr>
                <w:p>
                  <w:pPr>
                    <w:spacing w:line="26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622" w:type="dxa"/>
                  <w:vMerge w:val="restart"/>
                  <w:vAlign w:val="center"/>
                </w:tcPr>
                <w:p>
                  <w:pPr>
                    <w:spacing w:line="260" w:lineRule="exact"/>
                    <w:ind w:left="-53" w:leftChars="-25" w:right="-53" w:rightChars="-25"/>
                    <w:jc w:val="center"/>
                    <w:rPr>
                      <w:sz w:val="18"/>
                      <w:szCs w:val="18"/>
                    </w:rPr>
                  </w:pPr>
                  <w:r>
                    <w:rPr>
                      <w:sz w:val="18"/>
                      <w:szCs w:val="18"/>
                    </w:rPr>
                    <w:t>环保</w:t>
                  </w:r>
                </w:p>
                <w:p>
                  <w:pPr>
                    <w:spacing w:line="260" w:lineRule="exact"/>
                    <w:ind w:left="-53" w:leftChars="-25" w:right="-53" w:rightChars="-25"/>
                    <w:jc w:val="center"/>
                    <w:rPr>
                      <w:sz w:val="18"/>
                      <w:szCs w:val="18"/>
                    </w:rPr>
                  </w:pPr>
                  <w:r>
                    <w:rPr>
                      <w:sz w:val="18"/>
                      <w:szCs w:val="18"/>
                    </w:rPr>
                    <w:t>工程</w:t>
                  </w:r>
                </w:p>
              </w:tc>
              <w:tc>
                <w:tcPr>
                  <w:tcW w:w="948" w:type="dxa"/>
                  <w:vMerge w:val="restart"/>
                  <w:vAlign w:val="center"/>
                </w:tcPr>
                <w:p>
                  <w:pPr>
                    <w:spacing w:line="260" w:lineRule="exact"/>
                    <w:ind w:left="-53" w:leftChars="-25" w:right="-53" w:rightChars="-25"/>
                    <w:jc w:val="center"/>
                    <w:rPr>
                      <w:sz w:val="18"/>
                      <w:szCs w:val="18"/>
                    </w:rPr>
                  </w:pPr>
                  <w:r>
                    <w:rPr>
                      <w:rFonts w:hint="eastAsia"/>
                      <w:sz w:val="18"/>
                      <w:szCs w:val="18"/>
                    </w:rPr>
                    <w:t>废气处理</w:t>
                  </w:r>
                </w:p>
              </w:tc>
              <w:tc>
                <w:tcPr>
                  <w:tcW w:w="3555" w:type="dxa"/>
                  <w:vAlign w:val="center"/>
                </w:tcPr>
                <w:p>
                  <w:pPr>
                    <w:spacing w:line="240" w:lineRule="exact"/>
                    <w:ind w:left="-53" w:leftChars="-25" w:right="-53" w:rightChars="-25"/>
                    <w:rPr>
                      <w:sz w:val="18"/>
                      <w:szCs w:val="18"/>
                    </w:rPr>
                  </w:pPr>
                  <w:r>
                    <w:rPr>
                      <w:rFonts w:hint="eastAsia"/>
                      <w:sz w:val="18"/>
                      <w:szCs w:val="18"/>
                    </w:rPr>
                    <w:t>道路扬尘：厂内道路及产品、原料运输道路均采取硬化，适时洒水防尘，</w:t>
                  </w:r>
                  <w:r>
                    <w:rPr>
                      <w:rFonts w:hint="eastAsia"/>
                      <w:bCs/>
                      <w:sz w:val="18"/>
                      <w:szCs w:val="18"/>
                    </w:rPr>
                    <w:t>运输车辆采用篷布遮盖；</w:t>
                  </w:r>
                </w:p>
                <w:p>
                  <w:pPr>
                    <w:spacing w:line="240" w:lineRule="exact"/>
                    <w:ind w:left="-53" w:leftChars="-25" w:right="-53" w:rightChars="-25"/>
                    <w:rPr>
                      <w:sz w:val="18"/>
                      <w:szCs w:val="18"/>
                    </w:rPr>
                  </w:pPr>
                  <w:r>
                    <w:rPr>
                      <w:rFonts w:hint="eastAsia"/>
                      <w:b/>
                      <w:sz w:val="18"/>
                      <w:szCs w:val="18"/>
                    </w:rPr>
                    <w:t>整改措施：</w:t>
                  </w:r>
                  <w:r>
                    <w:rPr>
                      <w:rFonts w:hint="eastAsia"/>
                      <w:sz w:val="18"/>
                      <w:szCs w:val="18"/>
                    </w:rPr>
                    <w:t>厂区进出口增设车辆冲洗设施</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b/>
                      <w:sz w:val="18"/>
                      <w:szCs w:val="18"/>
                    </w:rPr>
                  </w:pPr>
                  <w:r>
                    <w:rPr>
                      <w:rFonts w:hint="eastAsia"/>
                      <w:b/>
                      <w:sz w:val="18"/>
                      <w:szCs w:val="18"/>
                    </w:rPr>
                    <w:t>/</w:t>
                  </w:r>
                </w:p>
              </w:tc>
              <w:tc>
                <w:tcPr>
                  <w:tcW w:w="645" w:type="dxa"/>
                  <w:vAlign w:val="center"/>
                </w:tcPr>
                <w:p>
                  <w:pPr>
                    <w:spacing w:line="260" w:lineRule="exact"/>
                    <w:ind w:left="-53" w:leftChars="-25" w:right="-53" w:rightChars="-25"/>
                    <w:jc w:val="center"/>
                    <w:rPr>
                      <w:b/>
                      <w:sz w:val="18"/>
                      <w:szCs w:val="18"/>
                    </w:rPr>
                  </w:pPr>
                  <w:r>
                    <w:rPr>
                      <w:b/>
                      <w:sz w:val="18"/>
                      <w:szCs w:val="18"/>
                    </w:rPr>
                    <w:t>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Merge w:val="continue"/>
                  <w:vAlign w:val="center"/>
                </w:tcPr>
                <w:p>
                  <w:pPr>
                    <w:spacing w:line="260" w:lineRule="exact"/>
                    <w:ind w:left="-53" w:leftChars="-25" w:right="-53" w:rightChars="-25"/>
                    <w:jc w:val="center"/>
                    <w:rPr>
                      <w:sz w:val="18"/>
                      <w:szCs w:val="18"/>
                    </w:rPr>
                  </w:pPr>
                </w:p>
              </w:tc>
              <w:tc>
                <w:tcPr>
                  <w:tcW w:w="3555" w:type="dxa"/>
                  <w:vAlign w:val="center"/>
                </w:tcPr>
                <w:p>
                  <w:pPr>
                    <w:spacing w:line="240" w:lineRule="exact"/>
                    <w:ind w:left="-53" w:leftChars="-25" w:right="-53" w:rightChars="-25"/>
                    <w:rPr>
                      <w:sz w:val="18"/>
                      <w:szCs w:val="18"/>
                    </w:rPr>
                  </w:pPr>
                  <w:r>
                    <w:rPr>
                      <w:rFonts w:hint="eastAsia"/>
                      <w:sz w:val="18"/>
                      <w:szCs w:val="18"/>
                    </w:rPr>
                    <w:t>制砖原料破碎粉尘：破碎筛分环节安装袋式除尘器，设备进料口安装喷雾洒水装置，现有车间围挡已破损。</w:t>
                  </w:r>
                </w:p>
                <w:p>
                  <w:pPr>
                    <w:spacing w:line="240" w:lineRule="exact"/>
                    <w:ind w:left="-53" w:leftChars="-25" w:right="-53" w:rightChars="-25"/>
                    <w:rPr>
                      <w:sz w:val="18"/>
                      <w:szCs w:val="18"/>
                    </w:rPr>
                  </w:pPr>
                  <w:r>
                    <w:rPr>
                      <w:rFonts w:hint="eastAsia"/>
                      <w:b/>
                      <w:sz w:val="18"/>
                      <w:szCs w:val="18"/>
                    </w:rPr>
                    <w:t>整改措施：</w:t>
                  </w:r>
                  <w:r>
                    <w:rPr>
                      <w:rFonts w:hint="eastAsia"/>
                      <w:sz w:val="18"/>
                      <w:szCs w:val="18"/>
                    </w:rPr>
                    <w:t>更换现有已破损的围挡，确保车间封闭性，实现封闭式生产</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噪声、收尘灰</w:t>
                  </w:r>
                </w:p>
              </w:tc>
              <w:tc>
                <w:tcPr>
                  <w:tcW w:w="645" w:type="dxa"/>
                  <w:vAlign w:val="center"/>
                </w:tcPr>
                <w:p>
                  <w:pPr>
                    <w:spacing w:line="260" w:lineRule="exact"/>
                    <w:ind w:left="-53" w:leftChars="-25" w:right="-53" w:rightChars="-25"/>
                    <w:jc w:val="center"/>
                    <w:rPr>
                      <w:b/>
                      <w:sz w:val="18"/>
                      <w:szCs w:val="18"/>
                    </w:rPr>
                  </w:pPr>
                  <w:r>
                    <w:rPr>
                      <w:b/>
                      <w:sz w:val="18"/>
                      <w:szCs w:val="18"/>
                    </w:rPr>
                    <w:t>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Merge w:val="continue"/>
                  <w:vAlign w:val="center"/>
                </w:tcPr>
                <w:p>
                  <w:pPr>
                    <w:spacing w:line="260" w:lineRule="exact"/>
                    <w:ind w:left="-53" w:leftChars="-25" w:right="-53" w:rightChars="-25"/>
                    <w:jc w:val="center"/>
                    <w:rPr>
                      <w:sz w:val="18"/>
                      <w:szCs w:val="18"/>
                    </w:rPr>
                  </w:pPr>
                </w:p>
              </w:tc>
              <w:tc>
                <w:tcPr>
                  <w:tcW w:w="3555" w:type="dxa"/>
                  <w:vAlign w:val="center"/>
                </w:tcPr>
                <w:p>
                  <w:pPr>
                    <w:spacing w:line="240" w:lineRule="exact"/>
                    <w:ind w:left="-53" w:leftChars="-25" w:right="-53" w:rightChars="-25"/>
                    <w:rPr>
                      <w:sz w:val="18"/>
                      <w:szCs w:val="18"/>
                    </w:rPr>
                  </w:pPr>
                  <w:r>
                    <w:rPr>
                      <w:rFonts w:hint="eastAsia"/>
                      <w:sz w:val="18"/>
                      <w:szCs w:val="18"/>
                    </w:rPr>
                    <w:t>堆场扬尘：现有堆场安装有遮雨棚和喷雾洒水装置，但堆场四周未采取封闭措施，地面未硬化处理。</w:t>
                  </w:r>
                </w:p>
                <w:p>
                  <w:pPr>
                    <w:spacing w:line="240" w:lineRule="exact"/>
                    <w:ind w:left="-53" w:leftChars="-25" w:right="-53" w:rightChars="-25"/>
                    <w:rPr>
                      <w:sz w:val="18"/>
                      <w:szCs w:val="18"/>
                    </w:rPr>
                  </w:pPr>
                  <w:r>
                    <w:rPr>
                      <w:rFonts w:hint="eastAsia"/>
                      <w:b/>
                      <w:sz w:val="18"/>
                      <w:szCs w:val="18"/>
                    </w:rPr>
                    <w:t>整改措施：对堆场采取三面封闭，留设机械设备进出口；对地面采取硬化处理</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噪声</w:t>
                  </w:r>
                </w:p>
              </w:tc>
              <w:tc>
                <w:tcPr>
                  <w:tcW w:w="645" w:type="dxa"/>
                  <w:vAlign w:val="center"/>
                </w:tcPr>
                <w:p>
                  <w:pPr>
                    <w:spacing w:line="260" w:lineRule="exact"/>
                    <w:ind w:left="-53" w:leftChars="-25" w:right="-53" w:rightChars="-25"/>
                    <w:jc w:val="center"/>
                    <w:rPr>
                      <w:b/>
                      <w:sz w:val="18"/>
                      <w:szCs w:val="18"/>
                    </w:rPr>
                  </w:pPr>
                  <w:r>
                    <w:rPr>
                      <w:rFonts w:hint="eastAsia"/>
                      <w:b/>
                      <w:sz w:val="18"/>
                      <w:szCs w:val="18"/>
                    </w:rPr>
                    <w:t>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Merge w:val="continue"/>
                  <w:vAlign w:val="center"/>
                </w:tcPr>
                <w:p>
                  <w:pPr>
                    <w:spacing w:line="260" w:lineRule="exact"/>
                    <w:ind w:left="-53" w:leftChars="-25" w:right="-53" w:rightChars="-25"/>
                    <w:jc w:val="center"/>
                    <w:rPr>
                      <w:sz w:val="18"/>
                      <w:szCs w:val="18"/>
                    </w:rPr>
                  </w:pPr>
                </w:p>
              </w:tc>
              <w:tc>
                <w:tcPr>
                  <w:tcW w:w="3555" w:type="dxa"/>
                  <w:vAlign w:val="center"/>
                </w:tcPr>
                <w:p>
                  <w:pPr>
                    <w:spacing w:line="260" w:lineRule="exact"/>
                    <w:ind w:left="-53" w:leftChars="-25" w:right="-53" w:rightChars="-25"/>
                    <w:rPr>
                      <w:sz w:val="18"/>
                      <w:szCs w:val="18"/>
                    </w:rPr>
                  </w:pPr>
                  <w:r>
                    <w:rPr>
                      <w:rFonts w:hint="eastAsia"/>
                      <w:sz w:val="18"/>
                      <w:szCs w:val="18"/>
                    </w:rPr>
                    <w:t>砖窑废气：焙烧废气引至砖坯干燥段利用后，引至“钠碱湿法脱硫”脱硫塔处理后，废气经1根15m高的排气筒高空排放</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废水、噪声、固废</w:t>
                  </w:r>
                </w:p>
              </w:tc>
              <w:tc>
                <w:tcPr>
                  <w:tcW w:w="645" w:type="dxa"/>
                  <w:vAlign w:val="center"/>
                </w:tcPr>
                <w:p>
                  <w:pPr>
                    <w:spacing w:line="26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Merge w:val="continue"/>
                  <w:vAlign w:val="center"/>
                </w:tcPr>
                <w:p>
                  <w:pPr>
                    <w:spacing w:line="260" w:lineRule="exact"/>
                    <w:ind w:left="-53" w:leftChars="-25" w:right="-53" w:rightChars="-25"/>
                    <w:jc w:val="center"/>
                    <w:rPr>
                      <w:sz w:val="18"/>
                      <w:szCs w:val="18"/>
                    </w:rPr>
                  </w:pPr>
                </w:p>
              </w:tc>
              <w:tc>
                <w:tcPr>
                  <w:tcW w:w="3555" w:type="dxa"/>
                  <w:vAlign w:val="center"/>
                </w:tcPr>
                <w:p>
                  <w:pPr>
                    <w:spacing w:line="260" w:lineRule="exact"/>
                    <w:ind w:left="-53" w:leftChars="-25" w:right="-53" w:rightChars="-25"/>
                    <w:jc w:val="left"/>
                    <w:rPr>
                      <w:spacing w:val="-2"/>
                      <w:sz w:val="18"/>
                      <w:szCs w:val="18"/>
                    </w:rPr>
                  </w:pPr>
                  <w:r>
                    <w:rPr>
                      <w:rFonts w:hint="eastAsia"/>
                      <w:sz w:val="18"/>
                      <w:szCs w:val="18"/>
                    </w:rPr>
                    <w:t>污泥贮存恶臭：贮存间设为封闭式车间（</w:t>
                  </w:r>
                  <w:r>
                    <w:rPr>
                      <w:rFonts w:hint="eastAsia"/>
                      <w:b/>
                      <w:sz w:val="18"/>
                      <w:szCs w:val="18"/>
                    </w:rPr>
                    <w:t>留设机械设备进出口</w:t>
                  </w:r>
                  <w:r>
                    <w:rPr>
                      <w:rFonts w:hint="eastAsia"/>
                      <w:sz w:val="18"/>
                      <w:szCs w:val="18"/>
                    </w:rPr>
                    <w:t>），设置抽风机实现车间微负压收集，恶臭废气经活性炭净化处理后由1根15m高排气筒高空排放</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sz w:val="18"/>
                      <w:szCs w:val="18"/>
                    </w:rPr>
                    <w:t>噪声</w:t>
                  </w:r>
                </w:p>
              </w:tc>
              <w:tc>
                <w:tcPr>
                  <w:tcW w:w="645" w:type="dxa"/>
                  <w:vAlign w:val="center"/>
                </w:tcPr>
                <w:p>
                  <w:pPr>
                    <w:spacing w:line="260" w:lineRule="exact"/>
                    <w:ind w:left="-53" w:leftChars="-25" w:right="-53" w:rightChars="-25"/>
                    <w:jc w:val="center"/>
                    <w:rPr>
                      <w:sz w:val="18"/>
                      <w:szCs w:val="18"/>
                    </w:rPr>
                  </w:pPr>
                  <w:r>
                    <w:rPr>
                      <w:rFonts w:hint="eastAsia"/>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Merge w:val="continue"/>
                  <w:vAlign w:val="center"/>
                </w:tcPr>
                <w:p>
                  <w:pPr>
                    <w:spacing w:line="260" w:lineRule="exact"/>
                    <w:ind w:left="-53" w:leftChars="-25" w:right="-53" w:rightChars="-25"/>
                    <w:jc w:val="center"/>
                    <w:rPr>
                      <w:sz w:val="18"/>
                      <w:szCs w:val="18"/>
                    </w:rPr>
                  </w:pPr>
                </w:p>
              </w:tc>
              <w:tc>
                <w:tcPr>
                  <w:tcW w:w="3555" w:type="dxa"/>
                  <w:vAlign w:val="center"/>
                </w:tcPr>
                <w:p>
                  <w:pPr>
                    <w:spacing w:line="260" w:lineRule="exact"/>
                    <w:ind w:left="-53" w:leftChars="-25" w:right="-53" w:rightChars="-25"/>
                    <w:jc w:val="left"/>
                    <w:rPr>
                      <w:sz w:val="18"/>
                      <w:szCs w:val="18"/>
                    </w:rPr>
                  </w:pPr>
                  <w:r>
                    <w:rPr>
                      <w:rFonts w:hint="eastAsia"/>
                      <w:sz w:val="18"/>
                      <w:szCs w:val="18"/>
                    </w:rPr>
                    <w:t>污泥烘干废气：采用生物质成型燃料，设置“钠碱湿法脱硫”脱硫塔处理设施，经15m高排气筒排放</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噪声、收尘灰</w:t>
                  </w:r>
                </w:p>
              </w:tc>
              <w:tc>
                <w:tcPr>
                  <w:tcW w:w="645" w:type="dxa"/>
                  <w:vAlign w:val="center"/>
                </w:tcPr>
                <w:p>
                  <w:pPr>
                    <w:spacing w:line="260" w:lineRule="exact"/>
                    <w:ind w:left="-53" w:leftChars="-25" w:right="-53" w:rightChars="-25"/>
                    <w:jc w:val="center"/>
                    <w:rPr>
                      <w:sz w:val="18"/>
                      <w:szCs w:val="18"/>
                    </w:rPr>
                  </w:pPr>
                  <w:r>
                    <w:rPr>
                      <w:rFonts w:hint="eastAsia"/>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Merge w:val="restart"/>
                  <w:vAlign w:val="center"/>
                </w:tcPr>
                <w:p>
                  <w:pPr>
                    <w:spacing w:line="260" w:lineRule="exact"/>
                    <w:ind w:left="-53" w:leftChars="-25" w:right="-53" w:rightChars="-25"/>
                    <w:jc w:val="center"/>
                    <w:rPr>
                      <w:sz w:val="18"/>
                      <w:szCs w:val="18"/>
                    </w:rPr>
                  </w:pPr>
                  <w:r>
                    <w:rPr>
                      <w:rFonts w:hint="eastAsia"/>
                      <w:sz w:val="18"/>
                      <w:szCs w:val="18"/>
                    </w:rPr>
                    <w:t>废水处理</w:t>
                  </w:r>
                </w:p>
              </w:tc>
              <w:tc>
                <w:tcPr>
                  <w:tcW w:w="3555" w:type="dxa"/>
                  <w:vAlign w:val="center"/>
                </w:tcPr>
                <w:p>
                  <w:pPr>
                    <w:spacing w:line="260" w:lineRule="exact"/>
                    <w:ind w:left="-53" w:leftChars="-25" w:right="-53" w:rightChars="-25"/>
                    <w:rPr>
                      <w:sz w:val="18"/>
                      <w:szCs w:val="18"/>
                    </w:rPr>
                  </w:pPr>
                  <w:r>
                    <w:rPr>
                      <w:rFonts w:hint="eastAsia"/>
                      <w:sz w:val="18"/>
                      <w:szCs w:val="18"/>
                    </w:rPr>
                    <w:t>砖瓦窑脱硫废水：利用原有水循环系统，包括“沉淀池+再生池”总容积200</w:t>
                  </w:r>
                  <w:r>
                    <w:rPr>
                      <w:sz w:val="18"/>
                      <w:szCs w:val="18"/>
                    </w:rPr>
                    <w:t>m</w:t>
                  </w:r>
                  <w:r>
                    <w:rPr>
                      <w:sz w:val="18"/>
                      <w:szCs w:val="18"/>
                      <w:vertAlign w:val="superscript"/>
                    </w:rPr>
                    <w:t>3</w:t>
                  </w:r>
                  <w:r>
                    <w:rPr>
                      <w:sz w:val="18"/>
                      <w:szCs w:val="18"/>
                    </w:rPr>
                    <w:t>；再生处理后全部回用，不外排</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sz w:val="18"/>
                      <w:szCs w:val="18"/>
                    </w:rPr>
                    <w:t>脱硫废渣</w:t>
                  </w:r>
                </w:p>
              </w:tc>
              <w:tc>
                <w:tcPr>
                  <w:tcW w:w="645" w:type="dxa"/>
                  <w:vAlign w:val="center"/>
                </w:tcPr>
                <w:p>
                  <w:pPr>
                    <w:spacing w:line="26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Merge w:val="continue"/>
                  <w:vAlign w:val="center"/>
                </w:tcPr>
                <w:p>
                  <w:pPr>
                    <w:spacing w:line="260" w:lineRule="exact"/>
                    <w:ind w:left="-53" w:leftChars="-25" w:right="-53" w:rightChars="-25"/>
                    <w:jc w:val="center"/>
                    <w:rPr>
                      <w:sz w:val="18"/>
                      <w:szCs w:val="18"/>
                    </w:rPr>
                  </w:pPr>
                </w:p>
              </w:tc>
              <w:tc>
                <w:tcPr>
                  <w:tcW w:w="3555" w:type="dxa"/>
                  <w:vAlign w:val="center"/>
                </w:tcPr>
                <w:p>
                  <w:pPr>
                    <w:spacing w:line="260" w:lineRule="exact"/>
                    <w:ind w:left="-53" w:leftChars="-25" w:right="-53" w:rightChars="-25"/>
                    <w:rPr>
                      <w:sz w:val="18"/>
                      <w:szCs w:val="18"/>
                    </w:rPr>
                  </w:pPr>
                  <w:r>
                    <w:rPr>
                      <w:rFonts w:hint="eastAsia"/>
                      <w:sz w:val="18"/>
                      <w:szCs w:val="18"/>
                    </w:rPr>
                    <w:t>污泥烘干脱硫废水：新建脱硫水循环系统，包括“沉淀池+再生池”总容积100</w:t>
                  </w:r>
                  <w:r>
                    <w:rPr>
                      <w:sz w:val="18"/>
                      <w:szCs w:val="18"/>
                    </w:rPr>
                    <w:t>m</w:t>
                  </w:r>
                  <w:r>
                    <w:rPr>
                      <w:sz w:val="18"/>
                      <w:szCs w:val="18"/>
                      <w:vertAlign w:val="superscript"/>
                    </w:rPr>
                    <w:t>3</w:t>
                  </w:r>
                  <w:r>
                    <w:rPr>
                      <w:sz w:val="18"/>
                      <w:szCs w:val="18"/>
                    </w:rPr>
                    <w:t>；再生处理后全部回用，不外排</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脱硫废渣</w:t>
                  </w:r>
                </w:p>
              </w:tc>
              <w:tc>
                <w:tcPr>
                  <w:tcW w:w="645" w:type="dxa"/>
                  <w:vAlign w:val="center"/>
                </w:tcPr>
                <w:p>
                  <w:pPr>
                    <w:spacing w:line="260" w:lineRule="exact"/>
                    <w:ind w:left="-53" w:leftChars="-25" w:right="-53" w:rightChars="-25"/>
                    <w:jc w:val="center"/>
                    <w:rPr>
                      <w:sz w:val="18"/>
                      <w:szCs w:val="18"/>
                    </w:rPr>
                  </w:pPr>
                  <w:r>
                    <w:rPr>
                      <w:rFonts w:hint="eastAsia"/>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Merge w:val="continue"/>
                  <w:vAlign w:val="center"/>
                </w:tcPr>
                <w:p>
                  <w:pPr>
                    <w:spacing w:line="260" w:lineRule="exact"/>
                    <w:ind w:left="-53" w:leftChars="-25" w:right="-53" w:rightChars="-25"/>
                    <w:jc w:val="center"/>
                    <w:rPr>
                      <w:sz w:val="18"/>
                      <w:szCs w:val="18"/>
                    </w:rPr>
                  </w:pPr>
                </w:p>
              </w:tc>
              <w:tc>
                <w:tcPr>
                  <w:tcW w:w="3555" w:type="dxa"/>
                  <w:vAlign w:val="center"/>
                </w:tcPr>
                <w:p>
                  <w:pPr>
                    <w:spacing w:line="260" w:lineRule="exact"/>
                    <w:ind w:left="-53" w:leftChars="-25" w:right="-53" w:rightChars="-25"/>
                    <w:rPr>
                      <w:sz w:val="18"/>
                      <w:szCs w:val="18"/>
                    </w:rPr>
                  </w:pPr>
                  <w:r>
                    <w:rPr>
                      <w:rFonts w:hint="eastAsia"/>
                      <w:sz w:val="18"/>
                      <w:szCs w:val="18"/>
                    </w:rPr>
                    <w:t>生活污水：设化粪池1个（容积20</w:t>
                  </w:r>
                  <w:r>
                    <w:rPr>
                      <w:sz w:val="18"/>
                      <w:szCs w:val="18"/>
                    </w:rPr>
                    <w:t>m</w:t>
                  </w:r>
                  <w:r>
                    <w:rPr>
                      <w:sz w:val="18"/>
                      <w:szCs w:val="18"/>
                      <w:vertAlign w:val="superscript"/>
                    </w:rPr>
                    <w:t>3</w:t>
                  </w:r>
                  <w:r>
                    <w:rPr>
                      <w:rFonts w:hint="eastAsia"/>
                      <w:sz w:val="18"/>
                      <w:szCs w:val="18"/>
                    </w:rPr>
                    <w:t>）</w:t>
                  </w:r>
                  <w:r>
                    <w:rPr>
                      <w:sz w:val="18"/>
                      <w:szCs w:val="18"/>
                    </w:rPr>
                    <w:t>处理后全部做</w:t>
                  </w:r>
                  <w:r>
                    <w:rPr>
                      <w:rFonts w:hint="eastAsia"/>
                      <w:sz w:val="18"/>
                      <w:szCs w:val="18"/>
                    </w:rPr>
                    <w:t>农肥</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恶臭</w:t>
                  </w:r>
                </w:p>
              </w:tc>
              <w:tc>
                <w:tcPr>
                  <w:tcW w:w="645" w:type="dxa"/>
                  <w:vAlign w:val="center"/>
                </w:tcPr>
                <w:p>
                  <w:pPr>
                    <w:spacing w:line="26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Merge w:val="restart"/>
                  <w:vAlign w:val="center"/>
                </w:tcPr>
                <w:p>
                  <w:pPr>
                    <w:spacing w:line="260" w:lineRule="exact"/>
                    <w:ind w:left="-53" w:leftChars="-25" w:right="-53" w:rightChars="-25"/>
                    <w:jc w:val="center"/>
                    <w:rPr>
                      <w:sz w:val="18"/>
                      <w:szCs w:val="18"/>
                    </w:rPr>
                  </w:pPr>
                  <w:r>
                    <w:rPr>
                      <w:rFonts w:hint="eastAsia"/>
                      <w:sz w:val="18"/>
                      <w:szCs w:val="18"/>
                    </w:rPr>
                    <w:t>噪声治理</w:t>
                  </w:r>
                </w:p>
              </w:tc>
              <w:tc>
                <w:tcPr>
                  <w:tcW w:w="3555" w:type="dxa"/>
                  <w:vAlign w:val="center"/>
                </w:tcPr>
                <w:p>
                  <w:pPr>
                    <w:spacing w:line="260" w:lineRule="exact"/>
                    <w:ind w:left="-53" w:leftChars="-25" w:right="-53" w:rightChars="-25"/>
                    <w:rPr>
                      <w:sz w:val="18"/>
                      <w:szCs w:val="18"/>
                    </w:rPr>
                  </w:pPr>
                  <w:r>
                    <w:rPr>
                      <w:rFonts w:hint="eastAsia"/>
                      <w:sz w:val="18"/>
                      <w:szCs w:val="18"/>
                    </w:rPr>
                    <w:t>破碎机地下式安装，设备安装时加装减振垫，破碎筛分车间全密闭；加强设备维护保养</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w:t>
                  </w:r>
                </w:p>
              </w:tc>
              <w:tc>
                <w:tcPr>
                  <w:tcW w:w="645" w:type="dxa"/>
                  <w:vAlign w:val="center"/>
                </w:tcPr>
                <w:p>
                  <w:pPr>
                    <w:spacing w:line="26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Merge w:val="continue"/>
                  <w:vAlign w:val="center"/>
                </w:tcPr>
                <w:p>
                  <w:pPr>
                    <w:spacing w:line="260" w:lineRule="exact"/>
                    <w:ind w:left="-53" w:leftChars="-25" w:right="-53" w:rightChars="-25"/>
                    <w:jc w:val="center"/>
                    <w:rPr>
                      <w:sz w:val="18"/>
                      <w:szCs w:val="18"/>
                    </w:rPr>
                  </w:pPr>
                </w:p>
              </w:tc>
              <w:tc>
                <w:tcPr>
                  <w:tcW w:w="3555" w:type="dxa"/>
                  <w:vAlign w:val="center"/>
                </w:tcPr>
                <w:p>
                  <w:pPr>
                    <w:spacing w:line="260" w:lineRule="exact"/>
                    <w:ind w:left="-53" w:leftChars="-25" w:right="-53" w:rightChars="-25"/>
                    <w:rPr>
                      <w:sz w:val="18"/>
                      <w:szCs w:val="18"/>
                    </w:rPr>
                  </w:pPr>
                  <w:r>
                    <w:rPr>
                      <w:rFonts w:hint="eastAsia"/>
                      <w:sz w:val="18"/>
                      <w:szCs w:val="18"/>
                    </w:rPr>
                    <w:t>厂区内设置车辆引导标识，加强车辆管理</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w:t>
                  </w:r>
                </w:p>
              </w:tc>
              <w:tc>
                <w:tcPr>
                  <w:tcW w:w="645" w:type="dxa"/>
                  <w:vAlign w:val="center"/>
                </w:tcPr>
                <w:p>
                  <w:pPr>
                    <w:spacing w:line="26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Merge w:val="restart"/>
                  <w:vAlign w:val="center"/>
                </w:tcPr>
                <w:p>
                  <w:pPr>
                    <w:spacing w:line="260" w:lineRule="exact"/>
                    <w:ind w:left="-53" w:leftChars="-25" w:right="-53" w:rightChars="-25"/>
                    <w:jc w:val="center"/>
                    <w:rPr>
                      <w:sz w:val="18"/>
                      <w:szCs w:val="18"/>
                    </w:rPr>
                  </w:pPr>
                  <w:r>
                    <w:rPr>
                      <w:rFonts w:hint="eastAsia"/>
                      <w:sz w:val="18"/>
                      <w:szCs w:val="18"/>
                    </w:rPr>
                    <w:t>固废处置</w:t>
                  </w:r>
                </w:p>
              </w:tc>
              <w:tc>
                <w:tcPr>
                  <w:tcW w:w="3555" w:type="dxa"/>
                  <w:vAlign w:val="center"/>
                </w:tcPr>
                <w:p>
                  <w:pPr>
                    <w:spacing w:line="260" w:lineRule="exact"/>
                    <w:ind w:left="-53" w:leftChars="-25" w:right="-53" w:rightChars="-25"/>
                    <w:rPr>
                      <w:sz w:val="18"/>
                      <w:szCs w:val="18"/>
                    </w:rPr>
                  </w:pPr>
                  <w:r>
                    <w:rPr>
                      <w:rFonts w:hint="eastAsia"/>
                      <w:sz w:val="18"/>
                      <w:szCs w:val="18"/>
                    </w:rPr>
                    <w:t>破损砖：作为原料回用于生产</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w:t>
                  </w:r>
                </w:p>
              </w:tc>
              <w:tc>
                <w:tcPr>
                  <w:tcW w:w="645" w:type="dxa"/>
                  <w:vAlign w:val="center"/>
                </w:tcPr>
                <w:p>
                  <w:pPr>
                    <w:spacing w:line="26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Merge w:val="continue"/>
                  <w:vAlign w:val="center"/>
                </w:tcPr>
                <w:p>
                  <w:pPr>
                    <w:spacing w:line="260" w:lineRule="exact"/>
                    <w:ind w:left="-53" w:leftChars="-25" w:right="-53" w:rightChars="-25"/>
                    <w:jc w:val="center"/>
                    <w:rPr>
                      <w:sz w:val="18"/>
                      <w:szCs w:val="18"/>
                    </w:rPr>
                  </w:pPr>
                </w:p>
              </w:tc>
              <w:tc>
                <w:tcPr>
                  <w:tcW w:w="3555" w:type="dxa"/>
                  <w:vAlign w:val="center"/>
                </w:tcPr>
                <w:p>
                  <w:pPr>
                    <w:spacing w:line="260" w:lineRule="exact"/>
                    <w:ind w:left="-53" w:leftChars="-25" w:right="-53" w:rightChars="-25"/>
                    <w:rPr>
                      <w:sz w:val="18"/>
                      <w:szCs w:val="18"/>
                    </w:rPr>
                  </w:pPr>
                  <w:r>
                    <w:rPr>
                      <w:rFonts w:hint="eastAsia"/>
                      <w:sz w:val="18"/>
                      <w:szCs w:val="18"/>
                    </w:rPr>
                    <w:t>收集的除尘灰和煤渣：及时做原料回用</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w:t>
                  </w:r>
                </w:p>
              </w:tc>
              <w:tc>
                <w:tcPr>
                  <w:tcW w:w="645" w:type="dxa"/>
                  <w:vAlign w:val="center"/>
                </w:tcPr>
                <w:p>
                  <w:pPr>
                    <w:spacing w:line="26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Merge w:val="continue"/>
                  <w:vAlign w:val="center"/>
                </w:tcPr>
                <w:p>
                  <w:pPr>
                    <w:spacing w:line="260" w:lineRule="exact"/>
                    <w:ind w:left="-53" w:leftChars="-25" w:right="-53" w:rightChars="-25"/>
                    <w:jc w:val="center"/>
                    <w:rPr>
                      <w:sz w:val="18"/>
                      <w:szCs w:val="18"/>
                    </w:rPr>
                  </w:pPr>
                </w:p>
              </w:tc>
              <w:tc>
                <w:tcPr>
                  <w:tcW w:w="3555" w:type="dxa"/>
                  <w:vAlign w:val="center"/>
                </w:tcPr>
                <w:p>
                  <w:pPr>
                    <w:spacing w:line="260" w:lineRule="exact"/>
                    <w:ind w:left="-53" w:leftChars="-25" w:right="-53" w:rightChars="-25"/>
                    <w:rPr>
                      <w:sz w:val="18"/>
                      <w:szCs w:val="18"/>
                    </w:rPr>
                  </w:pPr>
                  <w:r>
                    <w:rPr>
                      <w:rFonts w:hint="eastAsia"/>
                      <w:sz w:val="18"/>
                      <w:szCs w:val="18"/>
                    </w:rPr>
                    <w:t>脱硫废渣：定期清理至干化池（容积2m</w:t>
                  </w:r>
                  <w:r>
                    <w:rPr>
                      <w:rFonts w:hint="eastAsia"/>
                      <w:sz w:val="18"/>
                      <w:szCs w:val="18"/>
                      <w:vertAlign w:val="superscript"/>
                    </w:rPr>
                    <w:t>3</w:t>
                  </w:r>
                  <w:r>
                    <w:rPr>
                      <w:rFonts w:hint="eastAsia"/>
                      <w:sz w:val="18"/>
                      <w:szCs w:val="18"/>
                    </w:rPr>
                    <w:t>）干化后做原料回用</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p>
              </w:tc>
              <w:tc>
                <w:tcPr>
                  <w:tcW w:w="645" w:type="dxa"/>
                  <w:vAlign w:val="center"/>
                </w:tcPr>
                <w:p>
                  <w:pPr>
                    <w:spacing w:line="260" w:lineRule="exact"/>
                    <w:ind w:left="-53" w:leftChars="-25" w:right="-53" w:rightChars="-25"/>
                    <w:jc w:val="center"/>
                    <w:rPr>
                      <w:sz w:val="18"/>
                      <w:szCs w:val="18"/>
                    </w:rPr>
                  </w:pPr>
                  <w:r>
                    <w:rPr>
                      <w:rFonts w:hint="eastAsia"/>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Merge w:val="continue"/>
                  <w:vAlign w:val="center"/>
                </w:tcPr>
                <w:p>
                  <w:pPr>
                    <w:spacing w:line="260" w:lineRule="exact"/>
                    <w:ind w:left="-53" w:leftChars="-25" w:right="-53" w:rightChars="-25"/>
                    <w:jc w:val="center"/>
                    <w:rPr>
                      <w:sz w:val="18"/>
                      <w:szCs w:val="18"/>
                    </w:rPr>
                  </w:pPr>
                </w:p>
              </w:tc>
              <w:tc>
                <w:tcPr>
                  <w:tcW w:w="3555" w:type="dxa"/>
                  <w:vAlign w:val="center"/>
                </w:tcPr>
                <w:p>
                  <w:pPr>
                    <w:spacing w:line="260" w:lineRule="exact"/>
                    <w:ind w:left="-53" w:leftChars="-25" w:right="-53" w:rightChars="-25"/>
                    <w:rPr>
                      <w:sz w:val="18"/>
                      <w:szCs w:val="18"/>
                    </w:rPr>
                  </w:pPr>
                  <w:r>
                    <w:rPr>
                      <w:rFonts w:hint="eastAsia"/>
                      <w:sz w:val="18"/>
                      <w:szCs w:val="18"/>
                    </w:rPr>
                    <w:t>生活垃圾：设垃圾桶收集，定期运至高明镇场镇垃圾收集点</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w:t>
                  </w:r>
                </w:p>
              </w:tc>
              <w:tc>
                <w:tcPr>
                  <w:tcW w:w="645" w:type="dxa"/>
                  <w:vAlign w:val="center"/>
                </w:tcPr>
                <w:p>
                  <w:pPr>
                    <w:spacing w:line="26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Merge w:val="continue"/>
                  <w:vAlign w:val="center"/>
                </w:tcPr>
                <w:p>
                  <w:pPr>
                    <w:spacing w:line="260" w:lineRule="exact"/>
                    <w:ind w:left="-53" w:leftChars="-25" w:right="-53" w:rightChars="-25"/>
                    <w:jc w:val="center"/>
                    <w:rPr>
                      <w:sz w:val="18"/>
                      <w:szCs w:val="18"/>
                    </w:rPr>
                  </w:pPr>
                </w:p>
              </w:tc>
              <w:tc>
                <w:tcPr>
                  <w:tcW w:w="3555" w:type="dxa"/>
                  <w:vAlign w:val="center"/>
                </w:tcPr>
                <w:p>
                  <w:pPr>
                    <w:spacing w:line="260" w:lineRule="exact"/>
                    <w:ind w:left="-53" w:leftChars="-25" w:right="-53" w:rightChars="-25"/>
                    <w:rPr>
                      <w:sz w:val="18"/>
                      <w:szCs w:val="18"/>
                    </w:rPr>
                  </w:pPr>
                  <w:r>
                    <w:rPr>
                      <w:rFonts w:hint="eastAsia"/>
                      <w:sz w:val="18"/>
                      <w:szCs w:val="18"/>
                    </w:rPr>
                    <w:t>危险废物：仅设置废机油临时储存点，未设规范的暂存间，不满足环保要求。</w:t>
                  </w:r>
                </w:p>
                <w:p>
                  <w:pPr>
                    <w:spacing w:line="260" w:lineRule="exact"/>
                    <w:ind w:left="-53" w:leftChars="-25" w:right="-53" w:rightChars="-25"/>
                    <w:rPr>
                      <w:sz w:val="18"/>
                      <w:szCs w:val="18"/>
                    </w:rPr>
                  </w:pPr>
                  <w:r>
                    <w:rPr>
                      <w:rFonts w:hint="eastAsia"/>
                      <w:b/>
                      <w:sz w:val="18"/>
                      <w:szCs w:val="18"/>
                    </w:rPr>
                    <w:t>整改措施：设置一个规范的危废间，建筑面积约20m</w:t>
                  </w:r>
                  <w:r>
                    <w:rPr>
                      <w:rFonts w:hint="eastAsia"/>
                      <w:b/>
                      <w:sz w:val="18"/>
                      <w:szCs w:val="18"/>
                      <w:vertAlign w:val="superscript"/>
                    </w:rPr>
                    <w:t>2</w:t>
                  </w:r>
                  <w:r>
                    <w:rPr>
                      <w:rFonts w:hint="eastAsia"/>
                      <w:b/>
                      <w:sz w:val="18"/>
                      <w:szCs w:val="18"/>
                    </w:rPr>
                    <w:t>，采取“四防”措施，委托有资质的单位回收处置，严格执行转移联单制度</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环境风险</w:t>
                  </w:r>
                </w:p>
              </w:tc>
              <w:tc>
                <w:tcPr>
                  <w:tcW w:w="645" w:type="dxa"/>
                  <w:vAlign w:val="center"/>
                </w:tcPr>
                <w:p>
                  <w:pPr>
                    <w:spacing w:line="260" w:lineRule="exact"/>
                    <w:ind w:left="-53" w:leftChars="-25" w:right="-53" w:rightChars="-25"/>
                    <w:jc w:val="center"/>
                    <w:rPr>
                      <w:b/>
                      <w:sz w:val="18"/>
                      <w:szCs w:val="18"/>
                    </w:rPr>
                  </w:pPr>
                  <w:r>
                    <w:rPr>
                      <w:rFonts w:hint="eastAsia"/>
                      <w:b/>
                      <w:sz w:val="18"/>
                      <w:szCs w:val="18"/>
                    </w:rPr>
                    <w:t>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622" w:type="dxa"/>
                  <w:vMerge w:val="continue"/>
                  <w:vAlign w:val="center"/>
                </w:tcPr>
                <w:p>
                  <w:pPr>
                    <w:spacing w:line="260" w:lineRule="exact"/>
                    <w:ind w:left="-53" w:leftChars="-25" w:right="-53" w:rightChars="-25"/>
                    <w:jc w:val="center"/>
                    <w:rPr>
                      <w:sz w:val="18"/>
                      <w:szCs w:val="18"/>
                    </w:rPr>
                  </w:pPr>
                </w:p>
              </w:tc>
              <w:tc>
                <w:tcPr>
                  <w:tcW w:w="948" w:type="dxa"/>
                  <w:vAlign w:val="center"/>
                </w:tcPr>
                <w:p>
                  <w:pPr>
                    <w:spacing w:line="260" w:lineRule="exact"/>
                    <w:ind w:left="-53" w:leftChars="-25" w:right="-53" w:rightChars="-25"/>
                    <w:jc w:val="center"/>
                    <w:rPr>
                      <w:sz w:val="18"/>
                      <w:szCs w:val="18"/>
                    </w:rPr>
                  </w:pPr>
                  <w:r>
                    <w:rPr>
                      <w:rFonts w:hint="eastAsia"/>
                      <w:sz w:val="18"/>
                      <w:szCs w:val="18"/>
                    </w:rPr>
                    <w:t>厂区绿化</w:t>
                  </w:r>
                </w:p>
              </w:tc>
              <w:tc>
                <w:tcPr>
                  <w:tcW w:w="3555" w:type="dxa"/>
                  <w:vAlign w:val="center"/>
                </w:tcPr>
                <w:p>
                  <w:pPr>
                    <w:spacing w:line="260" w:lineRule="exact"/>
                    <w:ind w:left="-53" w:leftChars="-25" w:right="-53" w:rightChars="-25"/>
                    <w:jc w:val="center"/>
                    <w:rPr>
                      <w:sz w:val="18"/>
                      <w:szCs w:val="18"/>
                      <w:vertAlign w:val="superscript"/>
                    </w:rPr>
                  </w:pPr>
                  <w:r>
                    <w:rPr>
                      <w:rFonts w:hint="eastAsia"/>
                      <w:sz w:val="18"/>
                      <w:szCs w:val="18"/>
                    </w:rPr>
                    <w:t>绿化面积约100m</w:t>
                  </w:r>
                  <w:r>
                    <w:rPr>
                      <w:rFonts w:hint="eastAsia"/>
                      <w:sz w:val="18"/>
                      <w:szCs w:val="18"/>
                      <w:vertAlign w:val="superscript"/>
                    </w:rPr>
                    <w:t>2</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jc w:val="center"/>
                    <w:rPr>
                      <w:sz w:val="18"/>
                      <w:szCs w:val="18"/>
                    </w:rPr>
                  </w:pPr>
                  <w:r>
                    <w:rPr>
                      <w:rFonts w:hint="eastAsia"/>
                      <w:sz w:val="18"/>
                      <w:szCs w:val="18"/>
                    </w:rPr>
                    <w:t>/</w:t>
                  </w:r>
                </w:p>
              </w:tc>
              <w:tc>
                <w:tcPr>
                  <w:tcW w:w="645" w:type="dxa"/>
                  <w:vAlign w:val="center"/>
                </w:tcPr>
                <w:p>
                  <w:pPr>
                    <w:spacing w:line="26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622" w:type="dxa"/>
                  <w:vAlign w:val="center"/>
                </w:tcPr>
                <w:p>
                  <w:pPr>
                    <w:spacing w:line="260" w:lineRule="exact"/>
                    <w:ind w:left="-53" w:leftChars="-25" w:right="-53" w:rightChars="-25"/>
                    <w:jc w:val="center"/>
                    <w:rPr>
                      <w:spacing w:val="-6"/>
                      <w:sz w:val="18"/>
                      <w:szCs w:val="18"/>
                    </w:rPr>
                  </w:pPr>
                  <w:r>
                    <w:rPr>
                      <w:rFonts w:hint="eastAsia"/>
                      <w:spacing w:val="-6"/>
                      <w:sz w:val="18"/>
                      <w:szCs w:val="18"/>
                    </w:rPr>
                    <w:t>办公及生活</w:t>
                  </w:r>
                </w:p>
              </w:tc>
              <w:tc>
                <w:tcPr>
                  <w:tcW w:w="4503" w:type="dxa"/>
                  <w:gridSpan w:val="2"/>
                  <w:vAlign w:val="center"/>
                </w:tcPr>
                <w:p>
                  <w:pPr>
                    <w:spacing w:line="260" w:lineRule="exact"/>
                    <w:ind w:left="-53" w:leftChars="-25" w:right="-53" w:rightChars="-25"/>
                    <w:rPr>
                      <w:sz w:val="18"/>
                      <w:szCs w:val="18"/>
                    </w:rPr>
                  </w:pPr>
                  <w:r>
                    <w:rPr>
                      <w:rFonts w:hint="eastAsia"/>
                      <w:sz w:val="18"/>
                      <w:szCs w:val="18"/>
                    </w:rPr>
                    <w:t>设办公楼1栋，建筑面积约120m</w:t>
                  </w:r>
                  <w:r>
                    <w:rPr>
                      <w:rFonts w:hint="eastAsia"/>
                      <w:sz w:val="18"/>
                      <w:szCs w:val="18"/>
                      <w:vertAlign w:val="superscript"/>
                    </w:rPr>
                    <w:t>2</w:t>
                  </w:r>
                  <w:r>
                    <w:rPr>
                      <w:rFonts w:hint="eastAsia"/>
                      <w:sz w:val="18"/>
                      <w:szCs w:val="18"/>
                    </w:rPr>
                    <w:t>、内设值班室、办公室、在线监测室等</w:t>
                  </w:r>
                </w:p>
              </w:tc>
              <w:tc>
                <w:tcPr>
                  <w:tcW w:w="869" w:type="dxa"/>
                  <w:vMerge w:val="continue"/>
                  <w:vAlign w:val="center"/>
                </w:tcPr>
                <w:p>
                  <w:pPr>
                    <w:spacing w:line="260" w:lineRule="exact"/>
                    <w:ind w:left="-53" w:leftChars="-25" w:right="-53" w:rightChars="-25"/>
                    <w:jc w:val="center"/>
                    <w:rPr>
                      <w:sz w:val="18"/>
                      <w:szCs w:val="18"/>
                    </w:rPr>
                  </w:pPr>
                </w:p>
              </w:tc>
              <w:tc>
                <w:tcPr>
                  <w:tcW w:w="1264" w:type="dxa"/>
                  <w:vAlign w:val="center"/>
                </w:tcPr>
                <w:p>
                  <w:pPr>
                    <w:spacing w:line="260" w:lineRule="exact"/>
                    <w:ind w:left="-53" w:leftChars="-25" w:right="-53" w:rightChars="-25"/>
                    <w:rPr>
                      <w:sz w:val="18"/>
                      <w:szCs w:val="18"/>
                    </w:rPr>
                  </w:pPr>
                  <w:r>
                    <w:rPr>
                      <w:rFonts w:hint="eastAsia"/>
                      <w:sz w:val="18"/>
                      <w:szCs w:val="18"/>
                    </w:rPr>
                    <w:t>生活污水、生活垃圾</w:t>
                  </w:r>
                </w:p>
              </w:tc>
              <w:tc>
                <w:tcPr>
                  <w:tcW w:w="645" w:type="dxa"/>
                  <w:vAlign w:val="center"/>
                </w:tcPr>
                <w:p>
                  <w:pPr>
                    <w:spacing w:line="260" w:lineRule="exact"/>
                    <w:ind w:left="-53" w:leftChars="-25" w:right="-53" w:rightChars="-25"/>
                    <w:jc w:val="center"/>
                    <w:rPr>
                      <w:sz w:val="18"/>
                      <w:szCs w:val="18"/>
                    </w:rPr>
                  </w:pPr>
                  <w:r>
                    <w:rPr>
                      <w:rFonts w:hint="eastAsia"/>
                      <w:sz w:val="18"/>
                      <w:szCs w:val="18"/>
                    </w:rPr>
                    <w:t>利旧</w:t>
                  </w:r>
                </w:p>
              </w:tc>
            </w:tr>
          </w:tbl>
          <w:p>
            <w:pPr>
              <w:adjustRightInd w:val="0"/>
              <w:snapToGrid w:val="0"/>
              <w:spacing w:line="400" w:lineRule="exact"/>
              <w:ind w:left="-53" w:leftChars="-25" w:right="-53" w:rightChars="-25"/>
              <w:jc w:val="center"/>
              <w:rPr>
                <w:rFonts w:eastAsia="黑体"/>
                <w:bCs/>
                <w:sz w:val="18"/>
                <w:szCs w:val="18"/>
              </w:rPr>
            </w:pPr>
            <w:r>
              <w:rPr>
                <w:rFonts w:eastAsia="黑体"/>
                <w:bCs/>
                <w:sz w:val="18"/>
                <w:szCs w:val="18"/>
              </w:rPr>
              <w:t>表</w:t>
            </w:r>
            <w:r>
              <w:rPr>
                <w:rFonts w:hint="eastAsia" w:eastAsia="黑体"/>
                <w:bCs/>
                <w:sz w:val="18"/>
                <w:szCs w:val="18"/>
              </w:rPr>
              <w:t>2-2     利旧现有工程设施可行性分析</w:t>
            </w:r>
          </w:p>
          <w:tbl>
            <w:tblPr>
              <w:tblStyle w:val="20"/>
              <w:tblW w:w="7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310"/>
              <w:gridCol w:w="1842"/>
              <w:gridCol w:w="3111"/>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jc w:val="center"/>
              </w:trPr>
              <w:tc>
                <w:tcPr>
                  <w:tcW w:w="771" w:type="dxa"/>
                  <w:vAlign w:val="center"/>
                </w:tcPr>
                <w:p>
                  <w:pPr>
                    <w:adjustRightInd w:val="0"/>
                    <w:snapToGrid w:val="0"/>
                    <w:spacing w:line="240" w:lineRule="exact"/>
                    <w:ind w:left="-53" w:leftChars="-25" w:right="-53" w:rightChars="-25"/>
                    <w:jc w:val="center"/>
                    <w:rPr>
                      <w:rFonts w:eastAsiaTheme="minorEastAsia"/>
                      <w:b/>
                      <w:bCs/>
                      <w:sz w:val="18"/>
                      <w:szCs w:val="18"/>
                    </w:rPr>
                  </w:pPr>
                  <w:r>
                    <w:rPr>
                      <w:rFonts w:eastAsiaTheme="minorEastAsia"/>
                      <w:b/>
                      <w:bCs/>
                      <w:sz w:val="18"/>
                      <w:szCs w:val="18"/>
                    </w:rPr>
                    <w:t>序号</w:t>
                  </w:r>
                </w:p>
              </w:tc>
              <w:tc>
                <w:tcPr>
                  <w:tcW w:w="1310" w:type="dxa"/>
                  <w:vAlign w:val="center"/>
                </w:tcPr>
                <w:p>
                  <w:pPr>
                    <w:adjustRightInd w:val="0"/>
                    <w:snapToGrid w:val="0"/>
                    <w:spacing w:line="240" w:lineRule="exact"/>
                    <w:ind w:left="-53" w:leftChars="-25" w:right="-53" w:rightChars="-25"/>
                    <w:jc w:val="center"/>
                    <w:rPr>
                      <w:rFonts w:eastAsiaTheme="minorEastAsia"/>
                      <w:b/>
                      <w:bCs/>
                      <w:sz w:val="18"/>
                      <w:szCs w:val="18"/>
                    </w:rPr>
                  </w:pPr>
                  <w:r>
                    <w:rPr>
                      <w:rFonts w:hint="eastAsia" w:eastAsiaTheme="minorEastAsia"/>
                      <w:b/>
                      <w:bCs/>
                      <w:sz w:val="18"/>
                      <w:szCs w:val="18"/>
                    </w:rPr>
                    <w:t>利旧设施</w:t>
                  </w:r>
                </w:p>
              </w:tc>
              <w:tc>
                <w:tcPr>
                  <w:tcW w:w="1842" w:type="dxa"/>
                  <w:vAlign w:val="center"/>
                </w:tcPr>
                <w:p>
                  <w:pPr>
                    <w:adjustRightInd w:val="0"/>
                    <w:snapToGrid w:val="0"/>
                    <w:spacing w:line="240" w:lineRule="exact"/>
                    <w:ind w:left="-53" w:leftChars="-25" w:right="-53" w:rightChars="-25"/>
                    <w:jc w:val="center"/>
                    <w:rPr>
                      <w:rFonts w:eastAsiaTheme="minorEastAsia"/>
                      <w:b/>
                      <w:bCs/>
                      <w:sz w:val="18"/>
                      <w:szCs w:val="18"/>
                    </w:rPr>
                  </w:pPr>
                  <w:r>
                    <w:rPr>
                      <w:rFonts w:hint="eastAsia" w:eastAsiaTheme="minorEastAsia"/>
                      <w:b/>
                      <w:bCs/>
                      <w:sz w:val="18"/>
                      <w:szCs w:val="18"/>
                    </w:rPr>
                    <w:t>技改后所需能力</w:t>
                  </w:r>
                </w:p>
              </w:tc>
              <w:tc>
                <w:tcPr>
                  <w:tcW w:w="3111" w:type="dxa"/>
                  <w:vAlign w:val="center"/>
                </w:tcPr>
                <w:p>
                  <w:pPr>
                    <w:adjustRightInd w:val="0"/>
                    <w:snapToGrid w:val="0"/>
                    <w:spacing w:line="240" w:lineRule="exact"/>
                    <w:ind w:left="-53" w:leftChars="-25" w:right="-53" w:rightChars="-25"/>
                    <w:jc w:val="center"/>
                    <w:rPr>
                      <w:rFonts w:eastAsiaTheme="minorEastAsia"/>
                      <w:b/>
                      <w:bCs/>
                      <w:sz w:val="18"/>
                      <w:szCs w:val="18"/>
                    </w:rPr>
                  </w:pPr>
                  <w:r>
                    <w:rPr>
                      <w:rFonts w:hint="eastAsia" w:eastAsiaTheme="minorEastAsia"/>
                      <w:b/>
                      <w:bCs/>
                      <w:sz w:val="18"/>
                      <w:szCs w:val="18"/>
                    </w:rPr>
                    <w:t>现有工程设施能力</w:t>
                  </w:r>
                </w:p>
              </w:tc>
              <w:tc>
                <w:tcPr>
                  <w:tcW w:w="733" w:type="dxa"/>
                  <w:vAlign w:val="center"/>
                </w:tcPr>
                <w:p>
                  <w:pPr>
                    <w:adjustRightInd w:val="0"/>
                    <w:snapToGrid w:val="0"/>
                    <w:spacing w:line="240" w:lineRule="exact"/>
                    <w:ind w:left="-53" w:leftChars="-25" w:right="-53" w:rightChars="-25"/>
                    <w:jc w:val="center"/>
                    <w:rPr>
                      <w:rFonts w:eastAsiaTheme="minorEastAsia"/>
                      <w:b/>
                      <w:bCs/>
                      <w:sz w:val="18"/>
                      <w:szCs w:val="18"/>
                    </w:rPr>
                  </w:pPr>
                  <w:r>
                    <w:rPr>
                      <w:rFonts w:hint="eastAsia" w:eastAsiaTheme="minorEastAsia"/>
                      <w:b/>
                      <w:bCs/>
                      <w:sz w:val="18"/>
                      <w:szCs w:val="18"/>
                    </w:rPr>
                    <w:t>利旧</w:t>
                  </w:r>
                </w:p>
                <w:p>
                  <w:pPr>
                    <w:adjustRightInd w:val="0"/>
                    <w:snapToGrid w:val="0"/>
                    <w:spacing w:line="240" w:lineRule="exact"/>
                    <w:ind w:left="-53" w:leftChars="-25" w:right="-53" w:rightChars="-25"/>
                    <w:jc w:val="center"/>
                    <w:rPr>
                      <w:rFonts w:eastAsiaTheme="minorEastAsia"/>
                      <w:b/>
                      <w:bCs/>
                      <w:sz w:val="18"/>
                      <w:szCs w:val="18"/>
                    </w:rPr>
                  </w:pPr>
                  <w:r>
                    <w:rPr>
                      <w:rFonts w:hint="eastAsia" w:eastAsiaTheme="minorEastAsia"/>
                      <w:b/>
                      <w:bCs/>
                      <w:sz w:val="18"/>
                      <w:szCs w:val="18"/>
                    </w:rPr>
                    <w:t>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jc w:val="center"/>
              </w:trPr>
              <w:tc>
                <w:tcPr>
                  <w:tcW w:w="771" w:type="dxa"/>
                  <w:vAlign w:val="center"/>
                </w:tcPr>
                <w:p>
                  <w:pPr>
                    <w:adjustRightInd w:val="0"/>
                    <w:snapToGrid w:val="0"/>
                    <w:spacing w:line="240" w:lineRule="exact"/>
                    <w:ind w:left="-53" w:leftChars="-25" w:right="-53" w:rightChars="-25"/>
                    <w:jc w:val="center"/>
                    <w:rPr>
                      <w:rFonts w:eastAsiaTheme="minorEastAsia"/>
                      <w:b/>
                      <w:bCs/>
                      <w:sz w:val="18"/>
                      <w:szCs w:val="18"/>
                    </w:rPr>
                  </w:pPr>
                  <w:r>
                    <w:rPr>
                      <w:rFonts w:eastAsiaTheme="minorEastAsia"/>
                      <w:b/>
                      <w:bCs/>
                      <w:sz w:val="18"/>
                      <w:szCs w:val="18"/>
                    </w:rPr>
                    <w:t>一</w:t>
                  </w:r>
                </w:p>
              </w:tc>
              <w:tc>
                <w:tcPr>
                  <w:tcW w:w="1310" w:type="dxa"/>
                  <w:vAlign w:val="center"/>
                </w:tcPr>
                <w:p>
                  <w:pPr>
                    <w:adjustRightInd w:val="0"/>
                    <w:snapToGrid w:val="0"/>
                    <w:spacing w:line="240" w:lineRule="exact"/>
                    <w:ind w:left="-53" w:leftChars="-25" w:right="-53" w:rightChars="-25"/>
                    <w:jc w:val="center"/>
                    <w:rPr>
                      <w:rFonts w:eastAsiaTheme="minorEastAsia"/>
                      <w:b/>
                      <w:bCs/>
                      <w:sz w:val="18"/>
                      <w:szCs w:val="18"/>
                    </w:rPr>
                  </w:pPr>
                  <w:r>
                    <w:rPr>
                      <w:rFonts w:hint="eastAsia" w:eastAsiaTheme="minorEastAsia"/>
                      <w:b/>
                      <w:bCs/>
                      <w:sz w:val="18"/>
                      <w:szCs w:val="18"/>
                    </w:rPr>
                    <w:t>主体工程</w:t>
                  </w:r>
                </w:p>
              </w:tc>
              <w:tc>
                <w:tcPr>
                  <w:tcW w:w="1842" w:type="dxa"/>
                  <w:vAlign w:val="center"/>
                </w:tcPr>
                <w:p>
                  <w:pPr>
                    <w:adjustRightInd w:val="0"/>
                    <w:snapToGrid w:val="0"/>
                    <w:spacing w:line="240" w:lineRule="exact"/>
                    <w:ind w:left="-53" w:leftChars="-25" w:right="-53" w:rightChars="-25"/>
                    <w:jc w:val="left"/>
                    <w:rPr>
                      <w:rFonts w:eastAsiaTheme="minorEastAsia"/>
                      <w:bCs/>
                      <w:sz w:val="18"/>
                      <w:szCs w:val="18"/>
                    </w:rPr>
                  </w:pPr>
                </w:p>
              </w:tc>
              <w:tc>
                <w:tcPr>
                  <w:tcW w:w="3111" w:type="dxa"/>
                  <w:vAlign w:val="center"/>
                </w:tcPr>
                <w:p>
                  <w:pPr>
                    <w:adjustRightInd w:val="0"/>
                    <w:snapToGrid w:val="0"/>
                    <w:spacing w:line="240" w:lineRule="exact"/>
                    <w:ind w:left="-53" w:leftChars="-25" w:right="-53" w:rightChars="-25"/>
                    <w:jc w:val="left"/>
                    <w:rPr>
                      <w:rFonts w:eastAsiaTheme="minorEastAsia"/>
                      <w:bCs/>
                      <w:sz w:val="18"/>
                      <w:szCs w:val="18"/>
                    </w:rPr>
                  </w:pPr>
                </w:p>
              </w:tc>
              <w:tc>
                <w:tcPr>
                  <w:tcW w:w="733" w:type="dxa"/>
                  <w:vAlign w:val="center"/>
                </w:tcPr>
                <w:p>
                  <w:pPr>
                    <w:adjustRightInd w:val="0"/>
                    <w:snapToGrid w:val="0"/>
                    <w:spacing w:line="240" w:lineRule="exact"/>
                    <w:ind w:left="-53" w:leftChars="-25" w:right="-53" w:rightChars="-25"/>
                    <w:jc w:val="center"/>
                    <w:rPr>
                      <w:rFonts w:eastAsia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771"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1</w:t>
                  </w:r>
                </w:p>
              </w:tc>
              <w:tc>
                <w:tcPr>
                  <w:tcW w:w="1310"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隧道窑</w:t>
                  </w:r>
                </w:p>
              </w:tc>
              <w:tc>
                <w:tcPr>
                  <w:tcW w:w="1842" w:type="dxa"/>
                  <w:vAlign w:val="center"/>
                </w:tcPr>
                <w:p>
                  <w:pPr>
                    <w:adjustRightInd w:val="0"/>
                    <w:snapToGrid w:val="0"/>
                    <w:spacing w:line="240" w:lineRule="exact"/>
                    <w:ind w:left="-53" w:leftChars="-25" w:right="-53" w:rightChars="-25"/>
                    <w:jc w:val="left"/>
                    <w:rPr>
                      <w:rFonts w:eastAsiaTheme="minorEastAsia"/>
                      <w:bCs/>
                      <w:sz w:val="18"/>
                      <w:szCs w:val="18"/>
                    </w:rPr>
                  </w:pPr>
                  <w:r>
                    <w:rPr>
                      <w:rFonts w:hint="eastAsia" w:eastAsiaTheme="minorEastAsia"/>
                      <w:bCs/>
                      <w:sz w:val="18"/>
                      <w:szCs w:val="18"/>
                    </w:rPr>
                    <w:t>技改后烧结砖工艺和产能不变，年产折标砖1000万匹</w:t>
                  </w:r>
                </w:p>
              </w:tc>
              <w:tc>
                <w:tcPr>
                  <w:tcW w:w="3111" w:type="dxa"/>
                  <w:vAlign w:val="center"/>
                </w:tcPr>
                <w:p>
                  <w:pPr>
                    <w:adjustRightInd w:val="0"/>
                    <w:snapToGrid w:val="0"/>
                    <w:spacing w:line="240" w:lineRule="exact"/>
                    <w:ind w:left="-53" w:leftChars="-25" w:right="-53" w:rightChars="-25"/>
                    <w:jc w:val="left"/>
                    <w:rPr>
                      <w:rFonts w:eastAsiaTheme="minorEastAsia"/>
                      <w:bCs/>
                      <w:sz w:val="18"/>
                      <w:szCs w:val="18"/>
                    </w:rPr>
                  </w:pPr>
                  <w:r>
                    <w:rPr>
                      <w:rFonts w:hint="eastAsia" w:eastAsiaTheme="minorEastAsia"/>
                      <w:bCs/>
                      <w:sz w:val="18"/>
                      <w:szCs w:val="18"/>
                    </w:rPr>
                    <w:t>隧道窑1座、窑体长80m、窑宽15m；设计年产折标砖1000万匹</w:t>
                  </w:r>
                </w:p>
              </w:tc>
              <w:tc>
                <w:tcPr>
                  <w:tcW w:w="733"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jc w:val="center"/>
              </w:trPr>
              <w:tc>
                <w:tcPr>
                  <w:tcW w:w="771"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2</w:t>
                  </w:r>
                </w:p>
              </w:tc>
              <w:tc>
                <w:tcPr>
                  <w:tcW w:w="1310" w:type="dxa"/>
                  <w:vAlign w:val="center"/>
                </w:tcPr>
                <w:p>
                  <w:pPr>
                    <w:spacing w:line="300" w:lineRule="exact"/>
                    <w:jc w:val="center"/>
                    <w:rPr>
                      <w:sz w:val="18"/>
                      <w:szCs w:val="18"/>
                    </w:rPr>
                  </w:pPr>
                  <w:r>
                    <w:rPr>
                      <w:rFonts w:hint="eastAsia"/>
                      <w:sz w:val="18"/>
                      <w:szCs w:val="18"/>
                    </w:rPr>
                    <w:t>破碎车间</w:t>
                  </w:r>
                </w:p>
              </w:tc>
              <w:tc>
                <w:tcPr>
                  <w:tcW w:w="1842" w:type="dxa"/>
                  <w:vAlign w:val="center"/>
                </w:tcPr>
                <w:p>
                  <w:pPr>
                    <w:spacing w:line="300" w:lineRule="exact"/>
                    <w:ind w:left="-105" w:leftChars="-50" w:right="-105" w:rightChars="-50"/>
                    <w:rPr>
                      <w:sz w:val="18"/>
                      <w:szCs w:val="18"/>
                    </w:rPr>
                  </w:pPr>
                  <w:r>
                    <w:rPr>
                      <w:rFonts w:hint="eastAsia"/>
                      <w:sz w:val="18"/>
                      <w:szCs w:val="18"/>
                    </w:rPr>
                    <w:t>技改后所需破碎的建筑废弃物及煤矸石约2.9万吨</w:t>
                  </w:r>
                </w:p>
              </w:tc>
              <w:tc>
                <w:tcPr>
                  <w:tcW w:w="3111" w:type="dxa"/>
                  <w:vAlign w:val="center"/>
                </w:tcPr>
                <w:p>
                  <w:pPr>
                    <w:adjustRightInd w:val="0"/>
                    <w:snapToGrid w:val="0"/>
                    <w:spacing w:line="240" w:lineRule="exact"/>
                    <w:ind w:left="-53" w:leftChars="-25" w:right="-53" w:rightChars="-25"/>
                    <w:jc w:val="left"/>
                    <w:rPr>
                      <w:rFonts w:eastAsiaTheme="minorEastAsia"/>
                      <w:bCs/>
                      <w:sz w:val="18"/>
                      <w:szCs w:val="18"/>
                    </w:rPr>
                  </w:pPr>
                  <w:r>
                    <w:rPr>
                      <w:rFonts w:hint="eastAsia"/>
                      <w:sz w:val="18"/>
                      <w:szCs w:val="18"/>
                    </w:rPr>
                    <w:t>1个，占地面积约350</w:t>
                  </w:r>
                  <w:r>
                    <w:rPr>
                      <w:sz w:val="18"/>
                      <w:szCs w:val="18"/>
                    </w:rPr>
                    <w:t>m</w:t>
                  </w:r>
                  <w:r>
                    <w:rPr>
                      <w:sz w:val="18"/>
                      <w:szCs w:val="18"/>
                      <w:vertAlign w:val="superscript"/>
                    </w:rPr>
                    <w:t>2</w:t>
                  </w:r>
                  <w:r>
                    <w:rPr>
                      <w:rFonts w:hint="eastAsia"/>
                      <w:sz w:val="18"/>
                      <w:szCs w:val="18"/>
                    </w:rPr>
                    <w:t>；主要设备有给料机、颚破机、粉碎机、筛分机等，设计年处理能力约10万吨</w:t>
                  </w:r>
                </w:p>
              </w:tc>
              <w:tc>
                <w:tcPr>
                  <w:tcW w:w="733"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jc w:val="center"/>
              </w:trPr>
              <w:tc>
                <w:tcPr>
                  <w:tcW w:w="771"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3</w:t>
                  </w:r>
                </w:p>
              </w:tc>
              <w:tc>
                <w:tcPr>
                  <w:tcW w:w="1310" w:type="dxa"/>
                  <w:vAlign w:val="center"/>
                </w:tcPr>
                <w:p>
                  <w:pPr>
                    <w:spacing w:line="300" w:lineRule="exact"/>
                    <w:jc w:val="center"/>
                    <w:rPr>
                      <w:sz w:val="18"/>
                      <w:szCs w:val="18"/>
                    </w:rPr>
                  </w:pPr>
                  <w:r>
                    <w:rPr>
                      <w:rFonts w:hint="eastAsia"/>
                      <w:sz w:val="18"/>
                      <w:szCs w:val="18"/>
                    </w:rPr>
                    <w:t>制砖车间</w:t>
                  </w:r>
                </w:p>
              </w:tc>
              <w:tc>
                <w:tcPr>
                  <w:tcW w:w="1842" w:type="dxa"/>
                  <w:vAlign w:val="center"/>
                </w:tcPr>
                <w:p>
                  <w:pPr>
                    <w:spacing w:line="300" w:lineRule="exact"/>
                    <w:ind w:left="-105" w:leftChars="-50" w:right="-105" w:rightChars="-50"/>
                    <w:jc w:val="center"/>
                    <w:rPr>
                      <w:sz w:val="18"/>
                      <w:szCs w:val="18"/>
                    </w:rPr>
                  </w:pPr>
                  <w:r>
                    <w:rPr>
                      <w:rFonts w:hint="eastAsia"/>
                      <w:sz w:val="18"/>
                      <w:szCs w:val="18"/>
                    </w:rPr>
                    <w:t>技改后生产规模不变</w:t>
                  </w:r>
                </w:p>
              </w:tc>
              <w:tc>
                <w:tcPr>
                  <w:tcW w:w="3111" w:type="dxa"/>
                  <w:vAlign w:val="center"/>
                </w:tcPr>
                <w:p>
                  <w:pPr>
                    <w:adjustRightInd w:val="0"/>
                    <w:snapToGrid w:val="0"/>
                    <w:spacing w:line="240" w:lineRule="exact"/>
                    <w:ind w:left="-53" w:leftChars="-25" w:right="-53" w:rightChars="-25"/>
                    <w:jc w:val="left"/>
                    <w:rPr>
                      <w:sz w:val="18"/>
                      <w:szCs w:val="18"/>
                    </w:rPr>
                  </w:pPr>
                  <w:r>
                    <w:rPr>
                      <w:rFonts w:hint="eastAsia"/>
                      <w:sz w:val="18"/>
                      <w:szCs w:val="18"/>
                    </w:rPr>
                    <w:t>1个，占地</w:t>
                  </w:r>
                  <w:r>
                    <w:rPr>
                      <w:sz w:val="18"/>
                      <w:szCs w:val="18"/>
                    </w:rPr>
                    <w:t>面积约</w:t>
                  </w:r>
                  <w:r>
                    <w:rPr>
                      <w:rFonts w:hint="eastAsia"/>
                      <w:sz w:val="18"/>
                      <w:szCs w:val="18"/>
                    </w:rPr>
                    <w:t>120</w:t>
                  </w:r>
                  <w:r>
                    <w:rPr>
                      <w:sz w:val="18"/>
                      <w:szCs w:val="18"/>
                    </w:rPr>
                    <w:t>0m</w:t>
                  </w:r>
                  <w:r>
                    <w:rPr>
                      <w:sz w:val="18"/>
                      <w:szCs w:val="18"/>
                      <w:vertAlign w:val="superscript"/>
                    </w:rPr>
                    <w:t>2</w:t>
                  </w:r>
                  <w:r>
                    <w:rPr>
                      <w:rFonts w:hint="eastAsia"/>
                      <w:sz w:val="18"/>
                      <w:szCs w:val="18"/>
                    </w:rPr>
                    <w:t>；主要设备有自动挤砖机、自动切条机、自动切坯机等，年制砖能力</w:t>
                  </w:r>
                  <w:r>
                    <w:rPr>
                      <w:rFonts w:hint="eastAsia" w:eastAsiaTheme="minorEastAsia"/>
                      <w:bCs/>
                      <w:sz w:val="18"/>
                      <w:szCs w:val="18"/>
                    </w:rPr>
                    <w:t>1000万</w:t>
                  </w:r>
                  <w:r>
                    <w:rPr>
                      <w:rFonts w:hint="eastAsia"/>
                      <w:sz w:val="18"/>
                      <w:szCs w:val="18"/>
                    </w:rPr>
                    <w:t>匹</w:t>
                  </w:r>
                </w:p>
              </w:tc>
              <w:tc>
                <w:tcPr>
                  <w:tcW w:w="733"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jc w:val="center"/>
              </w:trPr>
              <w:tc>
                <w:tcPr>
                  <w:tcW w:w="771" w:type="dxa"/>
                  <w:vAlign w:val="center"/>
                </w:tcPr>
                <w:p>
                  <w:pPr>
                    <w:adjustRightInd w:val="0"/>
                    <w:snapToGrid w:val="0"/>
                    <w:spacing w:line="240" w:lineRule="exact"/>
                    <w:ind w:left="-53" w:leftChars="-25" w:right="-53" w:rightChars="-25"/>
                    <w:jc w:val="center"/>
                    <w:rPr>
                      <w:rFonts w:eastAsiaTheme="minorEastAsia"/>
                      <w:b/>
                      <w:bCs/>
                      <w:sz w:val="18"/>
                      <w:szCs w:val="18"/>
                    </w:rPr>
                  </w:pPr>
                  <w:r>
                    <w:rPr>
                      <w:rFonts w:eastAsiaTheme="minorEastAsia"/>
                      <w:b/>
                      <w:bCs/>
                      <w:sz w:val="18"/>
                      <w:szCs w:val="18"/>
                    </w:rPr>
                    <w:t>二</w:t>
                  </w:r>
                </w:p>
              </w:tc>
              <w:tc>
                <w:tcPr>
                  <w:tcW w:w="1310" w:type="dxa"/>
                  <w:vAlign w:val="center"/>
                </w:tcPr>
                <w:p>
                  <w:pPr>
                    <w:adjustRightInd w:val="0"/>
                    <w:snapToGrid w:val="0"/>
                    <w:spacing w:line="240" w:lineRule="exact"/>
                    <w:ind w:left="-53" w:leftChars="-25" w:right="-53" w:rightChars="-25"/>
                    <w:jc w:val="center"/>
                    <w:rPr>
                      <w:rFonts w:eastAsiaTheme="minorEastAsia"/>
                      <w:b/>
                      <w:bCs/>
                      <w:sz w:val="18"/>
                      <w:szCs w:val="18"/>
                    </w:rPr>
                  </w:pPr>
                  <w:r>
                    <w:rPr>
                      <w:rFonts w:hint="eastAsia" w:eastAsiaTheme="minorEastAsia"/>
                      <w:b/>
                      <w:bCs/>
                      <w:sz w:val="18"/>
                      <w:szCs w:val="18"/>
                    </w:rPr>
                    <w:t>辅助公用工程</w:t>
                  </w:r>
                </w:p>
              </w:tc>
              <w:tc>
                <w:tcPr>
                  <w:tcW w:w="1842" w:type="dxa"/>
                  <w:vAlign w:val="center"/>
                </w:tcPr>
                <w:p>
                  <w:pPr>
                    <w:adjustRightInd w:val="0"/>
                    <w:snapToGrid w:val="0"/>
                    <w:spacing w:line="240" w:lineRule="exact"/>
                    <w:ind w:left="-53" w:leftChars="-25" w:right="-53" w:rightChars="-25"/>
                    <w:jc w:val="left"/>
                    <w:rPr>
                      <w:rFonts w:eastAsiaTheme="minorEastAsia"/>
                      <w:bCs/>
                      <w:sz w:val="18"/>
                      <w:szCs w:val="18"/>
                    </w:rPr>
                  </w:pPr>
                </w:p>
              </w:tc>
              <w:tc>
                <w:tcPr>
                  <w:tcW w:w="3111" w:type="dxa"/>
                  <w:vAlign w:val="center"/>
                </w:tcPr>
                <w:p>
                  <w:pPr>
                    <w:adjustRightInd w:val="0"/>
                    <w:snapToGrid w:val="0"/>
                    <w:spacing w:line="240" w:lineRule="exact"/>
                    <w:ind w:left="-53" w:leftChars="-25" w:right="-53" w:rightChars="-25"/>
                    <w:jc w:val="left"/>
                    <w:rPr>
                      <w:rFonts w:eastAsiaTheme="minorEastAsia"/>
                      <w:bCs/>
                      <w:sz w:val="18"/>
                      <w:szCs w:val="18"/>
                    </w:rPr>
                  </w:pPr>
                </w:p>
              </w:tc>
              <w:tc>
                <w:tcPr>
                  <w:tcW w:w="733" w:type="dxa"/>
                  <w:vAlign w:val="center"/>
                </w:tcPr>
                <w:p>
                  <w:pPr>
                    <w:adjustRightInd w:val="0"/>
                    <w:snapToGrid w:val="0"/>
                    <w:spacing w:line="240" w:lineRule="exact"/>
                    <w:ind w:left="-53" w:leftChars="-25" w:right="-53" w:rightChars="-25"/>
                    <w:jc w:val="center"/>
                    <w:rPr>
                      <w:rFonts w:eastAsia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jc w:val="center"/>
              </w:trPr>
              <w:tc>
                <w:tcPr>
                  <w:tcW w:w="771"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1</w:t>
                  </w:r>
                </w:p>
              </w:tc>
              <w:tc>
                <w:tcPr>
                  <w:tcW w:w="1310" w:type="dxa"/>
                  <w:vAlign w:val="center"/>
                </w:tcPr>
                <w:p>
                  <w:pPr>
                    <w:spacing w:line="300" w:lineRule="exact"/>
                    <w:jc w:val="center"/>
                    <w:rPr>
                      <w:sz w:val="18"/>
                      <w:szCs w:val="18"/>
                    </w:rPr>
                  </w:pPr>
                  <w:r>
                    <w:rPr>
                      <w:rFonts w:hint="eastAsia"/>
                      <w:sz w:val="18"/>
                      <w:szCs w:val="18"/>
                    </w:rPr>
                    <w:t>供电设施</w:t>
                  </w:r>
                </w:p>
              </w:tc>
              <w:tc>
                <w:tcPr>
                  <w:tcW w:w="1842" w:type="dxa"/>
                  <w:vAlign w:val="center"/>
                </w:tcPr>
                <w:p>
                  <w:pPr>
                    <w:spacing w:line="300" w:lineRule="exact"/>
                    <w:ind w:left="-105" w:leftChars="-50" w:right="-105" w:rightChars="-50"/>
                    <w:rPr>
                      <w:sz w:val="18"/>
                      <w:szCs w:val="18"/>
                    </w:rPr>
                  </w:pPr>
                  <w:r>
                    <w:rPr>
                      <w:rFonts w:hint="eastAsia"/>
                      <w:sz w:val="18"/>
                      <w:szCs w:val="18"/>
                    </w:rPr>
                    <w:t>技改后新增用电设备较少</w:t>
                  </w:r>
                </w:p>
              </w:tc>
              <w:tc>
                <w:tcPr>
                  <w:tcW w:w="3111" w:type="dxa"/>
                  <w:vAlign w:val="center"/>
                </w:tcPr>
                <w:p>
                  <w:pPr>
                    <w:spacing w:line="300" w:lineRule="exact"/>
                    <w:ind w:left="-105" w:leftChars="-50" w:right="-105" w:rightChars="-50"/>
                    <w:rPr>
                      <w:sz w:val="18"/>
                      <w:szCs w:val="18"/>
                    </w:rPr>
                  </w:pPr>
                  <w:r>
                    <w:rPr>
                      <w:rFonts w:hint="eastAsia"/>
                      <w:sz w:val="18"/>
                      <w:szCs w:val="18"/>
                    </w:rPr>
                    <w:t>电源来自于场镇供电电网，厂内设变压器1个，共1000KVA</w:t>
                  </w:r>
                </w:p>
              </w:tc>
              <w:tc>
                <w:tcPr>
                  <w:tcW w:w="733"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jc w:val="center"/>
              </w:trPr>
              <w:tc>
                <w:tcPr>
                  <w:tcW w:w="771"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2</w:t>
                  </w:r>
                </w:p>
              </w:tc>
              <w:tc>
                <w:tcPr>
                  <w:tcW w:w="1310" w:type="dxa"/>
                  <w:vAlign w:val="center"/>
                </w:tcPr>
                <w:p>
                  <w:pPr>
                    <w:spacing w:line="300" w:lineRule="exact"/>
                    <w:jc w:val="center"/>
                    <w:rPr>
                      <w:sz w:val="18"/>
                      <w:szCs w:val="18"/>
                    </w:rPr>
                  </w:pPr>
                  <w:r>
                    <w:rPr>
                      <w:rFonts w:hint="eastAsia"/>
                      <w:sz w:val="18"/>
                      <w:szCs w:val="18"/>
                    </w:rPr>
                    <w:t>供水设施</w:t>
                  </w:r>
                </w:p>
              </w:tc>
              <w:tc>
                <w:tcPr>
                  <w:tcW w:w="1842" w:type="dxa"/>
                  <w:vAlign w:val="center"/>
                </w:tcPr>
                <w:p>
                  <w:pPr>
                    <w:spacing w:line="300" w:lineRule="exact"/>
                    <w:ind w:left="-105" w:leftChars="-50" w:right="-105" w:rightChars="-50"/>
                    <w:rPr>
                      <w:sz w:val="18"/>
                      <w:szCs w:val="18"/>
                    </w:rPr>
                  </w:pPr>
                  <w:r>
                    <w:rPr>
                      <w:sz w:val="18"/>
                      <w:szCs w:val="18"/>
                    </w:rPr>
                    <w:t>技改后制砖原料搅拌用水量较现有工程减少了，</w:t>
                  </w:r>
                </w:p>
              </w:tc>
              <w:tc>
                <w:tcPr>
                  <w:tcW w:w="3111" w:type="dxa"/>
                  <w:vAlign w:val="center"/>
                </w:tcPr>
                <w:p>
                  <w:pPr>
                    <w:spacing w:line="300" w:lineRule="exact"/>
                    <w:ind w:left="-105" w:leftChars="-50" w:right="-105" w:rightChars="-50"/>
                    <w:rPr>
                      <w:sz w:val="18"/>
                      <w:szCs w:val="18"/>
                    </w:rPr>
                  </w:pPr>
                  <w:r>
                    <w:rPr>
                      <w:sz w:val="18"/>
                      <w:szCs w:val="18"/>
                    </w:rPr>
                    <w:t>生产</w:t>
                  </w:r>
                  <w:r>
                    <w:rPr>
                      <w:rFonts w:hint="eastAsia"/>
                      <w:sz w:val="18"/>
                      <w:szCs w:val="18"/>
                    </w:rPr>
                    <w:t>、</w:t>
                  </w:r>
                  <w:r>
                    <w:rPr>
                      <w:sz w:val="18"/>
                      <w:szCs w:val="18"/>
                    </w:rPr>
                    <w:t>生活用水来自自打井水及收集的大气降雨，能够满足生产生活需求</w:t>
                  </w:r>
                </w:p>
              </w:tc>
              <w:tc>
                <w:tcPr>
                  <w:tcW w:w="733"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jc w:val="center"/>
              </w:trPr>
              <w:tc>
                <w:tcPr>
                  <w:tcW w:w="771" w:type="dxa"/>
                  <w:vAlign w:val="center"/>
                </w:tcPr>
                <w:p>
                  <w:pPr>
                    <w:adjustRightInd w:val="0"/>
                    <w:snapToGrid w:val="0"/>
                    <w:spacing w:line="240" w:lineRule="exact"/>
                    <w:ind w:left="-53" w:leftChars="-25" w:right="-53" w:rightChars="-25"/>
                    <w:jc w:val="center"/>
                    <w:rPr>
                      <w:rFonts w:eastAsiaTheme="minorEastAsia"/>
                      <w:b/>
                      <w:bCs/>
                      <w:sz w:val="18"/>
                      <w:szCs w:val="18"/>
                    </w:rPr>
                  </w:pPr>
                  <w:r>
                    <w:rPr>
                      <w:rFonts w:eastAsiaTheme="minorEastAsia"/>
                      <w:b/>
                      <w:bCs/>
                      <w:sz w:val="18"/>
                      <w:szCs w:val="18"/>
                    </w:rPr>
                    <w:t>三</w:t>
                  </w:r>
                </w:p>
              </w:tc>
              <w:tc>
                <w:tcPr>
                  <w:tcW w:w="1310" w:type="dxa"/>
                  <w:vAlign w:val="center"/>
                </w:tcPr>
                <w:p>
                  <w:pPr>
                    <w:spacing w:line="300" w:lineRule="exact"/>
                    <w:jc w:val="center"/>
                    <w:rPr>
                      <w:b/>
                      <w:sz w:val="18"/>
                      <w:szCs w:val="18"/>
                    </w:rPr>
                  </w:pPr>
                  <w:r>
                    <w:rPr>
                      <w:rFonts w:hint="eastAsia"/>
                      <w:b/>
                      <w:sz w:val="18"/>
                      <w:szCs w:val="18"/>
                    </w:rPr>
                    <w:t>环保工程</w:t>
                  </w:r>
                </w:p>
              </w:tc>
              <w:tc>
                <w:tcPr>
                  <w:tcW w:w="1842" w:type="dxa"/>
                  <w:vAlign w:val="center"/>
                </w:tcPr>
                <w:p>
                  <w:pPr>
                    <w:spacing w:line="300" w:lineRule="exact"/>
                    <w:ind w:left="-105" w:leftChars="-50" w:right="-105" w:rightChars="-50"/>
                    <w:rPr>
                      <w:sz w:val="18"/>
                      <w:szCs w:val="18"/>
                    </w:rPr>
                  </w:pPr>
                </w:p>
              </w:tc>
              <w:tc>
                <w:tcPr>
                  <w:tcW w:w="3111" w:type="dxa"/>
                  <w:vAlign w:val="center"/>
                </w:tcPr>
                <w:p>
                  <w:pPr>
                    <w:spacing w:line="300" w:lineRule="exact"/>
                    <w:ind w:left="-105" w:leftChars="-50" w:right="-105" w:rightChars="-50"/>
                    <w:rPr>
                      <w:sz w:val="18"/>
                      <w:szCs w:val="18"/>
                    </w:rPr>
                  </w:pPr>
                </w:p>
              </w:tc>
              <w:tc>
                <w:tcPr>
                  <w:tcW w:w="733" w:type="dxa"/>
                  <w:vAlign w:val="center"/>
                </w:tcPr>
                <w:p>
                  <w:pPr>
                    <w:adjustRightInd w:val="0"/>
                    <w:snapToGrid w:val="0"/>
                    <w:spacing w:line="240" w:lineRule="exact"/>
                    <w:ind w:left="-53" w:leftChars="-25" w:right="-53" w:rightChars="-25"/>
                    <w:jc w:val="center"/>
                    <w:rPr>
                      <w:rFonts w:eastAsia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71"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1</w:t>
                  </w:r>
                </w:p>
              </w:tc>
              <w:tc>
                <w:tcPr>
                  <w:tcW w:w="1310" w:type="dxa"/>
                  <w:vMerge w:val="restart"/>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废气处理</w:t>
                  </w:r>
                </w:p>
              </w:tc>
              <w:tc>
                <w:tcPr>
                  <w:tcW w:w="1842" w:type="dxa"/>
                  <w:vAlign w:val="center"/>
                </w:tcPr>
                <w:p>
                  <w:pPr>
                    <w:adjustRightInd w:val="0"/>
                    <w:snapToGrid w:val="0"/>
                    <w:spacing w:line="240" w:lineRule="exact"/>
                    <w:ind w:left="-53" w:leftChars="-25" w:right="-53" w:rightChars="-25"/>
                    <w:jc w:val="left"/>
                    <w:rPr>
                      <w:rFonts w:eastAsiaTheme="minorEastAsia"/>
                      <w:bCs/>
                      <w:sz w:val="18"/>
                      <w:szCs w:val="18"/>
                    </w:rPr>
                  </w:pPr>
                  <w:r>
                    <w:rPr>
                      <w:rFonts w:hint="eastAsia" w:eastAsiaTheme="minorEastAsia"/>
                      <w:bCs/>
                      <w:sz w:val="18"/>
                      <w:szCs w:val="18"/>
                    </w:rPr>
                    <w:t>需破碎原料年消耗量降低，预处理时利用现有破碎车间废气治理设施</w:t>
                  </w:r>
                </w:p>
              </w:tc>
              <w:tc>
                <w:tcPr>
                  <w:tcW w:w="3111" w:type="dxa"/>
                  <w:vAlign w:val="center"/>
                </w:tcPr>
                <w:p>
                  <w:pPr>
                    <w:spacing w:line="300" w:lineRule="exact"/>
                    <w:ind w:left="-105" w:leftChars="-50" w:right="-105" w:rightChars="-50"/>
                    <w:rPr>
                      <w:spacing w:val="-2"/>
                      <w:sz w:val="18"/>
                      <w:szCs w:val="18"/>
                    </w:rPr>
                  </w:pPr>
                  <w:r>
                    <w:rPr>
                      <w:rFonts w:hint="eastAsia"/>
                      <w:spacing w:val="-2"/>
                      <w:sz w:val="18"/>
                      <w:szCs w:val="18"/>
                    </w:rPr>
                    <w:t>破碎车间粉尘：粉碎筛分</w:t>
                  </w:r>
                  <w:r>
                    <w:rPr>
                      <w:spacing w:val="-2"/>
                      <w:sz w:val="18"/>
                      <w:szCs w:val="18"/>
                    </w:rPr>
                    <w:t>车间密闭，</w:t>
                  </w:r>
                  <w:r>
                    <w:rPr>
                      <w:rFonts w:hint="eastAsia"/>
                      <w:spacing w:val="-2"/>
                      <w:sz w:val="18"/>
                      <w:szCs w:val="18"/>
                    </w:rPr>
                    <w:t>安装袋式除尘器；颚式</w:t>
                  </w:r>
                  <w:r>
                    <w:rPr>
                      <w:spacing w:val="-2"/>
                      <w:sz w:val="18"/>
                      <w:szCs w:val="18"/>
                    </w:rPr>
                    <w:t>破碎机进料口安装喷雾洒水装置</w:t>
                  </w:r>
                </w:p>
              </w:tc>
              <w:tc>
                <w:tcPr>
                  <w:tcW w:w="733"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771"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2</w:t>
                  </w:r>
                </w:p>
              </w:tc>
              <w:tc>
                <w:tcPr>
                  <w:tcW w:w="1310" w:type="dxa"/>
                  <w:vMerge w:val="continue"/>
                  <w:vAlign w:val="center"/>
                </w:tcPr>
                <w:p>
                  <w:pPr>
                    <w:adjustRightInd w:val="0"/>
                    <w:snapToGrid w:val="0"/>
                    <w:spacing w:line="240" w:lineRule="exact"/>
                    <w:ind w:left="-53" w:leftChars="-25" w:right="-53" w:rightChars="-25"/>
                    <w:jc w:val="center"/>
                    <w:rPr>
                      <w:rFonts w:eastAsiaTheme="minorEastAsia"/>
                      <w:bCs/>
                      <w:sz w:val="18"/>
                      <w:szCs w:val="18"/>
                    </w:rPr>
                  </w:pPr>
                </w:p>
              </w:tc>
              <w:tc>
                <w:tcPr>
                  <w:tcW w:w="1842" w:type="dxa"/>
                  <w:vAlign w:val="center"/>
                </w:tcPr>
                <w:p>
                  <w:pPr>
                    <w:adjustRightInd w:val="0"/>
                    <w:snapToGrid w:val="0"/>
                    <w:spacing w:line="240" w:lineRule="exact"/>
                    <w:ind w:left="-53" w:leftChars="-25" w:right="-53" w:rightChars="-25"/>
                    <w:jc w:val="left"/>
                    <w:rPr>
                      <w:rFonts w:eastAsiaTheme="minorEastAsia"/>
                      <w:bCs/>
                      <w:sz w:val="18"/>
                      <w:szCs w:val="18"/>
                    </w:rPr>
                  </w:pPr>
                  <w:r>
                    <w:rPr>
                      <w:rFonts w:hint="eastAsia" w:eastAsiaTheme="minorEastAsia"/>
                      <w:bCs/>
                      <w:sz w:val="18"/>
                      <w:szCs w:val="18"/>
                    </w:rPr>
                    <w:t>技改后砖窑废气的污染物仍以SO</w:t>
                  </w:r>
                  <w:r>
                    <w:rPr>
                      <w:rFonts w:hint="eastAsia" w:eastAsiaTheme="minorEastAsia"/>
                      <w:bCs/>
                      <w:sz w:val="18"/>
                      <w:szCs w:val="18"/>
                      <w:vertAlign w:val="subscript"/>
                    </w:rPr>
                    <w:t>2</w:t>
                  </w:r>
                  <w:r>
                    <w:rPr>
                      <w:rFonts w:hint="eastAsia" w:eastAsiaTheme="minorEastAsia"/>
                      <w:bCs/>
                      <w:sz w:val="18"/>
                      <w:szCs w:val="18"/>
                    </w:rPr>
                    <w:t>、NO</w:t>
                  </w:r>
                  <w:r>
                    <w:rPr>
                      <w:rFonts w:hint="eastAsia" w:eastAsiaTheme="minorEastAsia"/>
                      <w:bCs/>
                      <w:sz w:val="18"/>
                      <w:szCs w:val="18"/>
                      <w:vertAlign w:val="subscript"/>
                    </w:rPr>
                    <w:t>x</w:t>
                  </w:r>
                  <w:r>
                    <w:rPr>
                      <w:rFonts w:hint="eastAsia" w:eastAsiaTheme="minorEastAsia"/>
                      <w:bCs/>
                      <w:sz w:val="18"/>
                      <w:szCs w:val="18"/>
                    </w:rPr>
                    <w:t>为主，处理设施仍利用现有钠碱湿法脱硫塔</w:t>
                  </w:r>
                </w:p>
              </w:tc>
              <w:tc>
                <w:tcPr>
                  <w:tcW w:w="3111" w:type="dxa"/>
                  <w:vAlign w:val="center"/>
                </w:tcPr>
                <w:p>
                  <w:pPr>
                    <w:spacing w:line="300" w:lineRule="exact"/>
                    <w:ind w:left="-105" w:leftChars="-50" w:right="-105" w:rightChars="-50"/>
                    <w:rPr>
                      <w:sz w:val="18"/>
                      <w:szCs w:val="18"/>
                    </w:rPr>
                  </w:pPr>
                  <w:r>
                    <w:rPr>
                      <w:rFonts w:hint="eastAsia"/>
                      <w:sz w:val="18"/>
                      <w:szCs w:val="18"/>
                    </w:rPr>
                    <w:t>砖窑废气：由引风机引至湿法脱硫设施处理，采用“</w:t>
                  </w:r>
                  <w:r>
                    <w:rPr>
                      <w:rFonts w:hint="eastAsia" w:eastAsiaTheme="minorEastAsia"/>
                      <w:bCs/>
                      <w:sz w:val="18"/>
                      <w:szCs w:val="18"/>
                    </w:rPr>
                    <w:t>钠碱湿法脱硫</w:t>
                  </w:r>
                  <w:r>
                    <w:rPr>
                      <w:rFonts w:hint="eastAsia"/>
                      <w:sz w:val="18"/>
                      <w:szCs w:val="18"/>
                    </w:rPr>
                    <w:t>”工艺，处理后的废气经1根15m高的排气筒高空排放</w:t>
                  </w:r>
                </w:p>
              </w:tc>
              <w:tc>
                <w:tcPr>
                  <w:tcW w:w="733"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jc w:val="center"/>
              </w:trPr>
              <w:tc>
                <w:tcPr>
                  <w:tcW w:w="771"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3</w:t>
                  </w:r>
                </w:p>
              </w:tc>
              <w:tc>
                <w:tcPr>
                  <w:tcW w:w="1310"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废水处理</w:t>
                  </w:r>
                </w:p>
              </w:tc>
              <w:tc>
                <w:tcPr>
                  <w:tcW w:w="1842" w:type="dxa"/>
                  <w:vAlign w:val="center"/>
                </w:tcPr>
                <w:p>
                  <w:pPr>
                    <w:adjustRightInd w:val="0"/>
                    <w:snapToGrid w:val="0"/>
                    <w:spacing w:line="240" w:lineRule="exact"/>
                    <w:ind w:left="-53" w:leftChars="-25" w:right="-53" w:rightChars="-25"/>
                    <w:jc w:val="left"/>
                    <w:rPr>
                      <w:rFonts w:eastAsiaTheme="minorEastAsia"/>
                      <w:bCs/>
                      <w:sz w:val="18"/>
                      <w:szCs w:val="18"/>
                    </w:rPr>
                  </w:pPr>
                  <w:r>
                    <w:rPr>
                      <w:rFonts w:hint="eastAsia" w:eastAsiaTheme="minorEastAsia"/>
                      <w:bCs/>
                      <w:sz w:val="18"/>
                      <w:szCs w:val="18"/>
                    </w:rPr>
                    <w:t>技改后脱硫废水污染物种类和产生量不变</w:t>
                  </w:r>
                </w:p>
              </w:tc>
              <w:tc>
                <w:tcPr>
                  <w:tcW w:w="3111" w:type="dxa"/>
                  <w:vAlign w:val="center"/>
                </w:tcPr>
                <w:p>
                  <w:pPr>
                    <w:spacing w:line="300" w:lineRule="exact"/>
                    <w:ind w:left="-105" w:leftChars="-50" w:right="-105" w:rightChars="-50"/>
                    <w:rPr>
                      <w:sz w:val="18"/>
                      <w:szCs w:val="18"/>
                    </w:rPr>
                  </w:pPr>
                  <w:r>
                    <w:rPr>
                      <w:rFonts w:hint="eastAsia"/>
                      <w:sz w:val="18"/>
                      <w:szCs w:val="18"/>
                    </w:rPr>
                    <w:t>脱硫废水：修建水循环系统，包括“再生池+沉淀池+澄清池”总容积200</w:t>
                  </w:r>
                  <w:r>
                    <w:rPr>
                      <w:sz w:val="18"/>
                      <w:szCs w:val="18"/>
                    </w:rPr>
                    <w:t>m</w:t>
                  </w:r>
                  <w:r>
                    <w:rPr>
                      <w:sz w:val="18"/>
                      <w:szCs w:val="18"/>
                      <w:vertAlign w:val="superscript"/>
                    </w:rPr>
                    <w:t>3</w:t>
                  </w:r>
                  <w:r>
                    <w:rPr>
                      <w:sz w:val="18"/>
                      <w:szCs w:val="18"/>
                    </w:rPr>
                    <w:t>；再生处理后全部回用，不外排</w:t>
                  </w:r>
                </w:p>
              </w:tc>
              <w:tc>
                <w:tcPr>
                  <w:tcW w:w="733"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771"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4</w:t>
                  </w:r>
                </w:p>
              </w:tc>
              <w:tc>
                <w:tcPr>
                  <w:tcW w:w="1310" w:type="dxa"/>
                  <w:vMerge w:val="restart"/>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固废处置</w:t>
                  </w:r>
                </w:p>
              </w:tc>
              <w:tc>
                <w:tcPr>
                  <w:tcW w:w="1842" w:type="dxa"/>
                  <w:vAlign w:val="center"/>
                </w:tcPr>
                <w:p>
                  <w:pPr>
                    <w:adjustRightInd w:val="0"/>
                    <w:snapToGrid w:val="0"/>
                    <w:spacing w:line="240" w:lineRule="exact"/>
                    <w:ind w:left="-53" w:leftChars="-25" w:right="-53" w:rightChars="-25"/>
                    <w:jc w:val="left"/>
                    <w:rPr>
                      <w:rFonts w:eastAsiaTheme="minorEastAsia"/>
                      <w:bCs/>
                      <w:sz w:val="18"/>
                      <w:szCs w:val="18"/>
                    </w:rPr>
                  </w:pPr>
                  <w:r>
                    <w:rPr>
                      <w:rFonts w:hint="eastAsia" w:eastAsiaTheme="minorEastAsia"/>
                      <w:bCs/>
                      <w:sz w:val="18"/>
                      <w:szCs w:val="18"/>
                    </w:rPr>
                    <w:t>技改后产能不变，</w:t>
                  </w:r>
                  <w:r>
                    <w:rPr>
                      <w:rFonts w:hint="eastAsia"/>
                      <w:sz w:val="18"/>
                      <w:szCs w:val="18"/>
                    </w:rPr>
                    <w:t>破损砖产量不变，仍回用生产</w:t>
                  </w:r>
                </w:p>
              </w:tc>
              <w:tc>
                <w:tcPr>
                  <w:tcW w:w="3111" w:type="dxa"/>
                  <w:vAlign w:val="center"/>
                </w:tcPr>
                <w:p>
                  <w:pPr>
                    <w:spacing w:line="300" w:lineRule="exact"/>
                    <w:ind w:left="-105" w:leftChars="-50" w:right="-105" w:rightChars="-50"/>
                    <w:rPr>
                      <w:sz w:val="18"/>
                      <w:szCs w:val="18"/>
                    </w:rPr>
                  </w:pPr>
                  <w:r>
                    <w:rPr>
                      <w:rFonts w:hint="eastAsia"/>
                      <w:sz w:val="18"/>
                      <w:szCs w:val="18"/>
                    </w:rPr>
                    <w:t>破损砖：作为原料回用于生产</w:t>
                  </w:r>
                </w:p>
              </w:tc>
              <w:tc>
                <w:tcPr>
                  <w:tcW w:w="733"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771"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5</w:t>
                  </w:r>
                </w:p>
              </w:tc>
              <w:tc>
                <w:tcPr>
                  <w:tcW w:w="1310" w:type="dxa"/>
                  <w:vMerge w:val="continue"/>
                  <w:vAlign w:val="center"/>
                </w:tcPr>
                <w:p>
                  <w:pPr>
                    <w:adjustRightInd w:val="0"/>
                    <w:snapToGrid w:val="0"/>
                    <w:spacing w:line="240" w:lineRule="exact"/>
                    <w:ind w:left="-53" w:leftChars="-25" w:right="-53" w:rightChars="-25"/>
                    <w:jc w:val="center"/>
                    <w:rPr>
                      <w:rFonts w:eastAsiaTheme="minorEastAsia"/>
                      <w:bCs/>
                      <w:sz w:val="18"/>
                      <w:szCs w:val="18"/>
                    </w:rPr>
                  </w:pPr>
                </w:p>
              </w:tc>
              <w:tc>
                <w:tcPr>
                  <w:tcW w:w="1842" w:type="dxa"/>
                  <w:vAlign w:val="center"/>
                </w:tcPr>
                <w:p>
                  <w:pPr>
                    <w:adjustRightInd w:val="0"/>
                    <w:snapToGrid w:val="0"/>
                    <w:spacing w:line="240" w:lineRule="exact"/>
                    <w:ind w:left="-53" w:leftChars="-25" w:right="-53" w:rightChars="-25"/>
                    <w:jc w:val="left"/>
                    <w:rPr>
                      <w:rFonts w:eastAsiaTheme="minorEastAsia"/>
                      <w:bCs/>
                      <w:sz w:val="18"/>
                      <w:szCs w:val="18"/>
                    </w:rPr>
                  </w:pPr>
                  <w:r>
                    <w:rPr>
                      <w:rFonts w:hint="eastAsia" w:eastAsiaTheme="minorEastAsia"/>
                      <w:bCs/>
                      <w:sz w:val="18"/>
                      <w:szCs w:val="18"/>
                    </w:rPr>
                    <w:t>脱硫废渣产生量约50.3kg/d，可利用现有干化池最多暂存40天的废渣</w:t>
                  </w:r>
                </w:p>
              </w:tc>
              <w:tc>
                <w:tcPr>
                  <w:tcW w:w="3111" w:type="dxa"/>
                  <w:vAlign w:val="center"/>
                </w:tcPr>
                <w:p>
                  <w:pPr>
                    <w:spacing w:line="300" w:lineRule="exact"/>
                    <w:ind w:left="-105" w:leftChars="-50" w:right="-105" w:rightChars="-50"/>
                    <w:rPr>
                      <w:sz w:val="18"/>
                      <w:szCs w:val="18"/>
                    </w:rPr>
                  </w:pPr>
                  <w:r>
                    <w:rPr>
                      <w:rFonts w:hint="eastAsia"/>
                      <w:sz w:val="18"/>
                      <w:szCs w:val="18"/>
                    </w:rPr>
                    <w:t>脱硫废渣：设干化池（容积2m</w:t>
                  </w:r>
                  <w:r>
                    <w:rPr>
                      <w:rFonts w:hint="eastAsia"/>
                      <w:sz w:val="18"/>
                      <w:szCs w:val="18"/>
                      <w:vertAlign w:val="superscript"/>
                    </w:rPr>
                    <w:t>3</w:t>
                  </w:r>
                  <w:r>
                    <w:rPr>
                      <w:rFonts w:hint="eastAsia"/>
                      <w:sz w:val="18"/>
                      <w:szCs w:val="18"/>
                    </w:rPr>
                    <w:t>）干化后做原料回用</w:t>
                  </w:r>
                </w:p>
              </w:tc>
              <w:tc>
                <w:tcPr>
                  <w:tcW w:w="733"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jc w:val="center"/>
              </w:trPr>
              <w:tc>
                <w:tcPr>
                  <w:tcW w:w="771"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6</w:t>
                  </w:r>
                </w:p>
              </w:tc>
              <w:tc>
                <w:tcPr>
                  <w:tcW w:w="1310" w:type="dxa"/>
                  <w:vMerge w:val="continue"/>
                  <w:vAlign w:val="center"/>
                </w:tcPr>
                <w:p>
                  <w:pPr>
                    <w:adjustRightInd w:val="0"/>
                    <w:snapToGrid w:val="0"/>
                    <w:spacing w:line="240" w:lineRule="exact"/>
                    <w:ind w:left="-53" w:leftChars="-25" w:right="-53" w:rightChars="-25"/>
                    <w:jc w:val="center"/>
                    <w:rPr>
                      <w:rFonts w:eastAsiaTheme="minorEastAsia"/>
                      <w:bCs/>
                      <w:sz w:val="18"/>
                      <w:szCs w:val="18"/>
                    </w:rPr>
                  </w:pPr>
                </w:p>
              </w:tc>
              <w:tc>
                <w:tcPr>
                  <w:tcW w:w="1842" w:type="dxa"/>
                  <w:vAlign w:val="center"/>
                </w:tcPr>
                <w:p>
                  <w:pPr>
                    <w:adjustRightInd w:val="0"/>
                    <w:snapToGrid w:val="0"/>
                    <w:spacing w:line="240" w:lineRule="exact"/>
                    <w:ind w:left="-53" w:leftChars="-25" w:right="-53" w:rightChars="-25"/>
                    <w:jc w:val="left"/>
                    <w:rPr>
                      <w:rFonts w:eastAsiaTheme="minorEastAsia"/>
                      <w:bCs/>
                      <w:sz w:val="18"/>
                      <w:szCs w:val="18"/>
                    </w:rPr>
                  </w:pPr>
                  <w:r>
                    <w:rPr>
                      <w:rFonts w:hint="eastAsia" w:eastAsiaTheme="minorEastAsia"/>
                      <w:bCs/>
                      <w:sz w:val="18"/>
                      <w:szCs w:val="18"/>
                    </w:rPr>
                    <w:t>技改后不新增劳动人员，生活垃圾产生量不变</w:t>
                  </w:r>
                </w:p>
              </w:tc>
              <w:tc>
                <w:tcPr>
                  <w:tcW w:w="3111" w:type="dxa"/>
                  <w:vAlign w:val="center"/>
                </w:tcPr>
                <w:p>
                  <w:pPr>
                    <w:spacing w:line="300" w:lineRule="exact"/>
                    <w:ind w:left="-105" w:leftChars="-50" w:right="-105" w:rightChars="-50"/>
                    <w:rPr>
                      <w:sz w:val="18"/>
                      <w:szCs w:val="18"/>
                    </w:rPr>
                  </w:pPr>
                  <w:r>
                    <w:rPr>
                      <w:rFonts w:hint="eastAsia"/>
                      <w:sz w:val="18"/>
                      <w:szCs w:val="18"/>
                    </w:rPr>
                    <w:t>生活垃圾：设垃圾桶收集，定期运至高明镇场镇垃圾收集点</w:t>
                  </w:r>
                </w:p>
              </w:tc>
              <w:tc>
                <w:tcPr>
                  <w:tcW w:w="733"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jc w:val="center"/>
              </w:trPr>
              <w:tc>
                <w:tcPr>
                  <w:tcW w:w="771" w:type="dxa"/>
                  <w:vAlign w:val="center"/>
                </w:tcPr>
                <w:p>
                  <w:pPr>
                    <w:adjustRightInd w:val="0"/>
                    <w:snapToGrid w:val="0"/>
                    <w:spacing w:line="240" w:lineRule="exact"/>
                    <w:ind w:left="-53" w:leftChars="-25" w:right="-53" w:rightChars="-25"/>
                    <w:jc w:val="center"/>
                    <w:rPr>
                      <w:rFonts w:eastAsiaTheme="minorEastAsia"/>
                      <w:b/>
                      <w:bCs/>
                      <w:sz w:val="18"/>
                      <w:szCs w:val="18"/>
                    </w:rPr>
                  </w:pPr>
                  <w:r>
                    <w:rPr>
                      <w:rFonts w:eastAsiaTheme="minorEastAsia"/>
                      <w:b/>
                      <w:bCs/>
                      <w:sz w:val="18"/>
                      <w:szCs w:val="18"/>
                    </w:rPr>
                    <w:t>四</w:t>
                  </w:r>
                </w:p>
              </w:tc>
              <w:tc>
                <w:tcPr>
                  <w:tcW w:w="1310" w:type="dxa"/>
                  <w:vAlign w:val="center"/>
                </w:tcPr>
                <w:p>
                  <w:pPr>
                    <w:adjustRightInd w:val="0"/>
                    <w:snapToGrid w:val="0"/>
                    <w:spacing w:line="240" w:lineRule="exact"/>
                    <w:ind w:left="-53" w:leftChars="-25" w:right="-53" w:rightChars="-25"/>
                    <w:jc w:val="center"/>
                    <w:rPr>
                      <w:rFonts w:eastAsiaTheme="minorEastAsia"/>
                      <w:b/>
                      <w:bCs/>
                      <w:sz w:val="18"/>
                      <w:szCs w:val="18"/>
                    </w:rPr>
                  </w:pPr>
                  <w:r>
                    <w:rPr>
                      <w:rFonts w:hint="eastAsia" w:eastAsiaTheme="minorEastAsia"/>
                      <w:b/>
                      <w:bCs/>
                      <w:sz w:val="18"/>
                      <w:szCs w:val="18"/>
                    </w:rPr>
                    <w:t>办公生活设施</w:t>
                  </w:r>
                </w:p>
              </w:tc>
              <w:tc>
                <w:tcPr>
                  <w:tcW w:w="1842" w:type="dxa"/>
                  <w:vAlign w:val="center"/>
                </w:tcPr>
                <w:p>
                  <w:pPr>
                    <w:adjustRightInd w:val="0"/>
                    <w:snapToGrid w:val="0"/>
                    <w:spacing w:line="240" w:lineRule="exact"/>
                    <w:ind w:left="-53" w:leftChars="-25" w:right="-53" w:rightChars="-25"/>
                    <w:jc w:val="left"/>
                    <w:rPr>
                      <w:rFonts w:eastAsiaTheme="minorEastAsia"/>
                      <w:bCs/>
                      <w:sz w:val="18"/>
                      <w:szCs w:val="18"/>
                    </w:rPr>
                  </w:pPr>
                </w:p>
              </w:tc>
              <w:tc>
                <w:tcPr>
                  <w:tcW w:w="3111" w:type="dxa"/>
                  <w:vAlign w:val="center"/>
                </w:tcPr>
                <w:p>
                  <w:pPr>
                    <w:adjustRightInd w:val="0"/>
                    <w:snapToGrid w:val="0"/>
                    <w:spacing w:line="240" w:lineRule="exact"/>
                    <w:ind w:left="-53" w:leftChars="-25" w:right="-53" w:rightChars="-25"/>
                    <w:jc w:val="left"/>
                    <w:rPr>
                      <w:rFonts w:eastAsiaTheme="minorEastAsia"/>
                      <w:bCs/>
                      <w:sz w:val="18"/>
                      <w:szCs w:val="18"/>
                    </w:rPr>
                  </w:pPr>
                </w:p>
              </w:tc>
              <w:tc>
                <w:tcPr>
                  <w:tcW w:w="733" w:type="dxa"/>
                  <w:vAlign w:val="center"/>
                </w:tcPr>
                <w:p>
                  <w:pPr>
                    <w:adjustRightInd w:val="0"/>
                    <w:snapToGrid w:val="0"/>
                    <w:spacing w:line="240" w:lineRule="exact"/>
                    <w:ind w:left="-53" w:leftChars="-25" w:right="-53" w:rightChars="-25"/>
                    <w:jc w:val="center"/>
                    <w:rPr>
                      <w:rFonts w:eastAsia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jc w:val="center"/>
              </w:trPr>
              <w:tc>
                <w:tcPr>
                  <w:tcW w:w="771"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1</w:t>
                  </w:r>
                </w:p>
              </w:tc>
              <w:tc>
                <w:tcPr>
                  <w:tcW w:w="1310"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办公生活用房</w:t>
                  </w:r>
                </w:p>
              </w:tc>
              <w:tc>
                <w:tcPr>
                  <w:tcW w:w="1842" w:type="dxa"/>
                  <w:vAlign w:val="center"/>
                </w:tcPr>
                <w:p>
                  <w:pPr>
                    <w:adjustRightInd w:val="0"/>
                    <w:snapToGrid w:val="0"/>
                    <w:spacing w:line="240" w:lineRule="exact"/>
                    <w:ind w:left="-53" w:leftChars="-25" w:right="-53" w:rightChars="-25"/>
                    <w:jc w:val="left"/>
                    <w:rPr>
                      <w:rFonts w:eastAsiaTheme="minorEastAsia"/>
                      <w:bCs/>
                      <w:sz w:val="18"/>
                      <w:szCs w:val="18"/>
                    </w:rPr>
                  </w:pPr>
                  <w:r>
                    <w:rPr>
                      <w:rFonts w:hint="eastAsia" w:eastAsiaTheme="minorEastAsia"/>
                      <w:bCs/>
                      <w:sz w:val="18"/>
                      <w:szCs w:val="18"/>
                    </w:rPr>
                    <w:t>技改后不新增劳动人员</w:t>
                  </w:r>
                </w:p>
              </w:tc>
              <w:tc>
                <w:tcPr>
                  <w:tcW w:w="3111" w:type="dxa"/>
                  <w:vAlign w:val="center"/>
                </w:tcPr>
                <w:p>
                  <w:pPr>
                    <w:adjustRightInd w:val="0"/>
                    <w:snapToGrid w:val="0"/>
                    <w:spacing w:line="240" w:lineRule="exact"/>
                    <w:ind w:left="-53" w:leftChars="-25" w:right="-53" w:rightChars="-25"/>
                    <w:jc w:val="left"/>
                    <w:rPr>
                      <w:rFonts w:eastAsiaTheme="minorEastAsia"/>
                      <w:bCs/>
                      <w:sz w:val="18"/>
                      <w:szCs w:val="18"/>
                    </w:rPr>
                  </w:pPr>
                  <w:r>
                    <w:rPr>
                      <w:rFonts w:hint="eastAsia" w:eastAsiaTheme="minorEastAsia"/>
                      <w:bCs/>
                      <w:sz w:val="18"/>
                      <w:szCs w:val="18"/>
                    </w:rPr>
                    <w:t>办公楼1栋，建筑面积约120m</w:t>
                  </w:r>
                  <w:r>
                    <w:rPr>
                      <w:rFonts w:hint="eastAsia" w:eastAsiaTheme="minorEastAsia"/>
                      <w:bCs/>
                      <w:sz w:val="18"/>
                      <w:szCs w:val="18"/>
                      <w:vertAlign w:val="superscript"/>
                    </w:rPr>
                    <w:t>2</w:t>
                  </w:r>
                  <w:r>
                    <w:rPr>
                      <w:rFonts w:hint="eastAsia" w:eastAsiaTheme="minorEastAsia"/>
                      <w:bCs/>
                      <w:sz w:val="18"/>
                      <w:szCs w:val="18"/>
                    </w:rPr>
                    <w:t>、仅设办公室、值班室等，不设职工食宿</w:t>
                  </w:r>
                </w:p>
              </w:tc>
              <w:tc>
                <w:tcPr>
                  <w:tcW w:w="733" w:type="dxa"/>
                  <w:vAlign w:val="center"/>
                </w:tcPr>
                <w:p>
                  <w:pPr>
                    <w:adjustRightInd w:val="0"/>
                    <w:snapToGrid w:val="0"/>
                    <w:spacing w:line="240" w:lineRule="exact"/>
                    <w:ind w:left="-53" w:leftChars="-25" w:right="-53" w:rightChars="-25"/>
                    <w:jc w:val="center"/>
                    <w:rPr>
                      <w:rFonts w:eastAsiaTheme="minorEastAsia"/>
                      <w:bCs/>
                      <w:sz w:val="18"/>
                      <w:szCs w:val="18"/>
                    </w:rPr>
                  </w:pPr>
                  <w:r>
                    <w:rPr>
                      <w:rFonts w:hint="eastAsia" w:eastAsiaTheme="minorEastAsia"/>
                      <w:bCs/>
                      <w:sz w:val="18"/>
                      <w:szCs w:val="18"/>
                    </w:rPr>
                    <w:t>可行</w:t>
                  </w:r>
                </w:p>
              </w:tc>
            </w:tr>
          </w:tbl>
          <w:p>
            <w:pPr>
              <w:adjustRightInd w:val="0"/>
              <w:snapToGrid w:val="0"/>
              <w:spacing w:before="120" w:beforeLines="50" w:line="400" w:lineRule="exact"/>
              <w:ind w:left="-53" w:leftChars="-25" w:right="-53" w:rightChars="-25"/>
              <w:jc w:val="left"/>
              <w:rPr>
                <w:rFonts w:eastAsia="黑体"/>
                <w:bCs/>
                <w:sz w:val="22"/>
                <w:szCs w:val="22"/>
              </w:rPr>
            </w:pPr>
            <w:r>
              <w:rPr>
                <w:rFonts w:hint="eastAsia" w:eastAsia="黑体"/>
                <w:bCs/>
                <w:sz w:val="22"/>
                <w:szCs w:val="22"/>
              </w:rPr>
              <w:t>3</w:t>
            </w:r>
            <w:r>
              <w:rPr>
                <w:rFonts w:eastAsia="黑体"/>
                <w:bCs/>
                <w:sz w:val="22"/>
                <w:szCs w:val="22"/>
              </w:rPr>
              <w:t>、产品方案及产能</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产品方案：项目本次技改后，除保留原有标砖、配砖等产品。产品主要销往周边及国内市场。</w:t>
            </w:r>
          </w:p>
          <w:p>
            <w:pPr>
              <w:adjustRightInd w:val="0"/>
              <w:snapToGrid w:val="0"/>
              <w:spacing w:line="400" w:lineRule="exact"/>
              <w:ind w:left="-53" w:leftChars="-25" w:right="-53" w:rightChars="-25"/>
              <w:jc w:val="center"/>
              <w:rPr>
                <w:rFonts w:eastAsia="黑体"/>
                <w:bCs/>
                <w:sz w:val="18"/>
                <w:szCs w:val="18"/>
              </w:rPr>
            </w:pPr>
            <w:r>
              <w:rPr>
                <w:rFonts w:eastAsia="黑体"/>
                <w:bCs/>
                <w:sz w:val="18"/>
                <w:szCs w:val="18"/>
              </w:rPr>
              <w:t>表</w:t>
            </w:r>
            <w:r>
              <w:rPr>
                <w:rFonts w:hint="eastAsia" w:eastAsia="黑体"/>
                <w:bCs/>
                <w:sz w:val="18"/>
                <w:szCs w:val="18"/>
              </w:rPr>
              <w:t>2-3     各类产品规格及产能</w:t>
            </w:r>
          </w:p>
          <w:tbl>
            <w:tblPr>
              <w:tblStyle w:val="20"/>
              <w:tblW w:w="7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172"/>
              <w:gridCol w:w="2403"/>
              <w:gridCol w:w="1881"/>
              <w:gridCol w:w="688"/>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jc w:val="center"/>
              </w:trPr>
              <w:tc>
                <w:tcPr>
                  <w:tcW w:w="688" w:type="dxa"/>
                  <w:vAlign w:val="center"/>
                </w:tcPr>
                <w:p>
                  <w:pPr>
                    <w:adjustRightInd w:val="0"/>
                    <w:snapToGrid w:val="0"/>
                    <w:spacing w:line="320" w:lineRule="exact"/>
                    <w:jc w:val="center"/>
                    <w:rPr>
                      <w:rFonts w:eastAsiaTheme="minorEastAsia"/>
                      <w:b/>
                      <w:bCs/>
                      <w:sz w:val="18"/>
                      <w:szCs w:val="18"/>
                    </w:rPr>
                  </w:pPr>
                  <w:r>
                    <w:rPr>
                      <w:rFonts w:eastAsiaTheme="minorEastAsia"/>
                      <w:b/>
                      <w:bCs/>
                      <w:sz w:val="18"/>
                      <w:szCs w:val="18"/>
                    </w:rPr>
                    <w:t>序号</w:t>
                  </w:r>
                </w:p>
              </w:tc>
              <w:tc>
                <w:tcPr>
                  <w:tcW w:w="1172" w:type="dxa"/>
                  <w:vAlign w:val="center"/>
                </w:tcPr>
                <w:p>
                  <w:pPr>
                    <w:adjustRightInd w:val="0"/>
                    <w:snapToGrid w:val="0"/>
                    <w:spacing w:line="320" w:lineRule="exact"/>
                    <w:jc w:val="center"/>
                    <w:rPr>
                      <w:rFonts w:eastAsiaTheme="minorEastAsia"/>
                      <w:b/>
                      <w:bCs/>
                      <w:sz w:val="18"/>
                      <w:szCs w:val="18"/>
                    </w:rPr>
                  </w:pPr>
                  <w:r>
                    <w:rPr>
                      <w:rFonts w:hint="eastAsia" w:eastAsiaTheme="minorEastAsia"/>
                      <w:b/>
                      <w:bCs/>
                      <w:sz w:val="18"/>
                      <w:szCs w:val="18"/>
                    </w:rPr>
                    <w:t>产品名称</w:t>
                  </w:r>
                </w:p>
              </w:tc>
              <w:tc>
                <w:tcPr>
                  <w:tcW w:w="2403" w:type="dxa"/>
                  <w:vAlign w:val="center"/>
                </w:tcPr>
                <w:p>
                  <w:pPr>
                    <w:adjustRightInd w:val="0"/>
                    <w:snapToGrid w:val="0"/>
                    <w:spacing w:line="320" w:lineRule="exact"/>
                    <w:jc w:val="center"/>
                    <w:rPr>
                      <w:rFonts w:eastAsiaTheme="minorEastAsia"/>
                      <w:b/>
                      <w:bCs/>
                      <w:sz w:val="18"/>
                      <w:szCs w:val="18"/>
                    </w:rPr>
                  </w:pPr>
                  <w:r>
                    <w:rPr>
                      <w:rFonts w:hint="eastAsia" w:eastAsiaTheme="minorEastAsia"/>
                      <w:b/>
                      <w:bCs/>
                      <w:sz w:val="18"/>
                      <w:szCs w:val="18"/>
                    </w:rPr>
                    <w:t>型号（长*宽*高mm）</w:t>
                  </w:r>
                </w:p>
              </w:tc>
              <w:tc>
                <w:tcPr>
                  <w:tcW w:w="1881" w:type="dxa"/>
                  <w:vAlign w:val="center"/>
                </w:tcPr>
                <w:p>
                  <w:pPr>
                    <w:adjustRightInd w:val="0"/>
                    <w:snapToGrid w:val="0"/>
                    <w:spacing w:line="320" w:lineRule="exact"/>
                    <w:jc w:val="center"/>
                    <w:rPr>
                      <w:rFonts w:eastAsiaTheme="minorEastAsia"/>
                      <w:b/>
                      <w:bCs/>
                      <w:sz w:val="18"/>
                      <w:szCs w:val="18"/>
                    </w:rPr>
                  </w:pPr>
                  <w:r>
                    <w:rPr>
                      <w:rFonts w:hint="eastAsia" w:eastAsiaTheme="minorEastAsia"/>
                      <w:b/>
                      <w:bCs/>
                      <w:sz w:val="18"/>
                      <w:szCs w:val="18"/>
                    </w:rPr>
                    <w:t>产能（折标砖）*</w:t>
                  </w:r>
                </w:p>
              </w:tc>
              <w:tc>
                <w:tcPr>
                  <w:tcW w:w="688" w:type="dxa"/>
                  <w:vAlign w:val="center"/>
                </w:tcPr>
                <w:p>
                  <w:pPr>
                    <w:adjustRightInd w:val="0"/>
                    <w:snapToGrid w:val="0"/>
                    <w:spacing w:line="320" w:lineRule="exact"/>
                    <w:jc w:val="center"/>
                    <w:rPr>
                      <w:rFonts w:eastAsiaTheme="minorEastAsia"/>
                      <w:b/>
                      <w:bCs/>
                      <w:sz w:val="18"/>
                      <w:szCs w:val="18"/>
                    </w:rPr>
                  </w:pPr>
                  <w:r>
                    <w:rPr>
                      <w:rFonts w:hint="eastAsia" w:eastAsiaTheme="minorEastAsia"/>
                      <w:b/>
                      <w:bCs/>
                      <w:sz w:val="18"/>
                      <w:szCs w:val="18"/>
                    </w:rPr>
                    <w:t>单位</w:t>
                  </w:r>
                </w:p>
              </w:tc>
              <w:tc>
                <w:tcPr>
                  <w:tcW w:w="688" w:type="dxa"/>
                  <w:vAlign w:val="center"/>
                </w:tcPr>
                <w:p>
                  <w:pPr>
                    <w:adjustRightInd w:val="0"/>
                    <w:snapToGrid w:val="0"/>
                    <w:spacing w:line="320" w:lineRule="exact"/>
                    <w:jc w:val="center"/>
                    <w:rPr>
                      <w:rFonts w:eastAsiaTheme="minorEastAsia"/>
                      <w:b/>
                      <w:bCs/>
                      <w:sz w:val="18"/>
                      <w:szCs w:val="18"/>
                    </w:rPr>
                  </w:pPr>
                  <w:r>
                    <w:rPr>
                      <w:rFonts w:eastAsiaTheme="minorEastAsia"/>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jc w:val="center"/>
              </w:trPr>
              <w:tc>
                <w:tcPr>
                  <w:tcW w:w="688" w:type="dxa"/>
                  <w:vAlign w:val="center"/>
                </w:tcPr>
                <w:p>
                  <w:pPr>
                    <w:adjustRightInd w:val="0"/>
                    <w:snapToGrid w:val="0"/>
                    <w:spacing w:line="320" w:lineRule="exact"/>
                    <w:jc w:val="center"/>
                    <w:rPr>
                      <w:rFonts w:eastAsiaTheme="minorEastAsia"/>
                      <w:bCs/>
                      <w:sz w:val="18"/>
                      <w:szCs w:val="18"/>
                    </w:rPr>
                  </w:pPr>
                  <w:r>
                    <w:rPr>
                      <w:rFonts w:eastAsiaTheme="minorEastAsia"/>
                      <w:bCs/>
                      <w:sz w:val="18"/>
                      <w:szCs w:val="18"/>
                    </w:rPr>
                    <w:t>1</w:t>
                  </w:r>
                </w:p>
              </w:tc>
              <w:tc>
                <w:tcPr>
                  <w:tcW w:w="1172" w:type="dxa"/>
                  <w:vAlign w:val="center"/>
                </w:tcPr>
                <w:p>
                  <w:pPr>
                    <w:adjustRightInd w:val="0"/>
                    <w:snapToGrid w:val="0"/>
                    <w:spacing w:line="320" w:lineRule="exact"/>
                    <w:jc w:val="center"/>
                    <w:rPr>
                      <w:rFonts w:eastAsiaTheme="minorEastAsia"/>
                      <w:bCs/>
                      <w:sz w:val="18"/>
                      <w:szCs w:val="18"/>
                    </w:rPr>
                  </w:pPr>
                  <w:r>
                    <w:rPr>
                      <w:rFonts w:eastAsiaTheme="minorEastAsia"/>
                      <w:bCs/>
                      <w:sz w:val="18"/>
                      <w:szCs w:val="18"/>
                    </w:rPr>
                    <w:t>标砖</w:t>
                  </w:r>
                </w:p>
              </w:tc>
              <w:tc>
                <w:tcPr>
                  <w:tcW w:w="2403" w:type="dxa"/>
                  <w:vAlign w:val="center"/>
                </w:tcPr>
                <w:p>
                  <w:pPr>
                    <w:adjustRightInd w:val="0"/>
                    <w:snapToGrid w:val="0"/>
                    <w:spacing w:line="320" w:lineRule="exact"/>
                    <w:jc w:val="center"/>
                    <w:rPr>
                      <w:rFonts w:eastAsiaTheme="minorEastAsia"/>
                      <w:bCs/>
                      <w:sz w:val="18"/>
                      <w:szCs w:val="18"/>
                    </w:rPr>
                  </w:pPr>
                  <w:r>
                    <w:rPr>
                      <w:rFonts w:eastAsiaTheme="minorEastAsia"/>
                      <w:bCs/>
                      <w:sz w:val="18"/>
                      <w:szCs w:val="18"/>
                    </w:rPr>
                    <w:t>240mm×115mm×53mm</w:t>
                  </w:r>
                </w:p>
              </w:tc>
              <w:tc>
                <w:tcPr>
                  <w:tcW w:w="1881" w:type="dxa"/>
                  <w:vAlign w:val="center"/>
                </w:tcPr>
                <w:p>
                  <w:pPr>
                    <w:adjustRightInd w:val="0"/>
                    <w:snapToGrid w:val="0"/>
                    <w:spacing w:line="320" w:lineRule="exact"/>
                    <w:jc w:val="center"/>
                    <w:rPr>
                      <w:rFonts w:eastAsiaTheme="minorEastAsia"/>
                      <w:bCs/>
                      <w:sz w:val="18"/>
                      <w:szCs w:val="18"/>
                    </w:rPr>
                  </w:pPr>
                  <w:r>
                    <w:rPr>
                      <w:rFonts w:hint="eastAsia" w:eastAsiaTheme="minorEastAsia"/>
                      <w:bCs/>
                      <w:sz w:val="18"/>
                      <w:szCs w:val="18"/>
                    </w:rPr>
                    <w:t>1000万</w:t>
                  </w:r>
                </w:p>
              </w:tc>
              <w:tc>
                <w:tcPr>
                  <w:tcW w:w="688" w:type="dxa"/>
                  <w:vAlign w:val="center"/>
                </w:tcPr>
                <w:p>
                  <w:pPr>
                    <w:adjustRightInd w:val="0"/>
                    <w:snapToGrid w:val="0"/>
                    <w:spacing w:line="320" w:lineRule="exact"/>
                    <w:jc w:val="center"/>
                    <w:rPr>
                      <w:rFonts w:eastAsiaTheme="minorEastAsia"/>
                      <w:bCs/>
                      <w:sz w:val="18"/>
                      <w:szCs w:val="18"/>
                    </w:rPr>
                  </w:pPr>
                  <w:r>
                    <w:rPr>
                      <w:rFonts w:hint="eastAsia" w:eastAsiaTheme="minorEastAsia"/>
                      <w:bCs/>
                      <w:sz w:val="18"/>
                      <w:szCs w:val="18"/>
                    </w:rPr>
                    <w:t>匹</w:t>
                  </w:r>
                </w:p>
              </w:tc>
              <w:tc>
                <w:tcPr>
                  <w:tcW w:w="688" w:type="dxa"/>
                  <w:vAlign w:val="center"/>
                </w:tcPr>
                <w:p>
                  <w:pPr>
                    <w:adjustRightInd w:val="0"/>
                    <w:snapToGrid w:val="0"/>
                    <w:spacing w:line="320" w:lineRule="exact"/>
                    <w:jc w:val="center"/>
                    <w:rPr>
                      <w:rFonts w:eastAsiaTheme="minorEastAsia"/>
                      <w:bCs/>
                      <w:sz w:val="18"/>
                      <w:szCs w:val="18"/>
                    </w:rPr>
                  </w:pPr>
                  <w:r>
                    <w:rPr>
                      <w:rFonts w:hint="eastAsia" w:eastAsiaTheme="minorEastAsia"/>
                      <w:bCs/>
                      <w:sz w:val="18"/>
                      <w:szCs w:val="18"/>
                    </w:rPr>
                    <w:t>/</w:t>
                  </w:r>
                </w:p>
              </w:tc>
            </w:tr>
          </w:tbl>
          <w:p>
            <w:pPr>
              <w:autoSpaceDE w:val="0"/>
              <w:autoSpaceDN w:val="0"/>
              <w:adjustRightInd w:val="0"/>
              <w:snapToGrid w:val="0"/>
              <w:spacing w:line="400" w:lineRule="exact"/>
              <w:ind w:firstLine="422" w:firstLineChars="200"/>
              <w:jc w:val="left"/>
              <w:rPr>
                <w:b/>
                <w:kern w:val="0"/>
                <w:szCs w:val="21"/>
              </w:rPr>
            </w:pPr>
            <w:r>
              <w:rPr>
                <w:rFonts w:hint="eastAsia"/>
                <w:b/>
                <w:kern w:val="0"/>
                <w:szCs w:val="21"/>
              </w:rPr>
              <w:t>技改前后制砖产能保持不变。根据《固体废物再生利用污染防治技术导则》(HJ1091-2020)，固体废物再生利用产物作为产品的，应符合GB 34330中要求的国家、地方制定或行业通行的产品质量标准。本项目产品质量指标须符合《GB5101-2003烧结普通砖》的相关要求。</w:t>
            </w:r>
          </w:p>
          <w:p>
            <w:pPr>
              <w:adjustRightInd w:val="0"/>
              <w:snapToGrid w:val="0"/>
              <w:spacing w:line="400" w:lineRule="exact"/>
              <w:ind w:left="-53" w:leftChars="-25" w:right="-53" w:rightChars="-25"/>
              <w:jc w:val="left"/>
              <w:rPr>
                <w:rFonts w:eastAsia="黑体"/>
                <w:bCs/>
                <w:sz w:val="22"/>
                <w:szCs w:val="22"/>
              </w:rPr>
            </w:pPr>
            <w:r>
              <w:rPr>
                <w:rFonts w:hint="eastAsia" w:eastAsia="黑体"/>
                <w:bCs/>
                <w:sz w:val="22"/>
                <w:szCs w:val="22"/>
              </w:rPr>
              <w:t>4</w:t>
            </w:r>
            <w:r>
              <w:rPr>
                <w:rFonts w:eastAsia="黑体"/>
                <w:bCs/>
                <w:sz w:val="22"/>
                <w:szCs w:val="22"/>
              </w:rPr>
              <w:t>、原辅材料及能源消耗</w:t>
            </w:r>
          </w:p>
          <w:p>
            <w:pPr>
              <w:autoSpaceDE w:val="0"/>
              <w:autoSpaceDN w:val="0"/>
              <w:adjustRightInd w:val="0"/>
              <w:snapToGrid w:val="0"/>
              <w:spacing w:line="400" w:lineRule="exact"/>
              <w:ind w:firstLine="420" w:firstLineChars="200"/>
              <w:jc w:val="left"/>
              <w:rPr>
                <w:kern w:val="0"/>
                <w:szCs w:val="21"/>
              </w:rPr>
            </w:pPr>
            <w:r>
              <w:rPr>
                <w:kern w:val="0"/>
                <w:szCs w:val="21"/>
              </w:rPr>
              <w:t>本项目主要原、辅材料及能源消耗见下表。</w:t>
            </w:r>
          </w:p>
          <w:p>
            <w:pPr>
              <w:spacing w:line="400" w:lineRule="exact"/>
              <w:jc w:val="center"/>
              <w:rPr>
                <w:rFonts w:eastAsia="黑体"/>
                <w:sz w:val="18"/>
                <w:szCs w:val="18"/>
              </w:rPr>
            </w:pPr>
            <w:r>
              <w:rPr>
                <w:rFonts w:eastAsia="黑体"/>
                <w:sz w:val="18"/>
                <w:szCs w:val="18"/>
              </w:rPr>
              <w:t>表</w:t>
            </w:r>
            <w:r>
              <w:rPr>
                <w:rFonts w:hint="eastAsia" w:eastAsia="黑体"/>
                <w:sz w:val="18"/>
                <w:szCs w:val="18"/>
              </w:rPr>
              <w:t xml:space="preserve">2-4 </w:t>
            </w:r>
            <w:r>
              <w:rPr>
                <w:rFonts w:eastAsia="黑体"/>
                <w:sz w:val="18"/>
                <w:szCs w:val="18"/>
              </w:rPr>
              <w:t>技改后主要原、辅材料及能源消耗表</w:t>
            </w:r>
          </w:p>
          <w:tbl>
            <w:tblPr>
              <w:tblStyle w:val="21"/>
              <w:tblW w:w="74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115"/>
              <w:gridCol w:w="1948"/>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2103" w:type="dxa"/>
                  <w:gridSpan w:val="2"/>
                  <w:vAlign w:val="center"/>
                </w:tcPr>
                <w:p>
                  <w:pPr>
                    <w:pStyle w:val="14"/>
                    <w:spacing w:after="0" w:line="300" w:lineRule="exact"/>
                    <w:ind w:left="0" w:leftChars="0"/>
                    <w:jc w:val="center"/>
                    <w:rPr>
                      <w:b/>
                      <w:sz w:val="18"/>
                      <w:szCs w:val="18"/>
                    </w:rPr>
                  </w:pPr>
                  <w:r>
                    <w:rPr>
                      <w:b/>
                      <w:sz w:val="18"/>
                      <w:szCs w:val="18"/>
                    </w:rPr>
                    <w:t>名称</w:t>
                  </w:r>
                </w:p>
              </w:tc>
              <w:tc>
                <w:tcPr>
                  <w:tcW w:w="1948" w:type="dxa"/>
                  <w:vAlign w:val="center"/>
                </w:tcPr>
                <w:p>
                  <w:pPr>
                    <w:pStyle w:val="14"/>
                    <w:spacing w:after="0" w:line="300" w:lineRule="exact"/>
                    <w:ind w:left="0" w:leftChars="0"/>
                    <w:jc w:val="center"/>
                    <w:rPr>
                      <w:b/>
                      <w:sz w:val="18"/>
                      <w:szCs w:val="18"/>
                    </w:rPr>
                  </w:pPr>
                  <w:r>
                    <w:rPr>
                      <w:b/>
                      <w:sz w:val="18"/>
                      <w:szCs w:val="18"/>
                    </w:rPr>
                    <w:t>年耗量</w:t>
                  </w:r>
                </w:p>
              </w:tc>
              <w:tc>
                <w:tcPr>
                  <w:tcW w:w="3414" w:type="dxa"/>
                  <w:vAlign w:val="center"/>
                </w:tcPr>
                <w:p>
                  <w:pPr>
                    <w:pStyle w:val="14"/>
                    <w:spacing w:after="0" w:line="300" w:lineRule="exact"/>
                    <w:ind w:left="0" w:leftChars="0"/>
                    <w:jc w:val="center"/>
                    <w:rPr>
                      <w:b/>
                      <w:sz w:val="18"/>
                      <w:szCs w:val="18"/>
                    </w:rPr>
                  </w:pPr>
                  <w:r>
                    <w:rPr>
                      <w:b/>
                      <w:sz w:val="18"/>
                      <w:szCs w:val="1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988" w:type="dxa"/>
                  <w:vMerge w:val="restart"/>
                  <w:vAlign w:val="center"/>
                </w:tcPr>
                <w:p>
                  <w:pPr>
                    <w:pStyle w:val="14"/>
                    <w:spacing w:after="0" w:line="300" w:lineRule="exact"/>
                    <w:ind w:left="0" w:leftChars="0"/>
                    <w:jc w:val="center"/>
                    <w:rPr>
                      <w:sz w:val="18"/>
                      <w:szCs w:val="18"/>
                    </w:rPr>
                  </w:pPr>
                  <w:r>
                    <w:rPr>
                      <w:sz w:val="18"/>
                      <w:szCs w:val="18"/>
                    </w:rPr>
                    <w:t>原辅材料</w:t>
                  </w:r>
                </w:p>
              </w:tc>
              <w:tc>
                <w:tcPr>
                  <w:tcW w:w="1115" w:type="dxa"/>
                  <w:vAlign w:val="center"/>
                </w:tcPr>
                <w:p>
                  <w:pPr>
                    <w:pStyle w:val="14"/>
                    <w:spacing w:after="0" w:line="300" w:lineRule="exact"/>
                    <w:ind w:left="0" w:leftChars="0"/>
                    <w:jc w:val="center"/>
                    <w:rPr>
                      <w:sz w:val="18"/>
                      <w:szCs w:val="18"/>
                    </w:rPr>
                  </w:pPr>
                  <w:r>
                    <w:rPr>
                      <w:sz w:val="18"/>
                      <w:szCs w:val="18"/>
                    </w:rPr>
                    <w:t>煤矸石</w:t>
                  </w:r>
                </w:p>
              </w:tc>
              <w:tc>
                <w:tcPr>
                  <w:tcW w:w="1948" w:type="dxa"/>
                  <w:vAlign w:val="center"/>
                </w:tcPr>
                <w:p>
                  <w:pPr>
                    <w:pStyle w:val="14"/>
                    <w:spacing w:after="0" w:line="300" w:lineRule="exact"/>
                    <w:ind w:left="0" w:leftChars="0"/>
                    <w:jc w:val="center"/>
                    <w:rPr>
                      <w:sz w:val="18"/>
                      <w:szCs w:val="18"/>
                    </w:rPr>
                  </w:pPr>
                  <w:r>
                    <w:rPr>
                      <w:rFonts w:hint="eastAsia"/>
                      <w:sz w:val="18"/>
                      <w:szCs w:val="18"/>
                    </w:rPr>
                    <w:t>8300吨</w:t>
                  </w:r>
                </w:p>
              </w:tc>
              <w:tc>
                <w:tcPr>
                  <w:tcW w:w="3414" w:type="dxa"/>
                  <w:vAlign w:val="center"/>
                </w:tcPr>
                <w:p>
                  <w:pPr>
                    <w:pStyle w:val="14"/>
                    <w:spacing w:after="0" w:line="300" w:lineRule="exact"/>
                    <w:ind w:left="0" w:leftChars="0"/>
                    <w:jc w:val="center"/>
                    <w:rPr>
                      <w:sz w:val="18"/>
                      <w:szCs w:val="18"/>
                    </w:rPr>
                  </w:pPr>
                  <w:r>
                    <w:rPr>
                      <w:sz w:val="18"/>
                      <w:szCs w:val="18"/>
                    </w:rPr>
                    <w:t>附近煤矿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988" w:type="dxa"/>
                  <w:vMerge w:val="continue"/>
                  <w:vAlign w:val="center"/>
                </w:tcPr>
                <w:p>
                  <w:pPr>
                    <w:pStyle w:val="14"/>
                    <w:spacing w:after="0" w:line="300" w:lineRule="exact"/>
                    <w:ind w:left="0" w:leftChars="0"/>
                    <w:jc w:val="center"/>
                    <w:rPr>
                      <w:sz w:val="18"/>
                      <w:szCs w:val="18"/>
                    </w:rPr>
                  </w:pPr>
                </w:p>
              </w:tc>
              <w:tc>
                <w:tcPr>
                  <w:tcW w:w="1115" w:type="dxa"/>
                  <w:vAlign w:val="center"/>
                </w:tcPr>
                <w:p>
                  <w:pPr>
                    <w:pStyle w:val="14"/>
                    <w:spacing w:after="0" w:line="300" w:lineRule="exact"/>
                    <w:ind w:left="0" w:leftChars="0"/>
                    <w:jc w:val="center"/>
                    <w:rPr>
                      <w:sz w:val="18"/>
                      <w:szCs w:val="18"/>
                    </w:rPr>
                  </w:pPr>
                  <w:r>
                    <w:rPr>
                      <w:sz w:val="18"/>
                      <w:szCs w:val="18"/>
                    </w:rPr>
                    <w:t>建筑渣土</w:t>
                  </w:r>
                </w:p>
              </w:tc>
              <w:tc>
                <w:tcPr>
                  <w:tcW w:w="1948" w:type="dxa"/>
                  <w:vAlign w:val="center"/>
                </w:tcPr>
                <w:p>
                  <w:pPr>
                    <w:pStyle w:val="14"/>
                    <w:spacing w:after="0" w:line="300" w:lineRule="exact"/>
                    <w:ind w:left="0" w:leftChars="0"/>
                    <w:jc w:val="center"/>
                    <w:rPr>
                      <w:sz w:val="18"/>
                      <w:szCs w:val="18"/>
                    </w:rPr>
                  </w:pPr>
                  <w:r>
                    <w:rPr>
                      <w:rFonts w:hint="eastAsia"/>
                      <w:sz w:val="18"/>
                      <w:szCs w:val="18"/>
                    </w:rPr>
                    <w:t>20700吨</w:t>
                  </w:r>
                </w:p>
              </w:tc>
              <w:tc>
                <w:tcPr>
                  <w:tcW w:w="3414" w:type="dxa"/>
                  <w:vAlign w:val="center"/>
                </w:tcPr>
                <w:p>
                  <w:pPr>
                    <w:pStyle w:val="14"/>
                    <w:spacing w:after="0" w:line="300" w:lineRule="exact"/>
                    <w:ind w:left="0" w:leftChars="0"/>
                    <w:jc w:val="center"/>
                    <w:rPr>
                      <w:sz w:val="18"/>
                      <w:szCs w:val="18"/>
                    </w:rPr>
                  </w:pPr>
                  <w:r>
                    <w:rPr>
                      <w:rFonts w:hint="eastAsia"/>
                      <w:sz w:val="18"/>
                      <w:szCs w:val="18"/>
                    </w:rPr>
                    <w:t>建筑工地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988" w:type="dxa"/>
                  <w:vMerge w:val="continue"/>
                  <w:vAlign w:val="center"/>
                </w:tcPr>
                <w:p>
                  <w:pPr>
                    <w:pStyle w:val="14"/>
                    <w:spacing w:after="0" w:line="300" w:lineRule="exact"/>
                    <w:ind w:left="0" w:leftChars="0"/>
                    <w:jc w:val="center"/>
                    <w:rPr>
                      <w:sz w:val="18"/>
                      <w:szCs w:val="18"/>
                    </w:rPr>
                  </w:pPr>
                </w:p>
              </w:tc>
              <w:tc>
                <w:tcPr>
                  <w:tcW w:w="1115" w:type="dxa"/>
                  <w:vAlign w:val="center"/>
                </w:tcPr>
                <w:p>
                  <w:pPr>
                    <w:pStyle w:val="14"/>
                    <w:spacing w:after="0" w:line="300" w:lineRule="exact"/>
                    <w:ind w:left="0" w:leftChars="0"/>
                    <w:jc w:val="center"/>
                    <w:rPr>
                      <w:sz w:val="18"/>
                      <w:szCs w:val="18"/>
                    </w:rPr>
                  </w:pPr>
                  <w:r>
                    <w:rPr>
                      <w:sz w:val="18"/>
                      <w:szCs w:val="18"/>
                    </w:rPr>
                    <w:t>污泥</w:t>
                  </w:r>
                </w:p>
              </w:tc>
              <w:tc>
                <w:tcPr>
                  <w:tcW w:w="1948" w:type="dxa"/>
                  <w:vAlign w:val="center"/>
                </w:tcPr>
                <w:p>
                  <w:pPr>
                    <w:pStyle w:val="14"/>
                    <w:spacing w:after="0" w:line="300" w:lineRule="exact"/>
                    <w:ind w:left="0" w:leftChars="0"/>
                    <w:jc w:val="center"/>
                    <w:rPr>
                      <w:sz w:val="18"/>
                      <w:szCs w:val="18"/>
                    </w:rPr>
                  </w:pPr>
                  <w:r>
                    <w:rPr>
                      <w:rFonts w:hint="eastAsia"/>
                      <w:sz w:val="18"/>
                      <w:szCs w:val="18"/>
                    </w:rPr>
                    <w:t>1.5万吨（干基0.3万吨）</w:t>
                  </w:r>
                </w:p>
              </w:tc>
              <w:tc>
                <w:tcPr>
                  <w:tcW w:w="3414" w:type="dxa"/>
                  <w:vAlign w:val="center"/>
                </w:tcPr>
                <w:p>
                  <w:pPr>
                    <w:pStyle w:val="14"/>
                    <w:spacing w:after="0" w:line="300" w:lineRule="exact"/>
                    <w:ind w:left="0" w:leftChars="0"/>
                    <w:jc w:val="center"/>
                    <w:rPr>
                      <w:sz w:val="18"/>
                      <w:szCs w:val="18"/>
                    </w:rPr>
                  </w:pPr>
                  <w:r>
                    <w:rPr>
                      <w:rFonts w:hint="eastAsia"/>
                      <w:sz w:val="18"/>
                      <w:szCs w:val="18"/>
                    </w:rPr>
                    <w:t>大竹县城市生活污水处理厂以及其他生活污水处理厂，含水率约75~90%左右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988" w:type="dxa"/>
                  <w:vMerge w:val="continue"/>
                  <w:vAlign w:val="center"/>
                </w:tcPr>
                <w:p>
                  <w:pPr>
                    <w:pStyle w:val="14"/>
                    <w:spacing w:after="0" w:line="300" w:lineRule="exact"/>
                    <w:ind w:left="0" w:leftChars="0"/>
                    <w:jc w:val="center"/>
                    <w:rPr>
                      <w:sz w:val="18"/>
                      <w:szCs w:val="18"/>
                    </w:rPr>
                  </w:pPr>
                </w:p>
              </w:tc>
              <w:tc>
                <w:tcPr>
                  <w:tcW w:w="1115" w:type="dxa"/>
                  <w:vAlign w:val="center"/>
                </w:tcPr>
                <w:p>
                  <w:pPr>
                    <w:pStyle w:val="61"/>
                    <w:widowControl w:val="0"/>
                    <w:pBdr>
                      <w:left w:val="none" w:color="auto" w:sz="0" w:space="0"/>
                      <w:bottom w:val="none" w:color="auto" w:sz="0" w:space="0"/>
                      <w:right w:val="none" w:color="auto" w:sz="0" w:space="0"/>
                    </w:pBdr>
                    <w:spacing w:before="0" w:beforeAutospacing="0" w:after="0" w:afterAutospacing="0" w:line="300" w:lineRule="exact"/>
                    <w:rPr>
                      <w:kern w:val="2"/>
                      <w:sz w:val="18"/>
                      <w:szCs w:val="18"/>
                    </w:rPr>
                  </w:pPr>
                  <w:r>
                    <w:rPr>
                      <w:rFonts w:hint="eastAsia"/>
                      <w:kern w:val="2"/>
                      <w:sz w:val="18"/>
                      <w:szCs w:val="18"/>
                    </w:rPr>
                    <w:t>PAC、PAM</w:t>
                  </w:r>
                </w:p>
              </w:tc>
              <w:tc>
                <w:tcPr>
                  <w:tcW w:w="1948" w:type="dxa"/>
                  <w:vAlign w:val="center"/>
                </w:tcPr>
                <w:p>
                  <w:pPr>
                    <w:spacing w:line="300" w:lineRule="exact"/>
                    <w:jc w:val="center"/>
                    <w:rPr>
                      <w:sz w:val="18"/>
                      <w:szCs w:val="18"/>
                    </w:rPr>
                  </w:pPr>
                  <w:r>
                    <w:rPr>
                      <w:rFonts w:hint="eastAsia"/>
                      <w:sz w:val="18"/>
                      <w:szCs w:val="18"/>
                    </w:rPr>
                    <w:t>0.1吨</w:t>
                  </w:r>
                </w:p>
              </w:tc>
              <w:tc>
                <w:tcPr>
                  <w:tcW w:w="3414" w:type="dxa"/>
                  <w:vAlign w:val="center"/>
                </w:tcPr>
                <w:p>
                  <w:pPr>
                    <w:pStyle w:val="61"/>
                    <w:widowControl w:val="0"/>
                    <w:pBdr>
                      <w:left w:val="none" w:color="auto" w:sz="0" w:space="0"/>
                      <w:bottom w:val="none" w:color="auto" w:sz="0" w:space="0"/>
                      <w:right w:val="none" w:color="auto" w:sz="0" w:space="0"/>
                    </w:pBdr>
                    <w:spacing w:before="0" w:beforeAutospacing="0" w:after="0" w:afterAutospacing="0" w:line="300" w:lineRule="exact"/>
                    <w:rPr>
                      <w:kern w:val="2"/>
                      <w:sz w:val="18"/>
                      <w:szCs w:val="18"/>
                    </w:rPr>
                  </w:pPr>
                  <w:r>
                    <w:rPr>
                      <w:rFonts w:hint="eastAsia"/>
                      <w:kern w:val="2"/>
                      <w:sz w:val="18"/>
                      <w:szCs w:val="18"/>
                    </w:rPr>
                    <w:t>当地市场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988" w:type="dxa"/>
                  <w:vMerge w:val="continue"/>
                  <w:vAlign w:val="center"/>
                </w:tcPr>
                <w:p>
                  <w:pPr>
                    <w:pStyle w:val="14"/>
                    <w:spacing w:after="0" w:line="300" w:lineRule="exact"/>
                    <w:ind w:left="0" w:leftChars="0"/>
                    <w:jc w:val="center"/>
                    <w:rPr>
                      <w:sz w:val="18"/>
                      <w:szCs w:val="18"/>
                    </w:rPr>
                  </w:pPr>
                </w:p>
              </w:tc>
              <w:tc>
                <w:tcPr>
                  <w:tcW w:w="1115" w:type="dxa"/>
                  <w:vAlign w:val="center"/>
                </w:tcPr>
                <w:p>
                  <w:pPr>
                    <w:pStyle w:val="61"/>
                    <w:widowControl w:val="0"/>
                    <w:pBdr>
                      <w:left w:val="none" w:color="auto" w:sz="0" w:space="0"/>
                      <w:bottom w:val="none" w:color="auto" w:sz="0" w:space="0"/>
                      <w:right w:val="none" w:color="auto" w:sz="0" w:space="0"/>
                    </w:pBdr>
                    <w:spacing w:before="0" w:beforeAutospacing="0" w:after="0" w:afterAutospacing="0" w:line="300" w:lineRule="exact"/>
                    <w:rPr>
                      <w:kern w:val="2"/>
                      <w:sz w:val="18"/>
                      <w:szCs w:val="18"/>
                    </w:rPr>
                  </w:pPr>
                  <w:r>
                    <w:rPr>
                      <w:kern w:val="2"/>
                      <w:sz w:val="18"/>
                      <w:szCs w:val="18"/>
                    </w:rPr>
                    <w:t>燃煤</w:t>
                  </w:r>
                </w:p>
              </w:tc>
              <w:tc>
                <w:tcPr>
                  <w:tcW w:w="1948" w:type="dxa"/>
                  <w:vAlign w:val="center"/>
                </w:tcPr>
                <w:p>
                  <w:pPr>
                    <w:spacing w:line="300" w:lineRule="exact"/>
                    <w:jc w:val="center"/>
                    <w:rPr>
                      <w:sz w:val="18"/>
                      <w:szCs w:val="18"/>
                    </w:rPr>
                  </w:pPr>
                  <w:r>
                    <w:rPr>
                      <w:rFonts w:hint="eastAsia"/>
                      <w:sz w:val="18"/>
                      <w:szCs w:val="18"/>
                    </w:rPr>
                    <w:t>4</w:t>
                  </w:r>
                  <w:r>
                    <w:rPr>
                      <w:sz w:val="18"/>
                      <w:szCs w:val="18"/>
                    </w:rPr>
                    <w:t>吨</w:t>
                  </w:r>
                </w:p>
              </w:tc>
              <w:tc>
                <w:tcPr>
                  <w:tcW w:w="3414" w:type="dxa"/>
                  <w:vAlign w:val="center"/>
                </w:tcPr>
                <w:p>
                  <w:pPr>
                    <w:pStyle w:val="61"/>
                    <w:widowControl w:val="0"/>
                    <w:pBdr>
                      <w:left w:val="none" w:color="auto" w:sz="0" w:space="0"/>
                      <w:bottom w:val="none" w:color="auto" w:sz="0" w:space="0"/>
                      <w:right w:val="none" w:color="auto" w:sz="0" w:space="0"/>
                    </w:pBdr>
                    <w:spacing w:before="0" w:beforeAutospacing="0" w:after="0" w:afterAutospacing="0" w:line="300" w:lineRule="exact"/>
                    <w:rPr>
                      <w:kern w:val="2"/>
                      <w:sz w:val="18"/>
                      <w:szCs w:val="18"/>
                    </w:rPr>
                  </w:pPr>
                  <w:r>
                    <w:rPr>
                      <w:kern w:val="2"/>
                      <w:sz w:val="18"/>
                      <w:szCs w:val="18"/>
                    </w:rPr>
                    <w:t>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988" w:type="dxa"/>
                  <w:vMerge w:val="continue"/>
                  <w:vAlign w:val="center"/>
                </w:tcPr>
                <w:p>
                  <w:pPr>
                    <w:pStyle w:val="14"/>
                    <w:spacing w:after="0" w:line="300" w:lineRule="exact"/>
                    <w:ind w:left="0" w:leftChars="0"/>
                    <w:jc w:val="center"/>
                    <w:rPr>
                      <w:sz w:val="18"/>
                      <w:szCs w:val="18"/>
                    </w:rPr>
                  </w:pPr>
                </w:p>
              </w:tc>
              <w:tc>
                <w:tcPr>
                  <w:tcW w:w="1115" w:type="dxa"/>
                  <w:vAlign w:val="center"/>
                </w:tcPr>
                <w:p>
                  <w:pPr>
                    <w:pStyle w:val="61"/>
                    <w:widowControl w:val="0"/>
                    <w:pBdr>
                      <w:left w:val="none" w:color="auto" w:sz="0" w:space="0"/>
                      <w:bottom w:val="none" w:color="auto" w:sz="0" w:space="0"/>
                      <w:right w:val="none" w:color="auto" w:sz="0" w:space="0"/>
                    </w:pBdr>
                    <w:spacing w:before="0" w:beforeAutospacing="0" w:after="0" w:afterAutospacing="0" w:line="300" w:lineRule="exact"/>
                    <w:rPr>
                      <w:kern w:val="2"/>
                      <w:sz w:val="18"/>
                      <w:szCs w:val="18"/>
                    </w:rPr>
                  </w:pPr>
                  <w:r>
                    <w:rPr>
                      <w:kern w:val="2"/>
                      <w:sz w:val="18"/>
                      <w:szCs w:val="18"/>
                    </w:rPr>
                    <w:t>氢氧化钠</w:t>
                  </w:r>
                </w:p>
              </w:tc>
              <w:tc>
                <w:tcPr>
                  <w:tcW w:w="1948" w:type="dxa"/>
                  <w:vAlign w:val="center"/>
                </w:tcPr>
                <w:p>
                  <w:pPr>
                    <w:spacing w:line="300" w:lineRule="exact"/>
                    <w:jc w:val="center"/>
                    <w:rPr>
                      <w:sz w:val="18"/>
                      <w:szCs w:val="18"/>
                    </w:rPr>
                  </w:pPr>
                  <w:r>
                    <w:rPr>
                      <w:rFonts w:hint="eastAsia"/>
                      <w:sz w:val="18"/>
                      <w:szCs w:val="18"/>
                    </w:rPr>
                    <w:t>15吨</w:t>
                  </w:r>
                </w:p>
              </w:tc>
              <w:tc>
                <w:tcPr>
                  <w:tcW w:w="3414" w:type="dxa"/>
                  <w:vAlign w:val="center"/>
                </w:tcPr>
                <w:p>
                  <w:pPr>
                    <w:pStyle w:val="61"/>
                    <w:widowControl w:val="0"/>
                    <w:pBdr>
                      <w:left w:val="none" w:color="auto" w:sz="0" w:space="0"/>
                      <w:bottom w:val="none" w:color="auto" w:sz="0" w:space="0"/>
                      <w:right w:val="none" w:color="auto" w:sz="0" w:space="0"/>
                    </w:pBdr>
                    <w:spacing w:before="0" w:beforeAutospacing="0" w:after="0" w:afterAutospacing="0" w:line="300" w:lineRule="exact"/>
                    <w:rPr>
                      <w:kern w:val="2"/>
                      <w:sz w:val="18"/>
                      <w:szCs w:val="18"/>
                    </w:rPr>
                  </w:pPr>
                  <w:r>
                    <w:rPr>
                      <w:rFonts w:hint="eastAsia"/>
                      <w:kern w:val="2"/>
                      <w:sz w:val="18"/>
                      <w:szCs w:val="18"/>
                    </w:rPr>
                    <w:t>当地市场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988" w:type="dxa"/>
                  <w:vAlign w:val="center"/>
                </w:tcPr>
                <w:p>
                  <w:pPr>
                    <w:pStyle w:val="14"/>
                    <w:spacing w:after="0" w:line="300" w:lineRule="exact"/>
                    <w:ind w:left="0" w:leftChars="0"/>
                    <w:jc w:val="center"/>
                    <w:rPr>
                      <w:sz w:val="18"/>
                      <w:szCs w:val="18"/>
                    </w:rPr>
                  </w:pPr>
                  <w:r>
                    <w:rPr>
                      <w:sz w:val="18"/>
                      <w:szCs w:val="18"/>
                    </w:rPr>
                    <w:t>能源</w:t>
                  </w:r>
                </w:p>
              </w:tc>
              <w:tc>
                <w:tcPr>
                  <w:tcW w:w="1115" w:type="dxa"/>
                  <w:vAlign w:val="center"/>
                </w:tcPr>
                <w:p>
                  <w:pPr>
                    <w:spacing w:line="300" w:lineRule="exact"/>
                    <w:jc w:val="center"/>
                    <w:rPr>
                      <w:sz w:val="18"/>
                      <w:szCs w:val="18"/>
                    </w:rPr>
                  </w:pPr>
                  <w:r>
                    <w:rPr>
                      <w:sz w:val="18"/>
                      <w:szCs w:val="18"/>
                    </w:rPr>
                    <w:t>电</w:t>
                  </w:r>
                </w:p>
              </w:tc>
              <w:tc>
                <w:tcPr>
                  <w:tcW w:w="1948" w:type="dxa"/>
                  <w:vAlign w:val="center"/>
                </w:tcPr>
                <w:p>
                  <w:pPr>
                    <w:spacing w:line="300" w:lineRule="exact"/>
                    <w:jc w:val="center"/>
                    <w:rPr>
                      <w:sz w:val="18"/>
                      <w:szCs w:val="18"/>
                    </w:rPr>
                  </w:pPr>
                  <w:r>
                    <w:rPr>
                      <w:rFonts w:hint="eastAsia"/>
                      <w:sz w:val="18"/>
                      <w:szCs w:val="18"/>
                    </w:rPr>
                    <w:t>6</w:t>
                  </w:r>
                  <w:r>
                    <w:rPr>
                      <w:sz w:val="18"/>
                      <w:szCs w:val="18"/>
                    </w:rPr>
                    <w:t>0万kW</w:t>
                  </w:r>
                  <w:r>
                    <w:rPr>
                      <w:spacing w:val="-2"/>
                      <w:sz w:val="18"/>
                      <w:szCs w:val="18"/>
                    </w:rPr>
                    <w:t>.</w:t>
                  </w:r>
                  <w:r>
                    <w:rPr>
                      <w:sz w:val="18"/>
                      <w:szCs w:val="18"/>
                    </w:rPr>
                    <w:t>h</w:t>
                  </w:r>
                </w:p>
              </w:tc>
              <w:tc>
                <w:tcPr>
                  <w:tcW w:w="3414" w:type="dxa"/>
                  <w:vAlign w:val="center"/>
                </w:tcPr>
                <w:p>
                  <w:pPr>
                    <w:pStyle w:val="61"/>
                    <w:widowControl w:val="0"/>
                    <w:pBdr>
                      <w:left w:val="none" w:color="auto" w:sz="0" w:space="0"/>
                      <w:bottom w:val="none" w:color="auto" w:sz="0" w:space="0"/>
                      <w:right w:val="none" w:color="auto" w:sz="0" w:space="0"/>
                    </w:pBdr>
                    <w:spacing w:before="0" w:beforeAutospacing="0" w:after="0" w:afterAutospacing="0" w:line="300" w:lineRule="exact"/>
                    <w:rPr>
                      <w:kern w:val="2"/>
                      <w:sz w:val="18"/>
                      <w:szCs w:val="18"/>
                    </w:rPr>
                  </w:pPr>
                  <w:r>
                    <w:rPr>
                      <w:kern w:val="2"/>
                      <w:sz w:val="18"/>
                      <w:szCs w:val="18"/>
                    </w:rPr>
                    <w:t>国家电网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988" w:type="dxa"/>
                  <w:vAlign w:val="center"/>
                </w:tcPr>
                <w:p>
                  <w:pPr>
                    <w:pStyle w:val="14"/>
                    <w:spacing w:after="0" w:line="300" w:lineRule="exact"/>
                    <w:ind w:left="0" w:leftChars="0"/>
                    <w:jc w:val="center"/>
                    <w:rPr>
                      <w:sz w:val="18"/>
                      <w:szCs w:val="18"/>
                    </w:rPr>
                  </w:pPr>
                  <w:r>
                    <w:rPr>
                      <w:sz w:val="18"/>
                      <w:szCs w:val="18"/>
                    </w:rPr>
                    <w:t>水</w:t>
                  </w:r>
                </w:p>
              </w:tc>
              <w:tc>
                <w:tcPr>
                  <w:tcW w:w="1115" w:type="dxa"/>
                  <w:vAlign w:val="center"/>
                </w:tcPr>
                <w:p>
                  <w:pPr>
                    <w:spacing w:line="300" w:lineRule="exact"/>
                    <w:jc w:val="center"/>
                    <w:rPr>
                      <w:sz w:val="18"/>
                      <w:szCs w:val="18"/>
                    </w:rPr>
                  </w:pPr>
                  <w:r>
                    <w:rPr>
                      <w:sz w:val="18"/>
                      <w:szCs w:val="18"/>
                    </w:rPr>
                    <w:t>水</w:t>
                  </w:r>
                </w:p>
              </w:tc>
              <w:tc>
                <w:tcPr>
                  <w:tcW w:w="1948" w:type="dxa"/>
                  <w:vAlign w:val="center"/>
                </w:tcPr>
                <w:p>
                  <w:pPr>
                    <w:spacing w:line="300" w:lineRule="exact"/>
                    <w:jc w:val="center"/>
                    <w:rPr>
                      <w:sz w:val="18"/>
                      <w:szCs w:val="18"/>
                    </w:rPr>
                  </w:pPr>
                  <w:r>
                    <w:rPr>
                      <w:rFonts w:hint="eastAsia"/>
                      <w:sz w:val="18"/>
                      <w:szCs w:val="18"/>
                    </w:rPr>
                    <w:t>21024</w:t>
                  </w:r>
                  <w:r>
                    <w:rPr>
                      <w:sz w:val="18"/>
                      <w:szCs w:val="18"/>
                    </w:rPr>
                    <w:t>m</w:t>
                  </w:r>
                  <w:r>
                    <w:rPr>
                      <w:sz w:val="18"/>
                      <w:szCs w:val="18"/>
                      <w:vertAlign w:val="superscript"/>
                    </w:rPr>
                    <w:t>3</w:t>
                  </w:r>
                </w:p>
              </w:tc>
              <w:tc>
                <w:tcPr>
                  <w:tcW w:w="3414" w:type="dxa"/>
                  <w:vAlign w:val="center"/>
                </w:tcPr>
                <w:p>
                  <w:pPr>
                    <w:pStyle w:val="61"/>
                    <w:widowControl w:val="0"/>
                    <w:pBdr>
                      <w:left w:val="none" w:color="auto" w:sz="0" w:space="0"/>
                      <w:bottom w:val="none" w:color="auto" w:sz="0" w:space="0"/>
                      <w:right w:val="none" w:color="auto" w:sz="0" w:space="0"/>
                    </w:pBdr>
                    <w:spacing w:before="0" w:beforeAutospacing="0" w:after="0" w:afterAutospacing="0" w:line="300" w:lineRule="exact"/>
                    <w:rPr>
                      <w:kern w:val="2"/>
                      <w:sz w:val="18"/>
                      <w:szCs w:val="18"/>
                    </w:rPr>
                  </w:pPr>
                  <w:r>
                    <w:rPr>
                      <w:rFonts w:hint="eastAsia"/>
                      <w:kern w:val="2"/>
                      <w:sz w:val="18"/>
                      <w:szCs w:val="18"/>
                    </w:rPr>
                    <w:t>堰塘收集的雨水、井水或自来水</w:t>
                  </w:r>
                </w:p>
              </w:tc>
            </w:tr>
          </w:tbl>
          <w:p>
            <w:pPr>
              <w:spacing w:line="400" w:lineRule="exact"/>
              <w:jc w:val="center"/>
              <w:rPr>
                <w:rFonts w:eastAsia="黑体"/>
                <w:sz w:val="18"/>
                <w:szCs w:val="18"/>
              </w:rPr>
            </w:pPr>
            <w:r>
              <w:rPr>
                <w:rFonts w:eastAsia="黑体"/>
                <w:sz w:val="18"/>
                <w:szCs w:val="18"/>
              </w:rPr>
              <w:t>表</w:t>
            </w:r>
            <w:r>
              <w:rPr>
                <w:rFonts w:hint="eastAsia" w:eastAsia="黑体"/>
                <w:sz w:val="18"/>
                <w:szCs w:val="18"/>
              </w:rPr>
              <w:t>2-5      制砖原料技改前后变化情况</w:t>
            </w:r>
          </w:p>
          <w:tbl>
            <w:tblPr>
              <w:tblStyle w:val="20"/>
              <w:tblW w:w="74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6"/>
              <w:gridCol w:w="1783"/>
              <w:gridCol w:w="1723"/>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6" w:hRule="atLeast"/>
                <w:jc w:val="center"/>
              </w:trPr>
              <w:tc>
                <w:tcPr>
                  <w:tcW w:w="2576" w:type="dxa"/>
                  <w:tcBorders>
                    <w:right w:val="single" w:color="000000" w:sz="4" w:space="0"/>
                  </w:tcBorders>
                  <w:vAlign w:val="center"/>
                </w:tcPr>
                <w:p>
                  <w:pPr>
                    <w:spacing w:line="300" w:lineRule="exact"/>
                    <w:jc w:val="center"/>
                    <w:rPr>
                      <w:sz w:val="18"/>
                      <w:szCs w:val="18"/>
                    </w:rPr>
                  </w:pPr>
                  <w:r>
                    <w:rPr>
                      <w:sz w:val="18"/>
                      <w:szCs w:val="18"/>
                    </w:rPr>
                    <w:t>原料名称</w:t>
                  </w:r>
                </w:p>
              </w:tc>
              <w:tc>
                <w:tcPr>
                  <w:tcW w:w="1783" w:type="dxa"/>
                  <w:tcBorders>
                    <w:left w:val="single" w:color="000000" w:sz="4" w:space="0"/>
                  </w:tcBorders>
                  <w:vAlign w:val="center"/>
                </w:tcPr>
                <w:p>
                  <w:pPr>
                    <w:spacing w:line="300" w:lineRule="exact"/>
                    <w:jc w:val="center"/>
                    <w:rPr>
                      <w:sz w:val="18"/>
                      <w:szCs w:val="18"/>
                    </w:rPr>
                  </w:pPr>
                  <w:r>
                    <w:rPr>
                      <w:sz w:val="18"/>
                      <w:szCs w:val="18"/>
                    </w:rPr>
                    <w:t>原有项目年用量</w:t>
                  </w:r>
                </w:p>
              </w:tc>
              <w:tc>
                <w:tcPr>
                  <w:tcW w:w="1723" w:type="dxa"/>
                  <w:vAlign w:val="center"/>
                </w:tcPr>
                <w:p>
                  <w:pPr>
                    <w:spacing w:line="300" w:lineRule="exact"/>
                    <w:jc w:val="center"/>
                    <w:rPr>
                      <w:sz w:val="18"/>
                      <w:szCs w:val="18"/>
                    </w:rPr>
                  </w:pPr>
                  <w:r>
                    <w:rPr>
                      <w:sz w:val="18"/>
                      <w:szCs w:val="18"/>
                    </w:rPr>
                    <w:t>技改后年用量</w:t>
                  </w:r>
                </w:p>
              </w:tc>
              <w:tc>
                <w:tcPr>
                  <w:tcW w:w="1408" w:type="dxa"/>
                  <w:vAlign w:val="center"/>
                </w:tcPr>
                <w:p>
                  <w:pPr>
                    <w:spacing w:line="300" w:lineRule="exact"/>
                    <w:jc w:val="center"/>
                    <w:rPr>
                      <w:sz w:val="18"/>
                      <w:szCs w:val="18"/>
                    </w:rPr>
                  </w:pPr>
                  <w:r>
                    <w:rPr>
                      <w:sz w:val="18"/>
                      <w:szCs w:val="18"/>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6" w:hRule="atLeast"/>
                <w:jc w:val="center"/>
              </w:trPr>
              <w:tc>
                <w:tcPr>
                  <w:tcW w:w="2576" w:type="dxa"/>
                  <w:tcBorders>
                    <w:right w:val="single" w:color="000000" w:sz="4" w:space="0"/>
                  </w:tcBorders>
                  <w:vAlign w:val="center"/>
                </w:tcPr>
                <w:p>
                  <w:pPr>
                    <w:pStyle w:val="61"/>
                    <w:widowControl w:val="0"/>
                    <w:pBdr>
                      <w:left w:val="none" w:color="auto" w:sz="0" w:space="0"/>
                      <w:bottom w:val="none" w:color="auto" w:sz="0" w:space="0"/>
                      <w:right w:val="none" w:color="auto" w:sz="0" w:space="0"/>
                    </w:pBdr>
                    <w:spacing w:before="0" w:beforeAutospacing="0" w:after="0" w:afterAutospacing="0" w:line="300" w:lineRule="exact"/>
                    <w:rPr>
                      <w:kern w:val="2"/>
                      <w:sz w:val="18"/>
                      <w:szCs w:val="18"/>
                    </w:rPr>
                  </w:pPr>
                  <w:r>
                    <w:rPr>
                      <w:kern w:val="2"/>
                      <w:sz w:val="18"/>
                      <w:szCs w:val="18"/>
                    </w:rPr>
                    <w:t>煤矸石</w:t>
                  </w:r>
                </w:p>
              </w:tc>
              <w:tc>
                <w:tcPr>
                  <w:tcW w:w="1783" w:type="dxa"/>
                  <w:tcBorders>
                    <w:left w:val="single" w:color="000000" w:sz="4" w:space="0"/>
                  </w:tcBorders>
                  <w:vAlign w:val="center"/>
                </w:tcPr>
                <w:p>
                  <w:pPr>
                    <w:spacing w:line="300" w:lineRule="exact"/>
                    <w:jc w:val="center"/>
                    <w:rPr>
                      <w:sz w:val="18"/>
                      <w:szCs w:val="18"/>
                    </w:rPr>
                  </w:pPr>
                  <w:r>
                    <w:rPr>
                      <w:rFonts w:hint="eastAsia"/>
                      <w:sz w:val="18"/>
                      <w:szCs w:val="18"/>
                    </w:rPr>
                    <w:t>9600t/a</w:t>
                  </w:r>
                </w:p>
              </w:tc>
              <w:tc>
                <w:tcPr>
                  <w:tcW w:w="1723" w:type="dxa"/>
                  <w:vAlign w:val="center"/>
                </w:tcPr>
                <w:p>
                  <w:pPr>
                    <w:spacing w:line="300" w:lineRule="exact"/>
                    <w:jc w:val="center"/>
                    <w:rPr>
                      <w:sz w:val="18"/>
                      <w:szCs w:val="18"/>
                    </w:rPr>
                  </w:pPr>
                  <w:r>
                    <w:rPr>
                      <w:rFonts w:hint="eastAsia"/>
                      <w:sz w:val="18"/>
                      <w:szCs w:val="18"/>
                    </w:rPr>
                    <w:t>8300t/a</w:t>
                  </w:r>
                </w:p>
              </w:tc>
              <w:tc>
                <w:tcPr>
                  <w:tcW w:w="1408" w:type="dxa"/>
                  <w:vAlign w:val="center"/>
                </w:tcPr>
                <w:p>
                  <w:pPr>
                    <w:spacing w:line="300" w:lineRule="exact"/>
                    <w:jc w:val="center"/>
                    <w:rPr>
                      <w:sz w:val="18"/>
                      <w:szCs w:val="18"/>
                    </w:rPr>
                  </w:pPr>
                  <w:r>
                    <w:rPr>
                      <w:rFonts w:hint="eastAsia"/>
                      <w:sz w:val="18"/>
                      <w:szCs w:val="18"/>
                    </w:rPr>
                    <w:t>-1300t/a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6" w:hRule="atLeast"/>
                <w:jc w:val="center"/>
              </w:trPr>
              <w:tc>
                <w:tcPr>
                  <w:tcW w:w="2576" w:type="dxa"/>
                  <w:tcBorders>
                    <w:right w:val="single" w:color="000000" w:sz="4" w:space="0"/>
                  </w:tcBorders>
                  <w:vAlign w:val="center"/>
                </w:tcPr>
                <w:p>
                  <w:pPr>
                    <w:pStyle w:val="61"/>
                    <w:widowControl w:val="0"/>
                    <w:pBdr>
                      <w:left w:val="none" w:color="auto" w:sz="0" w:space="0"/>
                      <w:bottom w:val="none" w:color="auto" w:sz="0" w:space="0"/>
                      <w:right w:val="none" w:color="auto" w:sz="0" w:space="0"/>
                    </w:pBdr>
                    <w:spacing w:before="0" w:beforeAutospacing="0" w:after="0" w:afterAutospacing="0" w:line="300" w:lineRule="exact"/>
                    <w:rPr>
                      <w:kern w:val="2"/>
                      <w:sz w:val="18"/>
                      <w:szCs w:val="18"/>
                    </w:rPr>
                  </w:pPr>
                  <w:r>
                    <w:rPr>
                      <w:rFonts w:hint="eastAsia"/>
                      <w:kern w:val="2"/>
                      <w:sz w:val="18"/>
                      <w:szCs w:val="18"/>
                    </w:rPr>
                    <w:t>建筑渣土</w:t>
                  </w:r>
                </w:p>
              </w:tc>
              <w:tc>
                <w:tcPr>
                  <w:tcW w:w="1783" w:type="dxa"/>
                  <w:tcBorders>
                    <w:left w:val="single" w:color="000000" w:sz="4" w:space="0"/>
                  </w:tcBorders>
                  <w:vAlign w:val="center"/>
                </w:tcPr>
                <w:p>
                  <w:pPr>
                    <w:spacing w:line="300" w:lineRule="exact"/>
                    <w:jc w:val="center"/>
                    <w:rPr>
                      <w:sz w:val="18"/>
                      <w:szCs w:val="18"/>
                    </w:rPr>
                  </w:pPr>
                  <w:r>
                    <w:rPr>
                      <w:rFonts w:hint="eastAsia"/>
                      <w:sz w:val="18"/>
                      <w:szCs w:val="18"/>
                    </w:rPr>
                    <w:t>22400t/a</w:t>
                  </w:r>
                </w:p>
              </w:tc>
              <w:tc>
                <w:tcPr>
                  <w:tcW w:w="1723" w:type="dxa"/>
                  <w:vAlign w:val="center"/>
                </w:tcPr>
                <w:p>
                  <w:pPr>
                    <w:spacing w:line="300" w:lineRule="exact"/>
                    <w:jc w:val="center"/>
                    <w:rPr>
                      <w:sz w:val="18"/>
                      <w:szCs w:val="18"/>
                    </w:rPr>
                  </w:pPr>
                  <w:r>
                    <w:rPr>
                      <w:rFonts w:hint="eastAsia"/>
                      <w:sz w:val="18"/>
                      <w:szCs w:val="18"/>
                    </w:rPr>
                    <w:t>20700t/a</w:t>
                  </w:r>
                </w:p>
              </w:tc>
              <w:tc>
                <w:tcPr>
                  <w:tcW w:w="1408" w:type="dxa"/>
                  <w:vAlign w:val="center"/>
                </w:tcPr>
                <w:p>
                  <w:pPr>
                    <w:spacing w:line="300" w:lineRule="exact"/>
                    <w:jc w:val="center"/>
                    <w:rPr>
                      <w:sz w:val="18"/>
                      <w:szCs w:val="18"/>
                    </w:rPr>
                  </w:pPr>
                  <w:r>
                    <w:rPr>
                      <w:rFonts w:hint="eastAsia"/>
                      <w:sz w:val="18"/>
                      <w:szCs w:val="18"/>
                    </w:rPr>
                    <w:t>-1700t/a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6" w:hRule="atLeast"/>
                <w:jc w:val="center"/>
              </w:trPr>
              <w:tc>
                <w:tcPr>
                  <w:tcW w:w="2576" w:type="dxa"/>
                  <w:tcBorders>
                    <w:right w:val="single" w:color="000000" w:sz="4" w:space="0"/>
                  </w:tcBorders>
                  <w:vAlign w:val="center"/>
                </w:tcPr>
                <w:p>
                  <w:pPr>
                    <w:pStyle w:val="61"/>
                    <w:widowControl w:val="0"/>
                    <w:pBdr>
                      <w:left w:val="none" w:color="auto" w:sz="0" w:space="0"/>
                      <w:bottom w:val="none" w:color="auto" w:sz="0" w:space="0"/>
                      <w:right w:val="none" w:color="auto" w:sz="0" w:space="0"/>
                    </w:pBdr>
                    <w:spacing w:before="0" w:beforeAutospacing="0" w:after="0" w:afterAutospacing="0" w:line="300" w:lineRule="exact"/>
                    <w:rPr>
                      <w:kern w:val="2"/>
                      <w:sz w:val="18"/>
                      <w:szCs w:val="18"/>
                    </w:rPr>
                  </w:pPr>
                  <w:r>
                    <w:rPr>
                      <w:rFonts w:hint="eastAsia"/>
                      <w:kern w:val="2"/>
                      <w:sz w:val="18"/>
                      <w:szCs w:val="18"/>
                    </w:rPr>
                    <w:t>城市污水厂的污泥</w:t>
                  </w:r>
                </w:p>
              </w:tc>
              <w:tc>
                <w:tcPr>
                  <w:tcW w:w="1783" w:type="dxa"/>
                  <w:tcBorders>
                    <w:left w:val="single" w:color="000000" w:sz="4" w:space="0"/>
                  </w:tcBorders>
                  <w:vAlign w:val="center"/>
                </w:tcPr>
                <w:p>
                  <w:pPr>
                    <w:spacing w:line="300" w:lineRule="exact"/>
                    <w:jc w:val="center"/>
                    <w:rPr>
                      <w:sz w:val="18"/>
                      <w:szCs w:val="18"/>
                    </w:rPr>
                  </w:pPr>
                  <w:r>
                    <w:rPr>
                      <w:rFonts w:hint="eastAsia"/>
                      <w:sz w:val="18"/>
                      <w:szCs w:val="18"/>
                    </w:rPr>
                    <w:t>/</w:t>
                  </w:r>
                </w:p>
              </w:tc>
              <w:tc>
                <w:tcPr>
                  <w:tcW w:w="1723" w:type="dxa"/>
                  <w:vAlign w:val="center"/>
                </w:tcPr>
                <w:p>
                  <w:pPr>
                    <w:spacing w:line="300" w:lineRule="exact"/>
                    <w:jc w:val="center"/>
                    <w:rPr>
                      <w:sz w:val="18"/>
                      <w:szCs w:val="18"/>
                    </w:rPr>
                  </w:pPr>
                  <w:r>
                    <w:rPr>
                      <w:rFonts w:hint="eastAsia"/>
                      <w:sz w:val="18"/>
                      <w:szCs w:val="18"/>
                    </w:rPr>
                    <w:t>3000t/a</w:t>
                  </w:r>
                </w:p>
              </w:tc>
              <w:tc>
                <w:tcPr>
                  <w:tcW w:w="1408" w:type="dxa"/>
                  <w:vAlign w:val="center"/>
                </w:tcPr>
                <w:p>
                  <w:pPr>
                    <w:spacing w:line="300" w:lineRule="exact"/>
                    <w:jc w:val="center"/>
                    <w:rPr>
                      <w:sz w:val="18"/>
                      <w:szCs w:val="18"/>
                    </w:rPr>
                  </w:pPr>
                  <w:r>
                    <w:rPr>
                      <w:rFonts w:hint="eastAsia"/>
                      <w:sz w:val="18"/>
                      <w:szCs w:val="18"/>
                    </w:rPr>
                    <w:t>+3000t/a</w:t>
                  </w:r>
                </w:p>
              </w:tc>
            </w:tr>
          </w:tbl>
          <w:p>
            <w:pPr>
              <w:autoSpaceDE w:val="0"/>
              <w:autoSpaceDN w:val="0"/>
              <w:adjustRightInd w:val="0"/>
              <w:snapToGrid w:val="0"/>
              <w:spacing w:line="400" w:lineRule="exact"/>
              <w:ind w:firstLine="422" w:firstLineChars="200"/>
              <w:jc w:val="left"/>
              <w:rPr>
                <w:b/>
                <w:kern w:val="0"/>
                <w:szCs w:val="21"/>
              </w:rPr>
            </w:pPr>
            <w:r>
              <w:rPr>
                <w:rFonts w:hint="eastAsia"/>
                <w:b/>
                <w:kern w:val="0"/>
                <w:szCs w:val="21"/>
              </w:rPr>
              <w:t>原料成分及性质简述：</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（1）煤矸石、建筑渣土</w:t>
            </w:r>
          </w:p>
          <w:p>
            <w:pPr>
              <w:autoSpaceDE w:val="0"/>
              <w:autoSpaceDN w:val="0"/>
              <w:adjustRightInd w:val="0"/>
              <w:snapToGrid w:val="0"/>
              <w:spacing w:line="400" w:lineRule="exact"/>
              <w:ind w:firstLine="420" w:firstLineChars="200"/>
              <w:jc w:val="left"/>
              <w:rPr>
                <w:kern w:val="0"/>
                <w:szCs w:val="21"/>
              </w:rPr>
            </w:pPr>
            <w:r>
              <w:rPr>
                <w:kern w:val="0"/>
                <w:szCs w:val="21"/>
              </w:rPr>
              <w:t>煤矸石是指煤矿在建井、开拓掘进、采煤和煤炭洗选过程中排出的含碳岩石及岩石，是煤矿建设、生产过程中的废弃物。煤矸石是在成煤过程中与煤层伴生的一种含碳量低、比较坚硬的黑色岩石，由碳质页岩、碳质砂岩、页岩、砂岩等岩石组成的混合物，矿物成分主要是高岭土、石英、蒙脱石、长石、伊利石、石灰石、硫化铁、氧化铝等，《煤矸石综合利用技术政策要点》中煤矸石按其含碳量的不同分为四类，其中可用于制砖的为第三类煤矸石，发热量一般为2090～6270kJ/kg。</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项目本次技改后仍使用现有工程采用的煤矸石，主要来自大竹县及周边城市的煤矿开采企业。建筑废弃物主要来自大竹县及周边城市的建筑工地产生的建筑渣土。</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经查阅相关资料，本项目使用的原料（建筑渣土、煤矸石）的主要成分占比情况见下表。</w:t>
            </w:r>
          </w:p>
          <w:p>
            <w:pPr>
              <w:pStyle w:val="14"/>
              <w:spacing w:after="0" w:line="400" w:lineRule="exact"/>
              <w:ind w:left="0" w:leftChars="0"/>
              <w:jc w:val="center"/>
              <w:rPr>
                <w:rFonts w:eastAsia="黑体"/>
                <w:sz w:val="18"/>
                <w:szCs w:val="18"/>
              </w:rPr>
            </w:pPr>
            <w:r>
              <w:rPr>
                <w:rFonts w:eastAsia="黑体"/>
                <w:sz w:val="18"/>
                <w:szCs w:val="18"/>
              </w:rPr>
              <w:t>表</w:t>
            </w:r>
            <w:r>
              <w:rPr>
                <w:rFonts w:hint="eastAsia" w:eastAsia="黑体"/>
                <w:sz w:val="18"/>
                <w:szCs w:val="18"/>
              </w:rPr>
              <w:t xml:space="preserve">2-6  </w:t>
            </w:r>
            <w:r>
              <w:rPr>
                <w:rFonts w:eastAsia="黑体"/>
                <w:sz w:val="18"/>
                <w:szCs w:val="18"/>
              </w:rPr>
              <w:t>煤矸石的主要成分</w:t>
            </w:r>
          </w:p>
          <w:tbl>
            <w:tblPr>
              <w:tblStyle w:val="20"/>
              <w:tblW w:w="78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883"/>
              <w:gridCol w:w="884"/>
              <w:gridCol w:w="883"/>
              <w:gridCol w:w="883"/>
              <w:gridCol w:w="1000"/>
              <w:gridCol w:w="913"/>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883" w:type="dxa"/>
                  <w:tcBorders>
                    <w:tl2br w:val="nil"/>
                  </w:tcBorders>
                  <w:vAlign w:val="center"/>
                </w:tcPr>
                <w:p>
                  <w:pPr>
                    <w:pStyle w:val="14"/>
                    <w:spacing w:after="0" w:line="320" w:lineRule="exact"/>
                    <w:ind w:left="0" w:leftChars="0"/>
                    <w:jc w:val="center"/>
                    <w:rPr>
                      <w:sz w:val="18"/>
                      <w:szCs w:val="18"/>
                    </w:rPr>
                  </w:pPr>
                  <w:r>
                    <w:rPr>
                      <w:rFonts w:hint="eastAsia"/>
                      <w:sz w:val="18"/>
                      <w:szCs w:val="18"/>
                    </w:rPr>
                    <w:t>指标</w:t>
                  </w:r>
                </w:p>
              </w:tc>
              <w:tc>
                <w:tcPr>
                  <w:tcW w:w="883" w:type="dxa"/>
                  <w:vAlign w:val="center"/>
                </w:tcPr>
                <w:p>
                  <w:pPr>
                    <w:pStyle w:val="14"/>
                    <w:spacing w:after="0" w:line="320" w:lineRule="exact"/>
                    <w:ind w:left="0" w:leftChars="0"/>
                    <w:jc w:val="center"/>
                    <w:rPr>
                      <w:sz w:val="18"/>
                      <w:szCs w:val="18"/>
                    </w:rPr>
                  </w:pPr>
                  <w:r>
                    <w:rPr>
                      <w:sz w:val="18"/>
                      <w:szCs w:val="18"/>
                    </w:rPr>
                    <w:t>粒度（mm）</w:t>
                  </w:r>
                </w:p>
              </w:tc>
              <w:tc>
                <w:tcPr>
                  <w:tcW w:w="884" w:type="dxa"/>
                  <w:vAlign w:val="center"/>
                </w:tcPr>
                <w:p>
                  <w:pPr>
                    <w:pStyle w:val="14"/>
                    <w:spacing w:after="0" w:line="320" w:lineRule="exact"/>
                    <w:ind w:left="0" w:leftChars="0"/>
                    <w:jc w:val="center"/>
                    <w:rPr>
                      <w:sz w:val="18"/>
                      <w:szCs w:val="18"/>
                    </w:rPr>
                  </w:pPr>
                  <w:r>
                    <w:rPr>
                      <w:sz w:val="18"/>
                      <w:szCs w:val="18"/>
                    </w:rPr>
                    <w:t>含水率（%）</w:t>
                  </w:r>
                </w:p>
              </w:tc>
              <w:tc>
                <w:tcPr>
                  <w:tcW w:w="883" w:type="dxa"/>
                  <w:vAlign w:val="center"/>
                </w:tcPr>
                <w:p>
                  <w:pPr>
                    <w:pStyle w:val="14"/>
                    <w:spacing w:after="0" w:line="320" w:lineRule="exact"/>
                    <w:ind w:left="0" w:leftChars="0"/>
                    <w:jc w:val="center"/>
                    <w:rPr>
                      <w:sz w:val="18"/>
                      <w:szCs w:val="18"/>
                    </w:rPr>
                  </w:pPr>
                  <w:r>
                    <w:rPr>
                      <w:sz w:val="18"/>
                      <w:szCs w:val="18"/>
                    </w:rPr>
                    <w:t>灰分（%）</w:t>
                  </w:r>
                </w:p>
              </w:tc>
              <w:tc>
                <w:tcPr>
                  <w:tcW w:w="883" w:type="dxa"/>
                  <w:vAlign w:val="center"/>
                </w:tcPr>
                <w:p>
                  <w:pPr>
                    <w:pStyle w:val="14"/>
                    <w:spacing w:after="0" w:line="320" w:lineRule="exact"/>
                    <w:ind w:left="0" w:leftChars="0"/>
                    <w:jc w:val="center"/>
                    <w:rPr>
                      <w:sz w:val="18"/>
                      <w:szCs w:val="18"/>
                    </w:rPr>
                  </w:pPr>
                  <w:r>
                    <w:rPr>
                      <w:sz w:val="18"/>
                      <w:szCs w:val="18"/>
                    </w:rPr>
                    <w:t>挥发分（%）</w:t>
                  </w:r>
                </w:p>
              </w:tc>
              <w:tc>
                <w:tcPr>
                  <w:tcW w:w="1000" w:type="dxa"/>
                  <w:vAlign w:val="center"/>
                </w:tcPr>
                <w:p>
                  <w:pPr>
                    <w:pStyle w:val="14"/>
                    <w:spacing w:after="0" w:line="320" w:lineRule="exact"/>
                    <w:ind w:left="0" w:leftChars="0"/>
                    <w:jc w:val="center"/>
                    <w:rPr>
                      <w:sz w:val="18"/>
                      <w:szCs w:val="18"/>
                    </w:rPr>
                  </w:pPr>
                  <w:r>
                    <w:rPr>
                      <w:sz w:val="18"/>
                      <w:szCs w:val="18"/>
                    </w:rPr>
                    <w:t>全硫</w:t>
                  </w:r>
                </w:p>
                <w:p>
                  <w:pPr>
                    <w:pStyle w:val="14"/>
                    <w:spacing w:after="0" w:line="320" w:lineRule="exact"/>
                    <w:ind w:left="0" w:leftChars="0"/>
                    <w:jc w:val="center"/>
                    <w:rPr>
                      <w:sz w:val="18"/>
                      <w:szCs w:val="18"/>
                    </w:rPr>
                  </w:pPr>
                  <w:r>
                    <w:rPr>
                      <w:sz w:val="18"/>
                      <w:szCs w:val="18"/>
                    </w:rPr>
                    <w:t>（%）</w:t>
                  </w:r>
                </w:p>
              </w:tc>
              <w:tc>
                <w:tcPr>
                  <w:tcW w:w="913" w:type="dxa"/>
                  <w:vAlign w:val="center"/>
                </w:tcPr>
                <w:p>
                  <w:pPr>
                    <w:pStyle w:val="14"/>
                    <w:spacing w:after="0" w:line="320" w:lineRule="exact"/>
                    <w:ind w:left="0" w:leftChars="0"/>
                    <w:jc w:val="center"/>
                    <w:rPr>
                      <w:sz w:val="18"/>
                      <w:szCs w:val="18"/>
                    </w:rPr>
                  </w:pPr>
                  <w:r>
                    <w:rPr>
                      <w:sz w:val="18"/>
                      <w:szCs w:val="18"/>
                    </w:rPr>
                    <w:t>固定碳（%）</w:t>
                  </w:r>
                </w:p>
              </w:tc>
              <w:tc>
                <w:tcPr>
                  <w:tcW w:w="1539" w:type="dxa"/>
                  <w:vAlign w:val="center"/>
                </w:tcPr>
                <w:p>
                  <w:pPr>
                    <w:pStyle w:val="14"/>
                    <w:spacing w:after="0" w:line="320" w:lineRule="exact"/>
                    <w:ind w:left="0" w:leftChars="0"/>
                    <w:jc w:val="center"/>
                    <w:rPr>
                      <w:sz w:val="18"/>
                      <w:szCs w:val="18"/>
                    </w:rPr>
                  </w:pPr>
                  <w:r>
                    <w:rPr>
                      <w:sz w:val="18"/>
                      <w:szCs w:val="18"/>
                    </w:rPr>
                    <w:t>热值</w:t>
                  </w:r>
                </w:p>
                <w:p>
                  <w:pPr>
                    <w:pStyle w:val="14"/>
                    <w:spacing w:after="0" w:line="320" w:lineRule="exact"/>
                    <w:ind w:left="0" w:leftChars="0"/>
                    <w:jc w:val="center"/>
                    <w:rPr>
                      <w:sz w:val="18"/>
                      <w:szCs w:val="18"/>
                    </w:rPr>
                  </w:pPr>
                  <w:r>
                    <w:rPr>
                      <w:sz w:val="18"/>
                      <w:szCs w:val="18"/>
                    </w:rPr>
                    <w:t>（kcal</w:t>
                  </w:r>
                  <w:r>
                    <w:rPr>
                      <w:rFonts w:hint="eastAsia"/>
                      <w:sz w:val="18"/>
                      <w:szCs w:val="18"/>
                    </w:rPr>
                    <w:t>/kg</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883" w:type="dxa"/>
                  <w:vAlign w:val="center"/>
                </w:tcPr>
                <w:p>
                  <w:pPr>
                    <w:pStyle w:val="14"/>
                    <w:spacing w:after="0" w:line="320" w:lineRule="exact"/>
                    <w:ind w:left="0" w:leftChars="0"/>
                    <w:jc w:val="center"/>
                    <w:rPr>
                      <w:sz w:val="18"/>
                      <w:szCs w:val="18"/>
                    </w:rPr>
                  </w:pPr>
                  <w:r>
                    <w:rPr>
                      <w:rFonts w:hint="eastAsia"/>
                      <w:sz w:val="18"/>
                      <w:szCs w:val="18"/>
                    </w:rPr>
                    <w:t>煤矸石</w:t>
                  </w:r>
                </w:p>
              </w:tc>
              <w:tc>
                <w:tcPr>
                  <w:tcW w:w="883" w:type="dxa"/>
                  <w:vAlign w:val="center"/>
                </w:tcPr>
                <w:p>
                  <w:pPr>
                    <w:pStyle w:val="14"/>
                    <w:spacing w:after="0" w:line="320" w:lineRule="exact"/>
                    <w:ind w:left="0" w:leftChars="0"/>
                    <w:jc w:val="center"/>
                    <w:rPr>
                      <w:sz w:val="18"/>
                      <w:szCs w:val="18"/>
                    </w:rPr>
                  </w:pPr>
                  <w:r>
                    <w:rPr>
                      <w:rFonts w:hint="eastAsia"/>
                      <w:sz w:val="18"/>
                      <w:szCs w:val="18"/>
                    </w:rPr>
                    <w:t>50-260</w:t>
                  </w:r>
                </w:p>
              </w:tc>
              <w:tc>
                <w:tcPr>
                  <w:tcW w:w="884" w:type="dxa"/>
                  <w:vAlign w:val="center"/>
                </w:tcPr>
                <w:p>
                  <w:pPr>
                    <w:pStyle w:val="14"/>
                    <w:spacing w:after="0" w:line="320" w:lineRule="exact"/>
                    <w:ind w:left="0" w:leftChars="0"/>
                    <w:jc w:val="center"/>
                    <w:rPr>
                      <w:sz w:val="18"/>
                      <w:szCs w:val="18"/>
                    </w:rPr>
                  </w:pPr>
                  <w:r>
                    <w:rPr>
                      <w:rFonts w:hint="eastAsia"/>
                      <w:sz w:val="18"/>
                      <w:szCs w:val="18"/>
                    </w:rPr>
                    <w:t>7</w:t>
                  </w:r>
                </w:p>
              </w:tc>
              <w:tc>
                <w:tcPr>
                  <w:tcW w:w="883" w:type="dxa"/>
                  <w:vAlign w:val="center"/>
                </w:tcPr>
                <w:p>
                  <w:pPr>
                    <w:pStyle w:val="14"/>
                    <w:spacing w:after="0" w:line="320" w:lineRule="exact"/>
                    <w:ind w:left="0" w:leftChars="0"/>
                    <w:jc w:val="center"/>
                    <w:rPr>
                      <w:sz w:val="18"/>
                      <w:szCs w:val="18"/>
                    </w:rPr>
                  </w:pPr>
                  <w:r>
                    <w:rPr>
                      <w:rFonts w:hint="eastAsia"/>
                      <w:sz w:val="18"/>
                      <w:szCs w:val="18"/>
                    </w:rPr>
                    <w:t>75~85</w:t>
                  </w:r>
                </w:p>
              </w:tc>
              <w:tc>
                <w:tcPr>
                  <w:tcW w:w="883" w:type="dxa"/>
                  <w:vAlign w:val="center"/>
                </w:tcPr>
                <w:p>
                  <w:pPr>
                    <w:pStyle w:val="14"/>
                    <w:spacing w:after="0" w:line="320" w:lineRule="exact"/>
                    <w:ind w:left="0" w:leftChars="0"/>
                    <w:jc w:val="center"/>
                    <w:rPr>
                      <w:sz w:val="18"/>
                      <w:szCs w:val="18"/>
                    </w:rPr>
                  </w:pPr>
                  <w:r>
                    <w:rPr>
                      <w:rFonts w:hint="eastAsia"/>
                      <w:sz w:val="18"/>
                      <w:szCs w:val="18"/>
                    </w:rPr>
                    <w:t>8~10</w:t>
                  </w:r>
                </w:p>
              </w:tc>
              <w:tc>
                <w:tcPr>
                  <w:tcW w:w="1000" w:type="dxa"/>
                  <w:vAlign w:val="center"/>
                </w:tcPr>
                <w:p>
                  <w:pPr>
                    <w:pStyle w:val="14"/>
                    <w:spacing w:after="0" w:line="320" w:lineRule="exact"/>
                    <w:ind w:left="0" w:leftChars="0"/>
                    <w:jc w:val="center"/>
                    <w:rPr>
                      <w:sz w:val="18"/>
                      <w:szCs w:val="18"/>
                    </w:rPr>
                  </w:pPr>
                  <w:r>
                    <w:rPr>
                      <w:rFonts w:hint="eastAsia"/>
                      <w:sz w:val="18"/>
                      <w:szCs w:val="18"/>
                    </w:rPr>
                    <w:t>0.45~0.85</w:t>
                  </w:r>
                </w:p>
              </w:tc>
              <w:tc>
                <w:tcPr>
                  <w:tcW w:w="913" w:type="dxa"/>
                  <w:vAlign w:val="center"/>
                </w:tcPr>
                <w:p>
                  <w:pPr>
                    <w:pStyle w:val="14"/>
                    <w:spacing w:after="0" w:line="320" w:lineRule="exact"/>
                    <w:ind w:left="0" w:leftChars="0"/>
                    <w:jc w:val="center"/>
                    <w:rPr>
                      <w:sz w:val="18"/>
                      <w:szCs w:val="18"/>
                    </w:rPr>
                  </w:pPr>
                  <w:r>
                    <w:rPr>
                      <w:rFonts w:hint="eastAsia"/>
                      <w:sz w:val="18"/>
                      <w:szCs w:val="18"/>
                    </w:rPr>
                    <w:t>20~30</w:t>
                  </w:r>
                </w:p>
              </w:tc>
              <w:tc>
                <w:tcPr>
                  <w:tcW w:w="1539" w:type="dxa"/>
                  <w:vAlign w:val="center"/>
                </w:tcPr>
                <w:p>
                  <w:pPr>
                    <w:pStyle w:val="14"/>
                    <w:spacing w:after="0" w:line="320" w:lineRule="exact"/>
                    <w:ind w:left="0" w:leftChars="0"/>
                    <w:jc w:val="center"/>
                    <w:rPr>
                      <w:sz w:val="18"/>
                      <w:szCs w:val="18"/>
                    </w:rPr>
                  </w:pPr>
                  <w:r>
                    <w:rPr>
                      <w:rFonts w:hint="eastAsia"/>
                      <w:sz w:val="18"/>
                      <w:szCs w:val="18"/>
                    </w:rPr>
                    <w:t>1000~1500</w:t>
                  </w:r>
                </w:p>
              </w:tc>
            </w:tr>
          </w:tbl>
          <w:p>
            <w:pPr>
              <w:pStyle w:val="14"/>
              <w:spacing w:after="0" w:line="400" w:lineRule="exact"/>
              <w:ind w:left="0" w:leftChars="0"/>
              <w:jc w:val="center"/>
              <w:rPr>
                <w:rFonts w:eastAsia="黑体"/>
                <w:sz w:val="18"/>
                <w:szCs w:val="18"/>
              </w:rPr>
            </w:pPr>
            <w:r>
              <w:rPr>
                <w:rFonts w:eastAsia="黑体"/>
                <w:sz w:val="18"/>
                <w:szCs w:val="18"/>
              </w:rPr>
              <w:t>表</w:t>
            </w:r>
            <w:r>
              <w:rPr>
                <w:rFonts w:hint="eastAsia" w:eastAsia="黑体"/>
                <w:sz w:val="18"/>
                <w:szCs w:val="18"/>
              </w:rPr>
              <w:t xml:space="preserve">2-7  </w:t>
            </w:r>
            <w:r>
              <w:rPr>
                <w:rFonts w:eastAsia="黑体"/>
                <w:sz w:val="18"/>
                <w:szCs w:val="18"/>
              </w:rPr>
              <w:t>页岩（建筑渣土）的主要成分</w:t>
            </w:r>
          </w:p>
          <w:tbl>
            <w:tblPr>
              <w:tblStyle w:val="20"/>
              <w:tblW w:w="78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869"/>
              <w:gridCol w:w="868"/>
              <w:gridCol w:w="869"/>
              <w:gridCol w:w="868"/>
              <w:gridCol w:w="869"/>
              <w:gridCol w:w="868"/>
              <w:gridCol w:w="869"/>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868" w:type="dxa"/>
                  <w:tcBorders>
                    <w:tl2br w:val="nil"/>
                  </w:tcBorders>
                  <w:vAlign w:val="center"/>
                </w:tcPr>
                <w:p>
                  <w:pPr>
                    <w:pStyle w:val="14"/>
                    <w:spacing w:after="0" w:line="320" w:lineRule="exact"/>
                    <w:ind w:left="0" w:leftChars="0"/>
                    <w:jc w:val="center"/>
                    <w:rPr>
                      <w:sz w:val="18"/>
                      <w:szCs w:val="18"/>
                      <w:vertAlign w:val="subscript"/>
                    </w:rPr>
                  </w:pPr>
                  <w:r>
                    <w:rPr>
                      <w:rFonts w:hint="eastAsia"/>
                      <w:sz w:val="18"/>
                      <w:szCs w:val="18"/>
                    </w:rPr>
                    <w:t>SiO</w:t>
                  </w:r>
                  <w:r>
                    <w:rPr>
                      <w:rFonts w:hint="eastAsia"/>
                      <w:sz w:val="18"/>
                      <w:szCs w:val="18"/>
                      <w:vertAlign w:val="subscript"/>
                    </w:rPr>
                    <w:t>2</w:t>
                  </w:r>
                </w:p>
              </w:tc>
              <w:tc>
                <w:tcPr>
                  <w:tcW w:w="869" w:type="dxa"/>
                  <w:vAlign w:val="center"/>
                </w:tcPr>
                <w:p>
                  <w:pPr>
                    <w:pStyle w:val="14"/>
                    <w:spacing w:after="0" w:line="320" w:lineRule="exact"/>
                    <w:ind w:left="0" w:leftChars="0"/>
                    <w:jc w:val="center"/>
                    <w:rPr>
                      <w:sz w:val="18"/>
                      <w:szCs w:val="18"/>
                    </w:rPr>
                  </w:pPr>
                  <w:r>
                    <w:rPr>
                      <w:rFonts w:hint="eastAsia"/>
                      <w:sz w:val="18"/>
                      <w:szCs w:val="18"/>
                    </w:rPr>
                    <w:t>Fe</w:t>
                  </w:r>
                  <w:r>
                    <w:rPr>
                      <w:rFonts w:hint="eastAsia"/>
                      <w:sz w:val="18"/>
                      <w:szCs w:val="18"/>
                      <w:vertAlign w:val="subscript"/>
                    </w:rPr>
                    <w:t>2</w:t>
                  </w:r>
                  <w:r>
                    <w:rPr>
                      <w:rFonts w:hint="eastAsia"/>
                      <w:sz w:val="18"/>
                      <w:szCs w:val="18"/>
                    </w:rPr>
                    <w:t>O</w:t>
                  </w:r>
                  <w:r>
                    <w:rPr>
                      <w:rFonts w:hint="eastAsia"/>
                      <w:sz w:val="18"/>
                      <w:szCs w:val="18"/>
                      <w:vertAlign w:val="subscript"/>
                    </w:rPr>
                    <w:t>3</w:t>
                  </w:r>
                </w:p>
              </w:tc>
              <w:tc>
                <w:tcPr>
                  <w:tcW w:w="868" w:type="dxa"/>
                  <w:vAlign w:val="center"/>
                </w:tcPr>
                <w:p>
                  <w:pPr>
                    <w:pStyle w:val="14"/>
                    <w:spacing w:after="0" w:line="320" w:lineRule="exact"/>
                    <w:ind w:left="0" w:leftChars="0"/>
                    <w:jc w:val="center"/>
                    <w:rPr>
                      <w:sz w:val="18"/>
                      <w:szCs w:val="18"/>
                    </w:rPr>
                  </w:pPr>
                  <w:r>
                    <w:rPr>
                      <w:rFonts w:hint="eastAsia"/>
                      <w:sz w:val="18"/>
                      <w:szCs w:val="18"/>
                    </w:rPr>
                    <w:t>CaO</w:t>
                  </w:r>
                </w:p>
              </w:tc>
              <w:tc>
                <w:tcPr>
                  <w:tcW w:w="869" w:type="dxa"/>
                  <w:vAlign w:val="center"/>
                </w:tcPr>
                <w:p>
                  <w:pPr>
                    <w:pStyle w:val="14"/>
                    <w:spacing w:after="0" w:line="320" w:lineRule="exact"/>
                    <w:ind w:left="0" w:leftChars="0"/>
                    <w:jc w:val="center"/>
                    <w:rPr>
                      <w:sz w:val="18"/>
                      <w:szCs w:val="18"/>
                    </w:rPr>
                  </w:pPr>
                  <w:r>
                    <w:rPr>
                      <w:rFonts w:hint="eastAsia"/>
                      <w:sz w:val="18"/>
                      <w:szCs w:val="18"/>
                    </w:rPr>
                    <w:t>MgO</w:t>
                  </w:r>
                </w:p>
              </w:tc>
              <w:tc>
                <w:tcPr>
                  <w:tcW w:w="868" w:type="dxa"/>
                  <w:vAlign w:val="center"/>
                </w:tcPr>
                <w:p>
                  <w:pPr>
                    <w:pStyle w:val="14"/>
                    <w:spacing w:after="0" w:line="320" w:lineRule="exact"/>
                    <w:ind w:left="0" w:leftChars="0"/>
                    <w:jc w:val="center"/>
                    <w:rPr>
                      <w:sz w:val="18"/>
                      <w:szCs w:val="18"/>
                    </w:rPr>
                  </w:pPr>
                  <w:r>
                    <w:rPr>
                      <w:rFonts w:hint="eastAsia"/>
                      <w:sz w:val="18"/>
                      <w:szCs w:val="18"/>
                    </w:rPr>
                    <w:t>K</w:t>
                  </w:r>
                  <w:r>
                    <w:rPr>
                      <w:rFonts w:hint="eastAsia"/>
                      <w:sz w:val="18"/>
                      <w:szCs w:val="18"/>
                      <w:vertAlign w:val="subscript"/>
                    </w:rPr>
                    <w:t>2</w:t>
                  </w:r>
                  <w:r>
                    <w:rPr>
                      <w:rFonts w:hint="eastAsia"/>
                      <w:sz w:val="18"/>
                      <w:szCs w:val="18"/>
                    </w:rPr>
                    <w:t>O</w:t>
                  </w:r>
                </w:p>
              </w:tc>
              <w:tc>
                <w:tcPr>
                  <w:tcW w:w="869" w:type="dxa"/>
                  <w:vAlign w:val="center"/>
                </w:tcPr>
                <w:p>
                  <w:pPr>
                    <w:pStyle w:val="14"/>
                    <w:spacing w:after="0" w:line="320" w:lineRule="exact"/>
                    <w:ind w:left="0" w:leftChars="0"/>
                    <w:jc w:val="center"/>
                    <w:rPr>
                      <w:sz w:val="18"/>
                      <w:szCs w:val="18"/>
                    </w:rPr>
                  </w:pPr>
                  <w:r>
                    <w:rPr>
                      <w:rFonts w:hint="eastAsia"/>
                      <w:sz w:val="18"/>
                      <w:szCs w:val="18"/>
                    </w:rPr>
                    <w:t>Na</w:t>
                  </w:r>
                  <w:r>
                    <w:rPr>
                      <w:rFonts w:hint="eastAsia"/>
                      <w:sz w:val="18"/>
                      <w:szCs w:val="18"/>
                      <w:vertAlign w:val="subscript"/>
                    </w:rPr>
                    <w:t>2</w:t>
                  </w:r>
                  <w:r>
                    <w:rPr>
                      <w:rFonts w:hint="eastAsia"/>
                      <w:sz w:val="18"/>
                      <w:szCs w:val="18"/>
                    </w:rPr>
                    <w:t>O</w:t>
                  </w:r>
                </w:p>
              </w:tc>
              <w:tc>
                <w:tcPr>
                  <w:tcW w:w="868" w:type="dxa"/>
                  <w:vAlign w:val="center"/>
                </w:tcPr>
                <w:p>
                  <w:pPr>
                    <w:pStyle w:val="14"/>
                    <w:spacing w:after="0" w:line="320" w:lineRule="exact"/>
                    <w:ind w:left="0" w:leftChars="0"/>
                    <w:jc w:val="center"/>
                    <w:rPr>
                      <w:sz w:val="18"/>
                      <w:szCs w:val="18"/>
                    </w:rPr>
                  </w:pPr>
                  <w:r>
                    <w:rPr>
                      <w:rFonts w:hint="eastAsia"/>
                      <w:sz w:val="18"/>
                      <w:szCs w:val="18"/>
                    </w:rPr>
                    <w:t>Al</w:t>
                  </w:r>
                  <w:r>
                    <w:rPr>
                      <w:rFonts w:hint="eastAsia"/>
                      <w:sz w:val="18"/>
                      <w:szCs w:val="18"/>
                      <w:vertAlign w:val="subscript"/>
                    </w:rPr>
                    <w:t>2</w:t>
                  </w:r>
                  <w:r>
                    <w:rPr>
                      <w:rFonts w:hint="eastAsia"/>
                      <w:sz w:val="18"/>
                      <w:szCs w:val="18"/>
                    </w:rPr>
                    <w:t>O</w:t>
                  </w:r>
                  <w:r>
                    <w:rPr>
                      <w:rFonts w:hint="eastAsia"/>
                      <w:sz w:val="18"/>
                      <w:szCs w:val="18"/>
                      <w:vertAlign w:val="subscript"/>
                    </w:rPr>
                    <w:t>3</w:t>
                  </w:r>
                </w:p>
              </w:tc>
              <w:tc>
                <w:tcPr>
                  <w:tcW w:w="869" w:type="dxa"/>
                  <w:vAlign w:val="center"/>
                </w:tcPr>
                <w:p>
                  <w:pPr>
                    <w:pStyle w:val="14"/>
                    <w:spacing w:after="0" w:line="320" w:lineRule="exact"/>
                    <w:ind w:left="0" w:leftChars="0"/>
                    <w:jc w:val="center"/>
                    <w:rPr>
                      <w:sz w:val="18"/>
                      <w:szCs w:val="18"/>
                    </w:rPr>
                  </w:pPr>
                  <w:r>
                    <w:rPr>
                      <w:rFonts w:hint="eastAsia"/>
                      <w:sz w:val="18"/>
                      <w:szCs w:val="18"/>
                    </w:rPr>
                    <w:t>SO</w:t>
                  </w:r>
                  <w:r>
                    <w:rPr>
                      <w:rFonts w:hint="eastAsia"/>
                      <w:sz w:val="18"/>
                      <w:szCs w:val="18"/>
                      <w:vertAlign w:val="subscript"/>
                    </w:rPr>
                    <w:t>3</w:t>
                  </w:r>
                </w:p>
              </w:tc>
              <w:tc>
                <w:tcPr>
                  <w:tcW w:w="869" w:type="dxa"/>
                  <w:vAlign w:val="center"/>
                </w:tcPr>
                <w:p>
                  <w:pPr>
                    <w:pStyle w:val="14"/>
                    <w:spacing w:after="0" w:line="320" w:lineRule="exact"/>
                    <w:ind w:left="0" w:leftChars="0"/>
                    <w:jc w:val="center"/>
                    <w:rPr>
                      <w:sz w:val="18"/>
                      <w:szCs w:val="18"/>
                    </w:rPr>
                  </w:pPr>
                  <w:r>
                    <w:rPr>
                      <w:sz w:val="18"/>
                      <w:szCs w:val="18"/>
                    </w:rPr>
                    <w:t>烧失量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868" w:type="dxa"/>
                  <w:vAlign w:val="center"/>
                </w:tcPr>
                <w:p>
                  <w:pPr>
                    <w:pStyle w:val="14"/>
                    <w:spacing w:after="0" w:line="320" w:lineRule="exact"/>
                    <w:ind w:left="0" w:leftChars="0"/>
                    <w:jc w:val="center"/>
                    <w:rPr>
                      <w:sz w:val="18"/>
                      <w:szCs w:val="18"/>
                    </w:rPr>
                  </w:pPr>
                  <w:r>
                    <w:rPr>
                      <w:rFonts w:hint="eastAsia"/>
                      <w:sz w:val="18"/>
                      <w:szCs w:val="18"/>
                    </w:rPr>
                    <w:t>40~65</w:t>
                  </w:r>
                </w:p>
              </w:tc>
              <w:tc>
                <w:tcPr>
                  <w:tcW w:w="869" w:type="dxa"/>
                  <w:vAlign w:val="center"/>
                </w:tcPr>
                <w:p>
                  <w:pPr>
                    <w:pStyle w:val="14"/>
                    <w:spacing w:after="0" w:line="320" w:lineRule="exact"/>
                    <w:ind w:left="0" w:leftChars="0"/>
                    <w:jc w:val="center"/>
                    <w:rPr>
                      <w:sz w:val="18"/>
                      <w:szCs w:val="18"/>
                    </w:rPr>
                  </w:pPr>
                  <w:r>
                    <w:rPr>
                      <w:rFonts w:hint="eastAsia"/>
                      <w:sz w:val="18"/>
                      <w:szCs w:val="18"/>
                    </w:rPr>
                    <w:t>2~8</w:t>
                  </w:r>
                </w:p>
              </w:tc>
              <w:tc>
                <w:tcPr>
                  <w:tcW w:w="868" w:type="dxa"/>
                  <w:vAlign w:val="center"/>
                </w:tcPr>
                <w:p>
                  <w:pPr>
                    <w:pStyle w:val="14"/>
                    <w:spacing w:after="0" w:line="320" w:lineRule="exact"/>
                    <w:ind w:left="0" w:leftChars="0"/>
                    <w:jc w:val="center"/>
                    <w:rPr>
                      <w:sz w:val="18"/>
                      <w:szCs w:val="18"/>
                    </w:rPr>
                  </w:pPr>
                  <w:r>
                    <w:rPr>
                      <w:rFonts w:hint="eastAsia"/>
                      <w:sz w:val="18"/>
                      <w:szCs w:val="18"/>
                    </w:rPr>
                    <w:t>1~4</w:t>
                  </w:r>
                </w:p>
              </w:tc>
              <w:tc>
                <w:tcPr>
                  <w:tcW w:w="869" w:type="dxa"/>
                  <w:vAlign w:val="center"/>
                </w:tcPr>
                <w:p>
                  <w:pPr>
                    <w:pStyle w:val="14"/>
                    <w:spacing w:after="0" w:line="320" w:lineRule="exact"/>
                    <w:ind w:left="0" w:leftChars="0"/>
                    <w:jc w:val="center"/>
                    <w:rPr>
                      <w:sz w:val="18"/>
                      <w:szCs w:val="18"/>
                    </w:rPr>
                  </w:pPr>
                  <w:r>
                    <w:rPr>
                      <w:rFonts w:hint="eastAsia"/>
                      <w:sz w:val="18"/>
                      <w:szCs w:val="18"/>
                    </w:rPr>
                    <w:t>1~3</w:t>
                  </w:r>
                </w:p>
              </w:tc>
              <w:tc>
                <w:tcPr>
                  <w:tcW w:w="868" w:type="dxa"/>
                  <w:vAlign w:val="center"/>
                </w:tcPr>
                <w:p>
                  <w:pPr>
                    <w:pStyle w:val="14"/>
                    <w:spacing w:after="0" w:line="320" w:lineRule="exact"/>
                    <w:ind w:left="0" w:leftChars="0"/>
                    <w:jc w:val="center"/>
                    <w:rPr>
                      <w:sz w:val="18"/>
                      <w:szCs w:val="18"/>
                    </w:rPr>
                  </w:pPr>
                  <w:r>
                    <w:rPr>
                      <w:rFonts w:hint="eastAsia"/>
                      <w:sz w:val="18"/>
                      <w:szCs w:val="18"/>
                    </w:rPr>
                    <w:t>3.22</w:t>
                  </w:r>
                </w:p>
              </w:tc>
              <w:tc>
                <w:tcPr>
                  <w:tcW w:w="869" w:type="dxa"/>
                  <w:vAlign w:val="center"/>
                </w:tcPr>
                <w:p>
                  <w:pPr>
                    <w:pStyle w:val="14"/>
                    <w:spacing w:after="0" w:line="320" w:lineRule="exact"/>
                    <w:ind w:left="0" w:leftChars="0"/>
                    <w:jc w:val="center"/>
                    <w:rPr>
                      <w:sz w:val="18"/>
                      <w:szCs w:val="18"/>
                    </w:rPr>
                  </w:pPr>
                  <w:r>
                    <w:rPr>
                      <w:rFonts w:hint="eastAsia"/>
                      <w:sz w:val="18"/>
                      <w:szCs w:val="18"/>
                    </w:rPr>
                    <w:t>1.21</w:t>
                  </w:r>
                </w:p>
              </w:tc>
              <w:tc>
                <w:tcPr>
                  <w:tcW w:w="868" w:type="dxa"/>
                  <w:vAlign w:val="center"/>
                </w:tcPr>
                <w:p>
                  <w:pPr>
                    <w:pStyle w:val="14"/>
                    <w:spacing w:after="0" w:line="320" w:lineRule="exact"/>
                    <w:ind w:left="0" w:leftChars="0"/>
                    <w:jc w:val="center"/>
                    <w:rPr>
                      <w:sz w:val="18"/>
                      <w:szCs w:val="18"/>
                    </w:rPr>
                  </w:pPr>
                  <w:r>
                    <w:rPr>
                      <w:rFonts w:hint="eastAsia"/>
                      <w:sz w:val="18"/>
                      <w:szCs w:val="18"/>
                    </w:rPr>
                    <w:t>110~250</w:t>
                  </w:r>
                </w:p>
              </w:tc>
              <w:tc>
                <w:tcPr>
                  <w:tcW w:w="869" w:type="dxa"/>
                  <w:vAlign w:val="center"/>
                </w:tcPr>
                <w:p>
                  <w:pPr>
                    <w:pStyle w:val="14"/>
                    <w:spacing w:after="0" w:line="320" w:lineRule="exact"/>
                    <w:ind w:left="0" w:leftChars="0"/>
                    <w:jc w:val="center"/>
                    <w:rPr>
                      <w:sz w:val="18"/>
                      <w:szCs w:val="18"/>
                    </w:rPr>
                  </w:pPr>
                  <w:r>
                    <w:rPr>
                      <w:rFonts w:hint="eastAsia"/>
                      <w:sz w:val="18"/>
                      <w:szCs w:val="18"/>
                    </w:rPr>
                    <w:t>0.62</w:t>
                  </w:r>
                </w:p>
              </w:tc>
              <w:tc>
                <w:tcPr>
                  <w:tcW w:w="869" w:type="dxa"/>
                  <w:vAlign w:val="center"/>
                </w:tcPr>
                <w:p>
                  <w:pPr>
                    <w:pStyle w:val="14"/>
                    <w:spacing w:after="0" w:line="320" w:lineRule="exact"/>
                    <w:ind w:left="0" w:leftChars="0"/>
                    <w:jc w:val="center"/>
                    <w:rPr>
                      <w:sz w:val="18"/>
                      <w:szCs w:val="18"/>
                    </w:rPr>
                  </w:pPr>
                  <w:r>
                    <w:rPr>
                      <w:rFonts w:hint="eastAsia"/>
                      <w:sz w:val="18"/>
                      <w:szCs w:val="18"/>
                    </w:rPr>
                    <w:t>5.48%</w:t>
                  </w:r>
                </w:p>
              </w:tc>
            </w:tr>
          </w:tbl>
          <w:p>
            <w:pPr>
              <w:autoSpaceDE w:val="0"/>
              <w:autoSpaceDN w:val="0"/>
              <w:adjustRightInd w:val="0"/>
              <w:snapToGrid w:val="0"/>
              <w:spacing w:line="400" w:lineRule="exact"/>
              <w:ind w:firstLine="420" w:firstLineChars="200"/>
              <w:jc w:val="left"/>
              <w:rPr>
                <w:kern w:val="0"/>
                <w:szCs w:val="21"/>
              </w:rPr>
            </w:pPr>
            <w:r>
              <w:rPr>
                <w:rFonts w:hint="eastAsia"/>
                <w:kern w:val="0"/>
                <w:szCs w:val="21"/>
              </w:rPr>
              <w:t>（2）污泥</w:t>
            </w:r>
          </w:p>
          <w:p>
            <w:pPr>
              <w:pStyle w:val="14"/>
              <w:spacing w:after="0" w:line="400" w:lineRule="exact"/>
              <w:ind w:left="0" w:leftChars="0" w:firstLine="420"/>
              <w:jc w:val="left"/>
              <w:rPr>
                <w:kern w:val="0"/>
                <w:szCs w:val="21"/>
              </w:rPr>
            </w:pPr>
            <w:r>
              <w:rPr>
                <w:kern w:val="0"/>
                <w:szCs w:val="21"/>
              </w:rPr>
              <w:t>本项目拟处置利用的污泥主要为大竹县及</w:t>
            </w:r>
            <w:r>
              <w:rPr>
                <w:rFonts w:hint="eastAsia"/>
                <w:kern w:val="0"/>
                <w:szCs w:val="21"/>
              </w:rPr>
              <w:t>周边的城市</w:t>
            </w:r>
            <w:r>
              <w:rPr>
                <w:kern w:val="0"/>
                <w:szCs w:val="21"/>
              </w:rPr>
              <w:t>生活污水处理厂的干化污泥。污泥含水率</w:t>
            </w:r>
            <w:r>
              <w:rPr>
                <w:rFonts w:hint="eastAsia"/>
                <w:kern w:val="0"/>
                <w:szCs w:val="21"/>
              </w:rPr>
              <w:t>约为75%~90%之间。本项目处置利用的干化污泥含水率取80%，污泥干基量为3000吨，占制砖总原料（32000t/a）的9.38%，满足不宜超过10%要求。</w:t>
            </w:r>
          </w:p>
          <w:p>
            <w:pPr>
              <w:pStyle w:val="14"/>
              <w:spacing w:after="0" w:line="400" w:lineRule="exact"/>
              <w:ind w:left="0" w:leftChars="0" w:firstLine="420"/>
              <w:jc w:val="left"/>
              <w:rPr>
                <w:kern w:val="0"/>
                <w:szCs w:val="21"/>
              </w:rPr>
            </w:pPr>
            <w:r>
              <w:rPr>
                <w:rFonts w:hint="eastAsia"/>
                <w:kern w:val="0"/>
                <w:szCs w:val="21"/>
              </w:rPr>
              <w:t>参考四川炯测环保技术有限公司《污泥检测报告》（炯测字（2021）第E013999号），城市污水处理厂的污泥成分如下：</w:t>
            </w:r>
          </w:p>
          <w:p>
            <w:pPr>
              <w:pStyle w:val="14"/>
              <w:spacing w:after="0" w:line="400" w:lineRule="exact"/>
              <w:ind w:left="0" w:leftChars="0"/>
              <w:jc w:val="center"/>
              <w:rPr>
                <w:rFonts w:eastAsia="黑体"/>
                <w:sz w:val="18"/>
                <w:szCs w:val="18"/>
              </w:rPr>
            </w:pPr>
            <w:r>
              <w:rPr>
                <w:rFonts w:eastAsia="黑体"/>
                <w:sz w:val="18"/>
                <w:szCs w:val="18"/>
              </w:rPr>
              <w:t>表</w:t>
            </w:r>
            <w:r>
              <w:rPr>
                <w:rFonts w:hint="eastAsia" w:eastAsia="黑体"/>
                <w:sz w:val="18"/>
                <w:szCs w:val="18"/>
              </w:rPr>
              <w:t xml:space="preserve">2-8    </w:t>
            </w:r>
            <w:r>
              <w:rPr>
                <w:rFonts w:eastAsia="黑体"/>
                <w:sz w:val="18"/>
                <w:szCs w:val="18"/>
              </w:rPr>
              <w:t>项目拟处置污泥的成分表</w:t>
            </w:r>
            <w:r>
              <w:rPr>
                <w:rFonts w:hint="eastAsia" w:eastAsia="黑体"/>
                <w:sz w:val="18"/>
                <w:szCs w:val="18"/>
              </w:rPr>
              <w:t xml:space="preserve">  单位：mg/kg</w:t>
            </w:r>
          </w:p>
          <w:tbl>
            <w:tblPr>
              <w:tblStyle w:val="20"/>
              <w:tblW w:w="77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735"/>
              <w:gridCol w:w="715"/>
              <w:gridCol w:w="841"/>
              <w:gridCol w:w="841"/>
              <w:gridCol w:w="841"/>
              <w:gridCol w:w="841"/>
              <w:gridCol w:w="841"/>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256" w:type="dxa"/>
                  <w:tcBorders>
                    <w:bottom w:val="single" w:color="auto" w:sz="4" w:space="0"/>
                    <w:tl2br w:val="single" w:color="auto" w:sz="4" w:space="0"/>
                  </w:tcBorders>
                  <w:vAlign w:val="center"/>
                </w:tcPr>
                <w:p>
                  <w:pPr>
                    <w:pStyle w:val="14"/>
                    <w:spacing w:after="0" w:line="320" w:lineRule="exact"/>
                    <w:ind w:left="0" w:leftChars="0" w:right="-105" w:rightChars="-50"/>
                    <w:jc w:val="center"/>
                    <w:rPr>
                      <w:sz w:val="18"/>
                      <w:szCs w:val="18"/>
                    </w:rPr>
                  </w:pPr>
                  <w:r>
                    <w:rPr>
                      <w:rFonts w:hint="eastAsia"/>
                      <w:sz w:val="18"/>
                      <w:szCs w:val="18"/>
                    </w:rPr>
                    <w:t xml:space="preserve">       项目</w:t>
                  </w:r>
                </w:p>
                <w:p>
                  <w:pPr>
                    <w:pStyle w:val="14"/>
                    <w:spacing w:after="0" w:line="320" w:lineRule="exact"/>
                    <w:ind w:left="-105" w:leftChars="-50"/>
                    <w:rPr>
                      <w:sz w:val="18"/>
                      <w:szCs w:val="18"/>
                    </w:rPr>
                  </w:pPr>
                  <w:r>
                    <w:rPr>
                      <w:sz w:val="18"/>
                      <w:szCs w:val="18"/>
                    </w:rPr>
                    <w:t>浓度比例</w:t>
                  </w:r>
                </w:p>
              </w:tc>
              <w:tc>
                <w:tcPr>
                  <w:tcW w:w="735" w:type="dxa"/>
                  <w:tcBorders>
                    <w:bottom w:val="single" w:color="auto" w:sz="4" w:space="0"/>
                  </w:tcBorders>
                  <w:vAlign w:val="center"/>
                </w:tcPr>
                <w:p>
                  <w:pPr>
                    <w:spacing w:line="320" w:lineRule="exact"/>
                    <w:ind w:left="-53" w:leftChars="-25" w:right="-53" w:rightChars="-25"/>
                    <w:jc w:val="center"/>
                    <w:rPr>
                      <w:rFonts w:ascii="宋体" w:hAnsi="宋体" w:cs="宋体"/>
                      <w:sz w:val="18"/>
                      <w:szCs w:val="18"/>
                    </w:rPr>
                  </w:pPr>
                  <w:r>
                    <w:rPr>
                      <w:rFonts w:hint="eastAsia"/>
                      <w:sz w:val="18"/>
                      <w:szCs w:val="18"/>
                    </w:rPr>
                    <w:t>镉</w:t>
                  </w:r>
                </w:p>
              </w:tc>
              <w:tc>
                <w:tcPr>
                  <w:tcW w:w="715" w:type="dxa"/>
                  <w:tcBorders>
                    <w:bottom w:val="single" w:color="auto" w:sz="4" w:space="0"/>
                  </w:tcBorders>
                  <w:vAlign w:val="center"/>
                </w:tcPr>
                <w:p>
                  <w:pPr>
                    <w:spacing w:line="320" w:lineRule="exact"/>
                    <w:ind w:left="-53" w:leftChars="-25" w:right="-53" w:rightChars="-25"/>
                    <w:jc w:val="center"/>
                    <w:rPr>
                      <w:rFonts w:ascii="宋体" w:hAnsi="宋体" w:cs="宋体"/>
                      <w:sz w:val="18"/>
                      <w:szCs w:val="18"/>
                    </w:rPr>
                  </w:pPr>
                  <w:r>
                    <w:rPr>
                      <w:rFonts w:hint="eastAsia"/>
                      <w:sz w:val="18"/>
                      <w:szCs w:val="18"/>
                    </w:rPr>
                    <w:t>铅</w:t>
                  </w:r>
                </w:p>
              </w:tc>
              <w:tc>
                <w:tcPr>
                  <w:tcW w:w="841" w:type="dxa"/>
                  <w:tcBorders>
                    <w:bottom w:val="single" w:color="auto" w:sz="4" w:space="0"/>
                  </w:tcBorders>
                  <w:vAlign w:val="center"/>
                </w:tcPr>
                <w:p>
                  <w:pPr>
                    <w:spacing w:line="320" w:lineRule="exact"/>
                    <w:ind w:left="-53" w:leftChars="-25" w:right="-53" w:rightChars="-25"/>
                    <w:jc w:val="center"/>
                    <w:rPr>
                      <w:rFonts w:ascii="宋体" w:hAnsi="宋体" w:cs="宋体"/>
                      <w:sz w:val="18"/>
                      <w:szCs w:val="18"/>
                    </w:rPr>
                  </w:pPr>
                  <w:r>
                    <w:rPr>
                      <w:rFonts w:hint="eastAsia"/>
                      <w:sz w:val="18"/>
                      <w:szCs w:val="18"/>
                    </w:rPr>
                    <w:t>砷</w:t>
                  </w:r>
                </w:p>
              </w:tc>
              <w:tc>
                <w:tcPr>
                  <w:tcW w:w="841" w:type="dxa"/>
                  <w:tcBorders>
                    <w:bottom w:val="single" w:color="auto" w:sz="4" w:space="0"/>
                  </w:tcBorders>
                  <w:vAlign w:val="center"/>
                </w:tcPr>
                <w:p>
                  <w:pPr>
                    <w:spacing w:line="320" w:lineRule="exact"/>
                    <w:ind w:left="-53" w:leftChars="-25" w:right="-53" w:rightChars="-25"/>
                    <w:jc w:val="center"/>
                    <w:rPr>
                      <w:rFonts w:ascii="宋体" w:hAnsi="宋体" w:cs="宋体"/>
                      <w:sz w:val="18"/>
                      <w:szCs w:val="18"/>
                    </w:rPr>
                  </w:pPr>
                  <w:r>
                    <w:rPr>
                      <w:rFonts w:hint="eastAsia"/>
                      <w:sz w:val="18"/>
                      <w:szCs w:val="18"/>
                    </w:rPr>
                    <w:t>汞</w:t>
                  </w:r>
                </w:p>
              </w:tc>
              <w:tc>
                <w:tcPr>
                  <w:tcW w:w="841" w:type="dxa"/>
                  <w:tcBorders>
                    <w:bottom w:val="single" w:color="auto" w:sz="4" w:space="0"/>
                  </w:tcBorders>
                  <w:vAlign w:val="center"/>
                </w:tcPr>
                <w:p>
                  <w:pPr>
                    <w:spacing w:line="320" w:lineRule="exact"/>
                    <w:ind w:left="-53" w:leftChars="-25" w:right="-53" w:rightChars="-25"/>
                    <w:jc w:val="center"/>
                    <w:rPr>
                      <w:rFonts w:ascii="宋体" w:hAnsi="宋体" w:cs="宋体"/>
                      <w:sz w:val="18"/>
                      <w:szCs w:val="18"/>
                    </w:rPr>
                  </w:pPr>
                  <w:r>
                    <w:rPr>
                      <w:rFonts w:hint="eastAsia"/>
                      <w:sz w:val="18"/>
                      <w:szCs w:val="18"/>
                    </w:rPr>
                    <w:t>铬</w:t>
                  </w:r>
                </w:p>
              </w:tc>
              <w:tc>
                <w:tcPr>
                  <w:tcW w:w="841" w:type="dxa"/>
                  <w:tcBorders>
                    <w:bottom w:val="single" w:color="auto" w:sz="4" w:space="0"/>
                  </w:tcBorders>
                  <w:vAlign w:val="center"/>
                </w:tcPr>
                <w:p>
                  <w:pPr>
                    <w:spacing w:line="320" w:lineRule="exact"/>
                    <w:ind w:left="-53" w:leftChars="-25" w:right="-53" w:rightChars="-25"/>
                    <w:jc w:val="center"/>
                    <w:rPr>
                      <w:rFonts w:ascii="宋体" w:hAnsi="宋体" w:cs="宋体"/>
                      <w:sz w:val="18"/>
                      <w:szCs w:val="18"/>
                    </w:rPr>
                  </w:pPr>
                  <w:r>
                    <w:rPr>
                      <w:rFonts w:hint="eastAsia"/>
                      <w:sz w:val="18"/>
                      <w:szCs w:val="18"/>
                    </w:rPr>
                    <w:t>铜</w:t>
                  </w:r>
                </w:p>
              </w:tc>
              <w:tc>
                <w:tcPr>
                  <w:tcW w:w="841" w:type="dxa"/>
                  <w:tcBorders>
                    <w:bottom w:val="single" w:color="auto" w:sz="4" w:space="0"/>
                  </w:tcBorders>
                  <w:vAlign w:val="center"/>
                </w:tcPr>
                <w:p>
                  <w:pPr>
                    <w:spacing w:line="320" w:lineRule="exact"/>
                    <w:ind w:left="-53" w:leftChars="-25" w:right="-53" w:rightChars="-25"/>
                    <w:jc w:val="center"/>
                    <w:rPr>
                      <w:rFonts w:ascii="宋体" w:hAnsi="宋体" w:cs="宋体"/>
                      <w:sz w:val="18"/>
                      <w:szCs w:val="18"/>
                    </w:rPr>
                  </w:pPr>
                  <w:r>
                    <w:rPr>
                      <w:rFonts w:hint="eastAsia"/>
                      <w:sz w:val="18"/>
                      <w:szCs w:val="18"/>
                    </w:rPr>
                    <w:t>锌</w:t>
                  </w:r>
                </w:p>
              </w:tc>
              <w:tc>
                <w:tcPr>
                  <w:tcW w:w="842" w:type="dxa"/>
                  <w:tcBorders>
                    <w:bottom w:val="single" w:color="auto" w:sz="4" w:space="0"/>
                  </w:tcBorders>
                  <w:vAlign w:val="center"/>
                </w:tcPr>
                <w:p>
                  <w:pPr>
                    <w:spacing w:line="320" w:lineRule="exact"/>
                    <w:ind w:left="-53" w:leftChars="-25" w:right="-53" w:rightChars="-25"/>
                    <w:jc w:val="center"/>
                    <w:rPr>
                      <w:sz w:val="18"/>
                      <w:szCs w:val="18"/>
                    </w:rPr>
                  </w:pPr>
                  <w:r>
                    <w:rPr>
                      <w:rFonts w:hint="eastAsia"/>
                      <w:sz w:val="18"/>
                      <w:szCs w:val="18"/>
                    </w:rPr>
                    <w:t>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 w:hRule="atLeast"/>
                <w:jc w:val="center"/>
              </w:trPr>
              <w:tc>
                <w:tcPr>
                  <w:tcW w:w="1256" w:type="dxa"/>
                  <w:tcBorders>
                    <w:bottom w:val="single" w:color="auto" w:sz="4" w:space="0"/>
                  </w:tcBorders>
                  <w:vAlign w:val="center"/>
                </w:tcPr>
                <w:p>
                  <w:pPr>
                    <w:pStyle w:val="14"/>
                    <w:spacing w:after="0" w:line="320" w:lineRule="exact"/>
                    <w:ind w:left="0" w:leftChars="0"/>
                    <w:jc w:val="center"/>
                    <w:rPr>
                      <w:sz w:val="18"/>
                      <w:szCs w:val="18"/>
                    </w:rPr>
                  </w:pPr>
                  <w:r>
                    <w:rPr>
                      <w:sz w:val="18"/>
                      <w:szCs w:val="18"/>
                    </w:rPr>
                    <w:t>污泥</w:t>
                  </w:r>
                </w:p>
              </w:tc>
              <w:tc>
                <w:tcPr>
                  <w:tcW w:w="735" w:type="dxa"/>
                  <w:tcBorders>
                    <w:bottom w:val="single" w:color="auto" w:sz="4" w:space="0"/>
                  </w:tcBorders>
                  <w:vAlign w:val="center"/>
                </w:tcPr>
                <w:p>
                  <w:pPr>
                    <w:spacing w:line="320" w:lineRule="exact"/>
                    <w:ind w:left="-53" w:leftChars="-25" w:right="-53" w:rightChars="-25"/>
                    <w:jc w:val="center"/>
                    <w:rPr>
                      <w:rFonts w:ascii="宋体" w:hAnsi="宋体" w:cs="宋体"/>
                      <w:sz w:val="18"/>
                      <w:szCs w:val="18"/>
                    </w:rPr>
                  </w:pPr>
                  <w:r>
                    <w:rPr>
                      <w:rFonts w:hint="eastAsia" w:ascii="宋体" w:hAnsi="宋体" w:cs="宋体"/>
                      <w:sz w:val="18"/>
                      <w:szCs w:val="18"/>
                    </w:rPr>
                    <w:t>0.38</w:t>
                  </w:r>
                </w:p>
              </w:tc>
              <w:tc>
                <w:tcPr>
                  <w:tcW w:w="715" w:type="dxa"/>
                  <w:tcBorders>
                    <w:bottom w:val="single" w:color="auto" w:sz="4" w:space="0"/>
                  </w:tcBorders>
                  <w:vAlign w:val="center"/>
                </w:tcPr>
                <w:p>
                  <w:pPr>
                    <w:spacing w:line="320" w:lineRule="exact"/>
                    <w:ind w:left="-53" w:leftChars="-25" w:right="-53" w:rightChars="-25"/>
                    <w:jc w:val="center"/>
                    <w:rPr>
                      <w:rFonts w:ascii="宋体" w:hAnsi="宋体" w:cs="宋体"/>
                      <w:sz w:val="18"/>
                      <w:szCs w:val="18"/>
                    </w:rPr>
                  </w:pPr>
                  <w:r>
                    <w:rPr>
                      <w:rFonts w:hint="eastAsia" w:ascii="宋体" w:hAnsi="宋体" w:cs="宋体"/>
                      <w:sz w:val="18"/>
                      <w:szCs w:val="18"/>
                    </w:rPr>
                    <w:t>29.4</w:t>
                  </w:r>
                </w:p>
              </w:tc>
              <w:tc>
                <w:tcPr>
                  <w:tcW w:w="841" w:type="dxa"/>
                  <w:tcBorders>
                    <w:bottom w:val="single" w:color="auto" w:sz="4" w:space="0"/>
                  </w:tcBorders>
                  <w:vAlign w:val="center"/>
                </w:tcPr>
                <w:p>
                  <w:pPr>
                    <w:spacing w:line="320" w:lineRule="exact"/>
                    <w:ind w:left="-53" w:leftChars="-25" w:right="-53" w:rightChars="-25"/>
                    <w:jc w:val="center"/>
                    <w:rPr>
                      <w:rFonts w:ascii="宋体" w:hAnsi="宋体" w:cs="宋体"/>
                      <w:sz w:val="18"/>
                      <w:szCs w:val="18"/>
                    </w:rPr>
                  </w:pPr>
                  <w:r>
                    <w:rPr>
                      <w:rFonts w:hint="eastAsia" w:ascii="宋体" w:hAnsi="宋体" w:cs="宋体"/>
                      <w:sz w:val="18"/>
                      <w:szCs w:val="18"/>
                    </w:rPr>
                    <w:t>8.79</w:t>
                  </w:r>
                </w:p>
              </w:tc>
              <w:tc>
                <w:tcPr>
                  <w:tcW w:w="841" w:type="dxa"/>
                  <w:tcBorders>
                    <w:bottom w:val="single" w:color="auto" w:sz="4" w:space="0"/>
                  </w:tcBorders>
                  <w:vAlign w:val="center"/>
                </w:tcPr>
                <w:p>
                  <w:pPr>
                    <w:spacing w:line="320" w:lineRule="exact"/>
                    <w:ind w:left="-53" w:leftChars="-25" w:right="-53" w:rightChars="-25"/>
                    <w:jc w:val="center"/>
                    <w:rPr>
                      <w:rFonts w:ascii="宋体" w:hAnsi="宋体" w:cs="宋体"/>
                      <w:sz w:val="18"/>
                      <w:szCs w:val="18"/>
                    </w:rPr>
                  </w:pPr>
                  <w:r>
                    <w:rPr>
                      <w:rFonts w:hint="eastAsia" w:ascii="宋体" w:hAnsi="宋体" w:cs="宋体"/>
                      <w:sz w:val="18"/>
                      <w:szCs w:val="18"/>
                    </w:rPr>
                    <w:t>0.813</w:t>
                  </w:r>
                </w:p>
              </w:tc>
              <w:tc>
                <w:tcPr>
                  <w:tcW w:w="841" w:type="dxa"/>
                  <w:tcBorders>
                    <w:bottom w:val="single" w:color="auto" w:sz="4" w:space="0"/>
                  </w:tcBorders>
                  <w:vAlign w:val="center"/>
                </w:tcPr>
                <w:p>
                  <w:pPr>
                    <w:spacing w:line="320" w:lineRule="exact"/>
                    <w:ind w:left="-53" w:leftChars="-25" w:right="-53" w:rightChars="-25"/>
                    <w:jc w:val="center"/>
                    <w:rPr>
                      <w:rFonts w:ascii="宋体" w:hAnsi="宋体" w:cs="宋体"/>
                      <w:sz w:val="18"/>
                      <w:szCs w:val="18"/>
                    </w:rPr>
                  </w:pPr>
                  <w:r>
                    <w:rPr>
                      <w:rFonts w:hint="eastAsia" w:ascii="宋体" w:hAnsi="宋体" w:cs="宋体"/>
                      <w:sz w:val="18"/>
                      <w:szCs w:val="18"/>
                    </w:rPr>
                    <w:t>72</w:t>
                  </w:r>
                </w:p>
              </w:tc>
              <w:tc>
                <w:tcPr>
                  <w:tcW w:w="841" w:type="dxa"/>
                  <w:tcBorders>
                    <w:bottom w:val="single" w:color="auto" w:sz="4" w:space="0"/>
                  </w:tcBorders>
                  <w:vAlign w:val="center"/>
                </w:tcPr>
                <w:p>
                  <w:pPr>
                    <w:spacing w:line="320" w:lineRule="exact"/>
                    <w:ind w:left="-53" w:leftChars="-25" w:right="-53" w:rightChars="-25"/>
                    <w:jc w:val="center"/>
                    <w:rPr>
                      <w:rFonts w:ascii="宋体" w:hAnsi="宋体" w:cs="宋体"/>
                      <w:sz w:val="18"/>
                      <w:szCs w:val="18"/>
                    </w:rPr>
                  </w:pPr>
                  <w:r>
                    <w:rPr>
                      <w:rFonts w:hint="eastAsia" w:ascii="宋体" w:hAnsi="宋体" w:cs="宋体"/>
                      <w:sz w:val="18"/>
                      <w:szCs w:val="18"/>
                    </w:rPr>
                    <w:t>70</w:t>
                  </w:r>
                </w:p>
              </w:tc>
              <w:tc>
                <w:tcPr>
                  <w:tcW w:w="841" w:type="dxa"/>
                  <w:tcBorders>
                    <w:bottom w:val="single" w:color="auto" w:sz="4" w:space="0"/>
                  </w:tcBorders>
                  <w:vAlign w:val="center"/>
                </w:tcPr>
                <w:p>
                  <w:pPr>
                    <w:spacing w:line="320" w:lineRule="exact"/>
                    <w:ind w:left="-53" w:leftChars="-25" w:right="-53" w:rightChars="-25"/>
                    <w:jc w:val="center"/>
                    <w:rPr>
                      <w:rFonts w:ascii="宋体" w:hAnsi="宋体" w:cs="宋体"/>
                      <w:sz w:val="18"/>
                      <w:szCs w:val="18"/>
                    </w:rPr>
                  </w:pPr>
                  <w:r>
                    <w:rPr>
                      <w:rFonts w:hint="eastAsia" w:ascii="宋体" w:hAnsi="宋体" w:cs="宋体"/>
                      <w:sz w:val="18"/>
                      <w:szCs w:val="18"/>
                    </w:rPr>
                    <w:t>260</w:t>
                  </w:r>
                </w:p>
              </w:tc>
              <w:tc>
                <w:tcPr>
                  <w:tcW w:w="842" w:type="dxa"/>
                  <w:tcBorders>
                    <w:bottom w:val="single" w:color="auto" w:sz="4" w:space="0"/>
                  </w:tcBorders>
                  <w:vAlign w:val="center"/>
                </w:tcPr>
                <w:p>
                  <w:pPr>
                    <w:spacing w:line="320" w:lineRule="exact"/>
                    <w:ind w:left="-53" w:leftChars="-25" w:right="-53" w:rightChars="-25"/>
                    <w:jc w:val="center"/>
                    <w:rPr>
                      <w:sz w:val="18"/>
                      <w:szCs w:val="18"/>
                    </w:rPr>
                  </w:pPr>
                  <w:r>
                    <w:rPr>
                      <w:rFonts w:hint="eastAsia"/>
                      <w:sz w:val="18"/>
                      <w:szCs w:val="18"/>
                    </w:rPr>
                    <w:t>48</w:t>
                  </w:r>
                </w:p>
              </w:tc>
            </w:tr>
          </w:tbl>
          <w:p>
            <w:pPr>
              <w:adjustRightInd w:val="0"/>
              <w:snapToGrid w:val="0"/>
              <w:spacing w:line="380" w:lineRule="exact"/>
              <w:ind w:right="-53" w:rightChars="-25"/>
              <w:jc w:val="left"/>
              <w:rPr>
                <w:rFonts w:ascii="黑体" w:hAnsi="黑体" w:eastAsia="黑体"/>
                <w:kern w:val="0"/>
              </w:rPr>
            </w:pPr>
            <w:r>
              <w:rPr>
                <w:rFonts w:hint="eastAsia" w:eastAsia="黑体"/>
                <w:bCs/>
                <w:sz w:val="22"/>
                <w:szCs w:val="22"/>
              </w:rPr>
              <w:t>5</w:t>
            </w:r>
            <w:r>
              <w:rPr>
                <w:rFonts w:eastAsia="黑体"/>
                <w:bCs/>
                <w:sz w:val="22"/>
                <w:szCs w:val="22"/>
              </w:rPr>
              <w:t>、拟替代原料特性及贮存要求</w:t>
            </w:r>
          </w:p>
          <w:p>
            <w:pPr>
              <w:pStyle w:val="14"/>
              <w:spacing w:after="0" w:line="400" w:lineRule="exact"/>
              <w:ind w:left="0" w:leftChars="0" w:firstLine="420"/>
              <w:jc w:val="left"/>
              <w:rPr>
                <w:bCs/>
                <w:kern w:val="0"/>
              </w:rPr>
            </w:pPr>
            <w:r>
              <w:rPr>
                <w:rFonts w:hint="eastAsia"/>
                <w:bCs/>
                <w:kern w:val="0"/>
              </w:rPr>
              <w:t>本项目主要接收</w:t>
            </w:r>
            <w:r>
              <w:rPr>
                <w:kern w:val="0"/>
                <w:szCs w:val="21"/>
              </w:rPr>
              <w:t>大竹县及</w:t>
            </w:r>
            <w:r>
              <w:rPr>
                <w:rFonts w:hint="eastAsia"/>
                <w:kern w:val="0"/>
                <w:szCs w:val="21"/>
              </w:rPr>
              <w:t>周边</w:t>
            </w:r>
            <w:r>
              <w:rPr>
                <w:rFonts w:hint="eastAsia"/>
                <w:bCs/>
                <w:kern w:val="0"/>
              </w:rPr>
              <w:t>的</w:t>
            </w:r>
            <w:r>
              <w:rPr>
                <w:rFonts w:hint="eastAsia"/>
                <w:kern w:val="0"/>
                <w:szCs w:val="21"/>
              </w:rPr>
              <w:t>城市</w:t>
            </w:r>
            <w:r>
              <w:rPr>
                <w:rFonts w:hint="eastAsia"/>
                <w:bCs/>
                <w:kern w:val="0"/>
              </w:rPr>
              <w:t>生活污水厂的污泥。</w:t>
            </w:r>
            <w:r>
              <w:rPr>
                <w:rFonts w:hint="eastAsia"/>
                <w:kern w:val="0"/>
                <w:szCs w:val="21"/>
              </w:rPr>
              <w:t>根据《大竹县城市生活污水处理厂脱水污泥监测报告》（佳士特环检字（2021）第072002501号），本项目拟接收的污泥为一般固废，不属于危险废物。</w:t>
            </w:r>
          </w:p>
          <w:p>
            <w:pPr>
              <w:adjustRightInd w:val="0"/>
              <w:snapToGrid w:val="0"/>
              <w:spacing w:line="380" w:lineRule="exact"/>
              <w:ind w:right="-53" w:rightChars="-25" w:firstLine="422" w:firstLineChars="200"/>
              <w:jc w:val="left"/>
              <w:rPr>
                <w:b/>
                <w:kern w:val="0"/>
              </w:rPr>
            </w:pPr>
            <w:r>
              <w:rPr>
                <w:b/>
                <w:kern w:val="0"/>
              </w:rPr>
              <w:t>本环评要求：本项目仅接收属于一般工业固废的城市污水厂污泥，且泥质应满足</w:t>
            </w:r>
            <w:r>
              <w:rPr>
                <w:rFonts w:hint="eastAsia"/>
                <w:b/>
                <w:kern w:val="0"/>
              </w:rPr>
              <w:t>《城镇污水处理厂污泥处置 制砖用泥质》(GB/T25031-2010)的要求。本项目不处置任何危险废物。</w:t>
            </w:r>
          </w:p>
          <w:p>
            <w:pPr>
              <w:autoSpaceDE w:val="0"/>
              <w:autoSpaceDN w:val="0"/>
              <w:adjustRightInd w:val="0"/>
              <w:snapToGrid w:val="0"/>
              <w:spacing w:line="404" w:lineRule="exact"/>
              <w:ind w:firstLine="420" w:firstLineChars="200"/>
              <w:jc w:val="left"/>
              <w:rPr>
                <w:rFonts w:eastAsia="黑体"/>
                <w:kern w:val="0"/>
              </w:rPr>
            </w:pPr>
            <w:r>
              <w:rPr>
                <w:rFonts w:ascii="黑体" w:hAnsi="黑体" w:eastAsia="黑体"/>
                <w:kern w:val="0"/>
              </w:rPr>
              <w:t>污泥贮存场所要求：</w:t>
            </w:r>
          </w:p>
          <w:p>
            <w:pPr>
              <w:adjustRightInd w:val="0"/>
              <w:snapToGrid w:val="0"/>
              <w:spacing w:line="404" w:lineRule="exact"/>
              <w:ind w:left="-53" w:leftChars="-25" w:right="-53" w:rightChars="-25" w:firstLine="420" w:firstLineChars="200"/>
              <w:jc w:val="left"/>
            </w:pPr>
            <w:r>
              <w:rPr>
                <w:rFonts w:ascii="宋体" w:hAnsi="宋体"/>
              </w:rPr>
              <w:t>根据建设单位提供的污泥监测报告，拟接收处置的污泥属于第</w:t>
            </w:r>
            <w:r>
              <w:t>Ⅱ</w:t>
            </w:r>
            <w:r>
              <w:rPr>
                <w:rFonts w:ascii="宋体" w:hAnsi="宋体"/>
              </w:rPr>
              <w:t>类一般固废。根据《一般工业固体废物贮存和填埋污染控制标准》（</w:t>
            </w:r>
            <w:r>
              <w:t>GB 18599-2020</w:t>
            </w:r>
            <w:r>
              <w:rPr>
                <w:rFonts w:ascii="宋体" w:hAnsi="宋体"/>
              </w:rPr>
              <w:t>）对一般工业固体废物</w:t>
            </w:r>
            <w:r>
              <w:rPr>
                <w:kern w:val="0"/>
              </w:rPr>
              <w:t>II</w:t>
            </w:r>
            <w:r>
              <w:rPr>
                <w:rFonts w:ascii="宋体" w:hAnsi="宋体"/>
                <w:kern w:val="0"/>
              </w:rPr>
              <w:t>类</w:t>
            </w:r>
            <w:r>
              <w:rPr>
                <w:rFonts w:ascii="宋体" w:hAnsi="宋体"/>
              </w:rPr>
              <w:t>贮存场规定如下：</w:t>
            </w:r>
          </w:p>
          <w:p>
            <w:pPr>
              <w:adjustRightInd w:val="0"/>
              <w:snapToGrid w:val="0"/>
              <w:spacing w:line="404" w:lineRule="exact"/>
              <w:ind w:left="-53" w:leftChars="-25" w:right="-53" w:rightChars="-25" w:firstLine="420" w:firstLineChars="200"/>
              <w:jc w:val="left"/>
              <w:rPr>
                <w:kern w:val="0"/>
              </w:rPr>
            </w:pPr>
            <w:r>
              <w:rPr>
                <w:kern w:val="0"/>
              </w:rPr>
              <w:t>（</w:t>
            </w:r>
            <w:r>
              <w:rPr>
                <w:rFonts w:hint="eastAsia"/>
                <w:kern w:val="0"/>
              </w:rPr>
              <w:t>1</w:t>
            </w:r>
            <w:r>
              <w:rPr>
                <w:kern w:val="0"/>
              </w:rPr>
              <w:t>）II</w:t>
            </w:r>
            <w:r>
              <w:rPr>
                <w:rFonts w:ascii="宋体" w:hAnsi="宋体"/>
                <w:kern w:val="0"/>
              </w:rPr>
              <w:t>类场应采用单人工复合衬层作为防渗衬层，并符合以下技术要求：</w:t>
            </w:r>
          </w:p>
          <w:p>
            <w:pPr>
              <w:adjustRightInd w:val="0"/>
              <w:snapToGrid w:val="0"/>
              <w:spacing w:line="404" w:lineRule="exact"/>
              <w:ind w:left="-53" w:leftChars="-25" w:right="-53" w:rightChars="-25" w:firstLine="420" w:firstLineChars="200"/>
              <w:jc w:val="left"/>
              <w:rPr>
                <w:kern w:val="0"/>
              </w:rPr>
            </w:pPr>
            <w:r>
              <w:rPr>
                <w:kern w:val="0"/>
              </w:rPr>
              <w:t>a</w:t>
            </w:r>
            <w:r>
              <w:rPr>
                <w:rFonts w:ascii="宋体" w:hAnsi="宋体"/>
                <w:kern w:val="0"/>
              </w:rPr>
              <w:t>）人工合成材料应采用高密度聚乙烯膜，厚度不小于</w:t>
            </w:r>
            <w:r>
              <w:rPr>
                <w:kern w:val="0"/>
              </w:rPr>
              <w:t>1.5mm</w:t>
            </w:r>
            <w:r>
              <w:rPr>
                <w:rFonts w:ascii="宋体" w:hAnsi="宋体"/>
                <w:kern w:val="0"/>
              </w:rPr>
              <w:t>，并满足</w:t>
            </w:r>
            <w:r>
              <w:rPr>
                <w:kern w:val="0"/>
              </w:rPr>
              <w:t>GB/T 17643</w:t>
            </w:r>
            <w:r>
              <w:rPr>
                <w:rFonts w:ascii="宋体" w:hAnsi="宋体"/>
                <w:kern w:val="0"/>
              </w:rPr>
              <w:t>规定的技术指标要求。采用其他人工合成材料的，其防渗性能至少相当于</w:t>
            </w:r>
            <w:r>
              <w:rPr>
                <w:kern w:val="0"/>
              </w:rPr>
              <w:t>1.5mm</w:t>
            </w:r>
            <w:r>
              <w:rPr>
                <w:rFonts w:ascii="宋体" w:hAnsi="宋体"/>
                <w:kern w:val="0"/>
              </w:rPr>
              <w:t>高密度聚乙烯膜的防渗性能。</w:t>
            </w:r>
          </w:p>
          <w:p>
            <w:pPr>
              <w:adjustRightInd w:val="0"/>
              <w:snapToGrid w:val="0"/>
              <w:spacing w:line="404" w:lineRule="exact"/>
              <w:ind w:left="-53" w:leftChars="-25" w:right="-53" w:rightChars="-25" w:firstLine="420" w:firstLineChars="200"/>
              <w:jc w:val="left"/>
              <w:rPr>
                <w:kern w:val="0"/>
              </w:rPr>
            </w:pPr>
            <w:r>
              <w:rPr>
                <w:kern w:val="0"/>
              </w:rPr>
              <w:t>b</w:t>
            </w:r>
            <w:r>
              <w:rPr>
                <w:rFonts w:ascii="宋体" w:hAnsi="宋体"/>
                <w:kern w:val="0"/>
              </w:rPr>
              <w:t>）粘土衬层厚度应不小于</w:t>
            </w:r>
            <w:r>
              <w:rPr>
                <w:kern w:val="0"/>
              </w:rPr>
              <w:t>0.75 m</w:t>
            </w:r>
            <w:r>
              <w:rPr>
                <w:rFonts w:ascii="宋体" w:hAnsi="宋体"/>
                <w:kern w:val="0"/>
              </w:rPr>
              <w:t xml:space="preserve">，且经压实、人工改性等措施处理后的饱和渗透系数不应大于 </w:t>
            </w:r>
            <w:r>
              <w:rPr>
                <w:kern w:val="0"/>
              </w:rPr>
              <w:t>1.0×10</w:t>
            </w:r>
            <w:r>
              <w:rPr>
                <w:kern w:val="0"/>
                <w:vertAlign w:val="superscript"/>
              </w:rPr>
              <w:t>-7</w:t>
            </w:r>
            <w:r>
              <w:rPr>
                <w:kern w:val="0"/>
              </w:rPr>
              <w:t xml:space="preserve"> cm/s</w:t>
            </w:r>
            <w:r>
              <w:rPr>
                <w:rFonts w:ascii="宋体" w:hAnsi="宋体"/>
                <w:kern w:val="0"/>
              </w:rPr>
              <w:t>。使用其他粘土类防渗衬层材料时，应具有同等以上隔水效力。</w:t>
            </w:r>
          </w:p>
          <w:p>
            <w:pPr>
              <w:adjustRightInd w:val="0"/>
              <w:snapToGrid w:val="0"/>
              <w:spacing w:line="404" w:lineRule="exact"/>
              <w:ind w:left="-53" w:leftChars="-25" w:right="-53" w:rightChars="-25" w:firstLine="420" w:firstLineChars="200"/>
              <w:jc w:val="left"/>
            </w:pPr>
            <w:r>
              <w:t>（</w:t>
            </w:r>
            <w:r>
              <w:rPr>
                <w:rFonts w:hint="eastAsia"/>
              </w:rPr>
              <w:t>2</w:t>
            </w:r>
            <w:r>
              <w:t>）II类场基础层表面应与地下水年最高水位保持</w:t>
            </w:r>
            <w:r>
              <w:rPr>
                <w:rFonts w:hint="eastAsia"/>
              </w:rPr>
              <w:t>1.5m</w:t>
            </w:r>
            <w:r>
              <w:t>以上的距离。当场区基础层表面与地下水年最高水位距离不足</w:t>
            </w:r>
            <w:r>
              <w:rPr>
                <w:rFonts w:hint="eastAsia"/>
              </w:rPr>
              <w:t>1.5m</w:t>
            </w:r>
            <w:r>
              <w:t>时，应建设地下水导排系统。地下水导排系统应确保 II类场运行期地下水水位维持在基础层表面</w:t>
            </w:r>
            <w:r>
              <w:rPr>
                <w:rFonts w:hint="eastAsia"/>
              </w:rPr>
              <w:t>1.5m</w:t>
            </w:r>
            <w:r>
              <w:t>以下。</w:t>
            </w:r>
          </w:p>
          <w:p>
            <w:pPr>
              <w:adjustRightInd w:val="0"/>
              <w:snapToGrid w:val="0"/>
              <w:spacing w:line="404" w:lineRule="exact"/>
              <w:ind w:left="-53" w:leftChars="-25" w:right="-53" w:rightChars="-25" w:firstLine="420" w:firstLineChars="200"/>
              <w:jc w:val="left"/>
            </w:pPr>
            <w:r>
              <w:t>（</w:t>
            </w:r>
            <w:r>
              <w:rPr>
                <w:rFonts w:hint="eastAsia"/>
              </w:rPr>
              <w:t>3</w:t>
            </w:r>
            <w:r>
              <w:t>）II类场应设置渗漏监控系统，监控防渗衬层的完整性。渗漏监控系统的构成包括但不限于防渗衬层渗漏监测设备、地下水监测井。</w:t>
            </w:r>
          </w:p>
          <w:p>
            <w:pPr>
              <w:adjustRightInd w:val="0"/>
              <w:snapToGrid w:val="0"/>
              <w:spacing w:line="404" w:lineRule="exact"/>
              <w:ind w:left="-53" w:leftChars="-25" w:right="-53" w:rightChars="-25" w:firstLine="420" w:firstLineChars="200"/>
              <w:jc w:val="left"/>
            </w:pPr>
            <w:r>
              <w:t>（</w:t>
            </w:r>
            <w:r>
              <w:rPr>
                <w:rFonts w:hint="eastAsia"/>
              </w:rPr>
              <w:t>4</w:t>
            </w:r>
            <w:r>
              <w:t>）人工合成材料衬层、渗滤液收集和导排系统的施工不应对粘土衬层造成破坏。</w:t>
            </w:r>
          </w:p>
          <w:p>
            <w:pPr>
              <w:adjustRightInd w:val="0"/>
              <w:snapToGrid w:val="0"/>
              <w:spacing w:line="404" w:lineRule="exact"/>
              <w:ind w:left="-53" w:leftChars="-25" w:right="-53" w:rightChars="-25" w:firstLine="420" w:firstLineChars="200"/>
              <w:jc w:val="left"/>
            </w:pPr>
            <w:r>
              <w:rPr>
                <w:rFonts w:hint="eastAsia"/>
              </w:rPr>
              <w:t>根据项目设计方案，本项目拟收集处置的城市污水厂污泥，在供货方出场前已经压滤干化粗粒，进入本项目厂区时含水率不高。但为防止污泥贮存时发生污染状况，评价要求，本项目的污泥贮存间应按照《环境影响评价技术导则地下水环境》中相关防渗技术要求作重点防渗处理，满足《一般工业固体废物贮存和填埋污染控制标准》（GB 18599-2020）对一般工业固体废物II类贮存场要求。</w:t>
            </w:r>
          </w:p>
          <w:p>
            <w:pPr>
              <w:autoSpaceDE w:val="0"/>
              <w:autoSpaceDN w:val="0"/>
              <w:adjustRightInd w:val="0"/>
              <w:snapToGrid w:val="0"/>
              <w:spacing w:line="370" w:lineRule="exact"/>
              <w:jc w:val="left"/>
              <w:rPr>
                <w:rFonts w:eastAsia="黑体"/>
                <w:bCs/>
                <w:sz w:val="22"/>
                <w:szCs w:val="22"/>
              </w:rPr>
            </w:pPr>
            <w:r>
              <w:rPr>
                <w:rFonts w:hint="eastAsia" w:eastAsia="黑体"/>
                <w:bCs/>
                <w:sz w:val="22"/>
                <w:szCs w:val="22"/>
              </w:rPr>
              <w:t>6</w:t>
            </w:r>
            <w:r>
              <w:rPr>
                <w:rFonts w:eastAsia="黑体"/>
                <w:bCs/>
                <w:sz w:val="22"/>
                <w:szCs w:val="22"/>
              </w:rPr>
              <w:t>、主要生产单元及工艺</w:t>
            </w:r>
          </w:p>
          <w:p>
            <w:pPr>
              <w:autoSpaceDE w:val="0"/>
              <w:autoSpaceDN w:val="0"/>
              <w:adjustRightInd w:val="0"/>
              <w:snapToGrid w:val="0"/>
              <w:spacing w:line="370" w:lineRule="exact"/>
              <w:ind w:firstLine="420" w:firstLineChars="200"/>
              <w:jc w:val="left"/>
              <w:rPr>
                <w:kern w:val="0"/>
                <w:szCs w:val="21"/>
              </w:rPr>
            </w:pPr>
            <w:r>
              <w:rPr>
                <w:kern w:val="0"/>
                <w:szCs w:val="21"/>
              </w:rPr>
              <w:t>本项目主要生产单元为污泥处置利用</w:t>
            </w:r>
            <w:r>
              <w:rPr>
                <w:rFonts w:hint="eastAsia"/>
                <w:kern w:val="0"/>
                <w:szCs w:val="21"/>
              </w:rPr>
              <w:t>。工艺路线为：干化污泥贮存</w:t>
            </w:r>
            <w:r>
              <w:rPr>
                <w:rFonts w:ascii="Arial" w:hAnsi="Arial" w:cs="Arial"/>
                <w:kern w:val="0"/>
                <w:szCs w:val="21"/>
              </w:rPr>
              <w:t>→污泥烘干→混入制砖原料→</w:t>
            </w:r>
            <w:r>
              <w:rPr>
                <w:rFonts w:hint="eastAsia" w:ascii="Arial" w:hAnsi="Arial" w:cs="Arial"/>
                <w:kern w:val="0"/>
                <w:szCs w:val="21"/>
              </w:rPr>
              <w:t>破碎</w:t>
            </w:r>
            <w:r>
              <w:rPr>
                <w:rFonts w:ascii="Arial" w:hAnsi="Arial" w:cs="Arial"/>
                <w:kern w:val="0"/>
                <w:szCs w:val="21"/>
              </w:rPr>
              <w:t>→</w:t>
            </w:r>
            <w:r>
              <w:rPr>
                <w:rFonts w:hint="eastAsia" w:ascii="Arial" w:hAnsi="Arial" w:cs="Arial"/>
                <w:kern w:val="0"/>
                <w:szCs w:val="21"/>
              </w:rPr>
              <w:t>加水搅拌</w:t>
            </w:r>
            <w:r>
              <w:rPr>
                <w:rFonts w:ascii="Arial" w:hAnsi="Arial" w:cs="Arial"/>
                <w:kern w:val="0"/>
                <w:szCs w:val="21"/>
              </w:rPr>
              <w:t>→制砖坯→</w:t>
            </w:r>
            <w:r>
              <w:rPr>
                <w:rFonts w:hint="eastAsia" w:ascii="Arial" w:hAnsi="Arial" w:cs="Arial"/>
                <w:kern w:val="0"/>
                <w:szCs w:val="21"/>
              </w:rPr>
              <w:t>入窑干燥焙烧</w:t>
            </w:r>
            <w:r>
              <w:rPr>
                <w:rFonts w:ascii="Arial" w:hAnsi="Arial" w:cs="Arial"/>
                <w:kern w:val="0"/>
                <w:szCs w:val="21"/>
              </w:rPr>
              <w:t>→</w:t>
            </w:r>
            <w:r>
              <w:rPr>
                <w:rFonts w:hint="eastAsia" w:ascii="Arial" w:hAnsi="Arial" w:cs="Arial"/>
                <w:kern w:val="0"/>
                <w:szCs w:val="21"/>
              </w:rPr>
              <w:t>成品堆放</w:t>
            </w:r>
            <w:r>
              <w:rPr>
                <w:rFonts w:ascii="Arial" w:hAnsi="Arial" w:cs="Arial"/>
                <w:kern w:val="0"/>
                <w:szCs w:val="21"/>
              </w:rPr>
              <w:t>→</w:t>
            </w:r>
            <w:r>
              <w:rPr>
                <w:rFonts w:hint="eastAsia" w:ascii="Arial" w:hAnsi="Arial" w:cs="Arial"/>
                <w:kern w:val="0"/>
                <w:szCs w:val="21"/>
              </w:rPr>
              <w:t>外售。</w:t>
            </w:r>
          </w:p>
          <w:p>
            <w:pPr>
              <w:adjustRightInd w:val="0"/>
              <w:snapToGrid w:val="0"/>
              <w:spacing w:line="400" w:lineRule="exact"/>
              <w:ind w:left="-53" w:leftChars="-25" w:right="-53" w:rightChars="-25"/>
              <w:jc w:val="left"/>
              <w:rPr>
                <w:rFonts w:eastAsia="黑体"/>
                <w:bCs/>
                <w:sz w:val="22"/>
                <w:szCs w:val="22"/>
              </w:rPr>
            </w:pPr>
            <w:r>
              <w:rPr>
                <w:rFonts w:hint="eastAsia" w:eastAsia="黑体"/>
                <w:bCs/>
                <w:sz w:val="22"/>
                <w:szCs w:val="22"/>
              </w:rPr>
              <w:t>7</w:t>
            </w:r>
            <w:r>
              <w:rPr>
                <w:rFonts w:eastAsia="黑体"/>
                <w:bCs/>
                <w:sz w:val="22"/>
                <w:szCs w:val="22"/>
              </w:rPr>
              <w:t>、主要生产设施及参数</w:t>
            </w:r>
          </w:p>
          <w:p>
            <w:pPr>
              <w:spacing w:line="400" w:lineRule="exact"/>
              <w:jc w:val="center"/>
              <w:rPr>
                <w:rFonts w:eastAsia="黑体"/>
                <w:bCs/>
                <w:sz w:val="18"/>
                <w:szCs w:val="18"/>
              </w:rPr>
            </w:pPr>
            <w:r>
              <w:rPr>
                <w:rFonts w:eastAsia="黑体"/>
                <w:bCs/>
                <w:sz w:val="18"/>
                <w:szCs w:val="18"/>
              </w:rPr>
              <w:t>表</w:t>
            </w:r>
            <w:r>
              <w:rPr>
                <w:rFonts w:hint="eastAsia" w:eastAsia="黑体"/>
                <w:bCs/>
                <w:sz w:val="18"/>
                <w:szCs w:val="18"/>
              </w:rPr>
              <w:t xml:space="preserve">2-9   </w:t>
            </w:r>
            <w:r>
              <w:rPr>
                <w:rFonts w:eastAsia="黑体"/>
                <w:bCs/>
                <w:sz w:val="18"/>
                <w:szCs w:val="18"/>
              </w:rPr>
              <w:t>技改后主要生产设备清单</w:t>
            </w:r>
          </w:p>
          <w:tbl>
            <w:tblPr>
              <w:tblStyle w:val="20"/>
              <w:tblW w:w="756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8"/>
              <w:gridCol w:w="2092"/>
              <w:gridCol w:w="1609"/>
              <w:gridCol w:w="1187"/>
              <w:gridCol w:w="17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rFonts w:eastAsiaTheme="minorEastAsia"/>
                      <w:bCs/>
                      <w:sz w:val="18"/>
                      <w:szCs w:val="18"/>
                    </w:rPr>
                  </w:pPr>
                  <w:r>
                    <w:rPr>
                      <w:rFonts w:eastAsiaTheme="minorEastAsia"/>
                      <w:bCs/>
                      <w:sz w:val="18"/>
                      <w:szCs w:val="18"/>
                    </w:rPr>
                    <w:t>序号</w:t>
                  </w:r>
                </w:p>
              </w:tc>
              <w:tc>
                <w:tcPr>
                  <w:tcW w:w="2092" w:type="dxa"/>
                  <w:vAlign w:val="center"/>
                </w:tcPr>
                <w:p>
                  <w:pPr>
                    <w:spacing w:line="260" w:lineRule="exact"/>
                    <w:jc w:val="center"/>
                    <w:rPr>
                      <w:rFonts w:eastAsiaTheme="minorEastAsia"/>
                      <w:bCs/>
                      <w:sz w:val="18"/>
                      <w:szCs w:val="18"/>
                    </w:rPr>
                  </w:pPr>
                  <w:r>
                    <w:rPr>
                      <w:rFonts w:eastAsiaTheme="minorEastAsia"/>
                      <w:bCs/>
                      <w:sz w:val="18"/>
                      <w:szCs w:val="18"/>
                    </w:rPr>
                    <w:t>设备名称</w:t>
                  </w:r>
                </w:p>
              </w:tc>
              <w:tc>
                <w:tcPr>
                  <w:tcW w:w="1609" w:type="dxa"/>
                  <w:tcBorders>
                    <w:right w:val="single" w:color="auto" w:sz="4" w:space="0"/>
                  </w:tcBorders>
                  <w:vAlign w:val="center"/>
                </w:tcPr>
                <w:p>
                  <w:pPr>
                    <w:spacing w:line="260" w:lineRule="exact"/>
                    <w:jc w:val="center"/>
                    <w:rPr>
                      <w:rFonts w:eastAsiaTheme="minorEastAsia"/>
                      <w:bCs/>
                      <w:sz w:val="18"/>
                      <w:szCs w:val="18"/>
                    </w:rPr>
                  </w:pPr>
                  <w:r>
                    <w:rPr>
                      <w:rFonts w:eastAsiaTheme="minorEastAsia"/>
                      <w:bCs/>
                      <w:sz w:val="18"/>
                      <w:szCs w:val="18"/>
                    </w:rPr>
                    <w:t>规格型号</w:t>
                  </w:r>
                </w:p>
              </w:tc>
              <w:tc>
                <w:tcPr>
                  <w:tcW w:w="1187" w:type="dxa"/>
                  <w:vAlign w:val="center"/>
                </w:tcPr>
                <w:p>
                  <w:pPr>
                    <w:spacing w:line="260" w:lineRule="exact"/>
                    <w:jc w:val="center"/>
                    <w:rPr>
                      <w:rFonts w:eastAsiaTheme="minorEastAsia"/>
                      <w:bCs/>
                      <w:sz w:val="18"/>
                      <w:szCs w:val="18"/>
                    </w:rPr>
                  </w:pPr>
                  <w:r>
                    <w:rPr>
                      <w:rFonts w:eastAsiaTheme="minorEastAsia"/>
                      <w:bCs/>
                      <w:sz w:val="18"/>
                      <w:szCs w:val="18"/>
                    </w:rPr>
                    <w:t>数量</w:t>
                  </w:r>
                </w:p>
              </w:tc>
              <w:tc>
                <w:tcPr>
                  <w:tcW w:w="1775" w:type="dxa"/>
                  <w:vAlign w:val="center"/>
                </w:tcPr>
                <w:p>
                  <w:pPr>
                    <w:spacing w:line="260" w:lineRule="exact"/>
                    <w:jc w:val="center"/>
                    <w:rPr>
                      <w:rFonts w:eastAsiaTheme="minorEastAsia"/>
                      <w:bCs/>
                      <w:sz w:val="18"/>
                      <w:szCs w:val="18"/>
                    </w:rPr>
                  </w:pPr>
                  <w:r>
                    <w:rPr>
                      <w:rFonts w:eastAsiaTheme="minorEastAsia"/>
                      <w:bCs/>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1</w:t>
                  </w:r>
                </w:p>
              </w:tc>
              <w:tc>
                <w:tcPr>
                  <w:tcW w:w="2092" w:type="dxa"/>
                  <w:vAlign w:val="center"/>
                </w:tcPr>
                <w:p>
                  <w:pPr>
                    <w:spacing w:line="260" w:lineRule="exact"/>
                    <w:jc w:val="center"/>
                    <w:rPr>
                      <w:sz w:val="18"/>
                      <w:szCs w:val="18"/>
                    </w:rPr>
                  </w:pPr>
                  <w:r>
                    <w:rPr>
                      <w:sz w:val="18"/>
                      <w:szCs w:val="18"/>
                    </w:rPr>
                    <w:t>给料机</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1台</w:t>
                  </w:r>
                </w:p>
              </w:tc>
              <w:tc>
                <w:tcPr>
                  <w:tcW w:w="1775" w:type="dxa"/>
                  <w:vMerge w:val="restart"/>
                  <w:vAlign w:val="center"/>
                </w:tcPr>
                <w:p>
                  <w:pPr>
                    <w:adjustRightInd w:val="0"/>
                    <w:snapToGrid w:val="0"/>
                    <w:spacing w:line="260" w:lineRule="exact"/>
                    <w:jc w:val="center"/>
                    <w:rPr>
                      <w:rFonts w:eastAsiaTheme="minorEastAsia"/>
                      <w:sz w:val="18"/>
                      <w:szCs w:val="18"/>
                    </w:rPr>
                  </w:pPr>
                  <w:r>
                    <w:rPr>
                      <w:rFonts w:eastAsiaTheme="minorEastAsia"/>
                      <w:sz w:val="18"/>
                      <w:szCs w:val="18"/>
                    </w:rPr>
                    <w:t>现有工程已购设备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2</w:t>
                  </w:r>
                </w:p>
              </w:tc>
              <w:tc>
                <w:tcPr>
                  <w:tcW w:w="2092" w:type="dxa"/>
                  <w:vAlign w:val="center"/>
                </w:tcPr>
                <w:p>
                  <w:pPr>
                    <w:spacing w:line="260" w:lineRule="exact"/>
                    <w:jc w:val="center"/>
                    <w:rPr>
                      <w:sz w:val="18"/>
                      <w:szCs w:val="18"/>
                    </w:rPr>
                  </w:pPr>
                  <w:r>
                    <w:rPr>
                      <w:sz w:val="18"/>
                      <w:szCs w:val="18"/>
                    </w:rPr>
                    <w:t>颚式破碎机</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1台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3</w:t>
                  </w:r>
                </w:p>
              </w:tc>
              <w:tc>
                <w:tcPr>
                  <w:tcW w:w="2092" w:type="dxa"/>
                  <w:vAlign w:val="center"/>
                </w:tcPr>
                <w:p>
                  <w:pPr>
                    <w:spacing w:line="260" w:lineRule="exact"/>
                    <w:jc w:val="center"/>
                    <w:rPr>
                      <w:sz w:val="18"/>
                      <w:szCs w:val="18"/>
                    </w:rPr>
                  </w:pPr>
                  <w:r>
                    <w:rPr>
                      <w:sz w:val="18"/>
                      <w:szCs w:val="18"/>
                    </w:rPr>
                    <w:t>粉碎机</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1台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4</w:t>
                  </w:r>
                </w:p>
              </w:tc>
              <w:tc>
                <w:tcPr>
                  <w:tcW w:w="2092" w:type="dxa"/>
                  <w:vAlign w:val="center"/>
                </w:tcPr>
                <w:p>
                  <w:pPr>
                    <w:spacing w:line="260" w:lineRule="exact"/>
                    <w:jc w:val="center"/>
                    <w:rPr>
                      <w:sz w:val="18"/>
                      <w:szCs w:val="18"/>
                    </w:rPr>
                  </w:pPr>
                  <w:r>
                    <w:rPr>
                      <w:sz w:val="18"/>
                      <w:szCs w:val="18"/>
                    </w:rPr>
                    <w:t>滚动筛</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1台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5</w:t>
                  </w:r>
                </w:p>
              </w:tc>
              <w:tc>
                <w:tcPr>
                  <w:tcW w:w="2092" w:type="dxa"/>
                  <w:vAlign w:val="center"/>
                </w:tcPr>
                <w:p>
                  <w:pPr>
                    <w:spacing w:line="260" w:lineRule="exact"/>
                    <w:jc w:val="center"/>
                    <w:rPr>
                      <w:sz w:val="18"/>
                      <w:szCs w:val="18"/>
                    </w:rPr>
                  </w:pPr>
                  <w:r>
                    <w:rPr>
                      <w:sz w:val="18"/>
                      <w:szCs w:val="18"/>
                    </w:rPr>
                    <w:t>双轴搅拌机</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2台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6</w:t>
                  </w:r>
                </w:p>
              </w:tc>
              <w:tc>
                <w:tcPr>
                  <w:tcW w:w="2092" w:type="dxa"/>
                  <w:vAlign w:val="center"/>
                </w:tcPr>
                <w:p>
                  <w:pPr>
                    <w:spacing w:line="260" w:lineRule="exact"/>
                    <w:jc w:val="center"/>
                    <w:rPr>
                      <w:sz w:val="18"/>
                      <w:szCs w:val="18"/>
                    </w:rPr>
                  </w:pPr>
                  <w:r>
                    <w:rPr>
                      <w:sz w:val="18"/>
                      <w:szCs w:val="18"/>
                    </w:rPr>
                    <w:t>自动加水器</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2台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7</w:t>
                  </w:r>
                </w:p>
              </w:tc>
              <w:tc>
                <w:tcPr>
                  <w:tcW w:w="2092" w:type="dxa"/>
                  <w:vAlign w:val="center"/>
                </w:tcPr>
                <w:p>
                  <w:pPr>
                    <w:spacing w:line="260" w:lineRule="exact"/>
                    <w:jc w:val="center"/>
                    <w:rPr>
                      <w:sz w:val="18"/>
                      <w:szCs w:val="18"/>
                    </w:rPr>
                  </w:pPr>
                  <w:r>
                    <w:rPr>
                      <w:sz w:val="18"/>
                      <w:szCs w:val="18"/>
                    </w:rPr>
                    <w:t>配料机</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1台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8</w:t>
                  </w:r>
                </w:p>
              </w:tc>
              <w:tc>
                <w:tcPr>
                  <w:tcW w:w="2092" w:type="dxa"/>
                  <w:vAlign w:val="center"/>
                </w:tcPr>
                <w:p>
                  <w:pPr>
                    <w:spacing w:line="260" w:lineRule="exact"/>
                    <w:jc w:val="center"/>
                    <w:rPr>
                      <w:sz w:val="18"/>
                      <w:szCs w:val="18"/>
                    </w:rPr>
                  </w:pPr>
                  <w:r>
                    <w:rPr>
                      <w:sz w:val="18"/>
                      <w:szCs w:val="18"/>
                    </w:rPr>
                    <w:t>减速机</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1台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9</w:t>
                  </w:r>
                </w:p>
              </w:tc>
              <w:tc>
                <w:tcPr>
                  <w:tcW w:w="2092" w:type="dxa"/>
                  <w:vAlign w:val="center"/>
                </w:tcPr>
                <w:p>
                  <w:pPr>
                    <w:spacing w:line="260" w:lineRule="exact"/>
                    <w:jc w:val="center"/>
                    <w:rPr>
                      <w:sz w:val="18"/>
                      <w:szCs w:val="18"/>
                    </w:rPr>
                  </w:pPr>
                  <w:r>
                    <w:rPr>
                      <w:sz w:val="18"/>
                      <w:szCs w:val="18"/>
                    </w:rPr>
                    <w:t>真空挤砖机</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1台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10</w:t>
                  </w:r>
                </w:p>
              </w:tc>
              <w:tc>
                <w:tcPr>
                  <w:tcW w:w="2092" w:type="dxa"/>
                  <w:vAlign w:val="center"/>
                </w:tcPr>
                <w:p>
                  <w:pPr>
                    <w:spacing w:line="260" w:lineRule="exact"/>
                    <w:jc w:val="center"/>
                    <w:rPr>
                      <w:sz w:val="18"/>
                      <w:szCs w:val="18"/>
                    </w:rPr>
                  </w:pPr>
                  <w:r>
                    <w:rPr>
                      <w:sz w:val="18"/>
                      <w:szCs w:val="18"/>
                    </w:rPr>
                    <w:t>自动切条机</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1台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11</w:t>
                  </w:r>
                </w:p>
              </w:tc>
              <w:tc>
                <w:tcPr>
                  <w:tcW w:w="2092" w:type="dxa"/>
                  <w:vAlign w:val="center"/>
                </w:tcPr>
                <w:p>
                  <w:pPr>
                    <w:spacing w:line="260" w:lineRule="exact"/>
                    <w:jc w:val="center"/>
                    <w:rPr>
                      <w:sz w:val="18"/>
                      <w:szCs w:val="18"/>
                    </w:rPr>
                  </w:pPr>
                  <w:r>
                    <w:rPr>
                      <w:sz w:val="18"/>
                      <w:szCs w:val="18"/>
                    </w:rPr>
                    <w:t>自动切坯机</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1台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12</w:t>
                  </w:r>
                </w:p>
              </w:tc>
              <w:tc>
                <w:tcPr>
                  <w:tcW w:w="2092" w:type="dxa"/>
                  <w:vAlign w:val="center"/>
                </w:tcPr>
                <w:p>
                  <w:pPr>
                    <w:spacing w:line="260" w:lineRule="exact"/>
                    <w:jc w:val="center"/>
                    <w:rPr>
                      <w:sz w:val="18"/>
                      <w:szCs w:val="18"/>
                    </w:rPr>
                  </w:pPr>
                  <w:r>
                    <w:rPr>
                      <w:sz w:val="18"/>
                      <w:szCs w:val="18"/>
                    </w:rPr>
                    <w:t>液压顶车机</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2台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13</w:t>
                  </w:r>
                </w:p>
              </w:tc>
              <w:tc>
                <w:tcPr>
                  <w:tcW w:w="2092" w:type="dxa"/>
                  <w:vAlign w:val="center"/>
                </w:tcPr>
                <w:p>
                  <w:pPr>
                    <w:spacing w:line="260" w:lineRule="exact"/>
                    <w:jc w:val="center"/>
                    <w:rPr>
                      <w:sz w:val="18"/>
                      <w:szCs w:val="18"/>
                    </w:rPr>
                  </w:pPr>
                  <w:r>
                    <w:rPr>
                      <w:sz w:val="18"/>
                      <w:szCs w:val="18"/>
                    </w:rPr>
                    <w:t>自行拖车</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3台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14</w:t>
                  </w:r>
                </w:p>
              </w:tc>
              <w:tc>
                <w:tcPr>
                  <w:tcW w:w="2092" w:type="dxa"/>
                  <w:vAlign w:val="center"/>
                </w:tcPr>
                <w:p>
                  <w:pPr>
                    <w:spacing w:line="260" w:lineRule="exact"/>
                    <w:jc w:val="center"/>
                    <w:rPr>
                      <w:sz w:val="18"/>
                      <w:szCs w:val="18"/>
                    </w:rPr>
                  </w:pPr>
                  <w:r>
                    <w:rPr>
                      <w:sz w:val="18"/>
                      <w:szCs w:val="18"/>
                    </w:rPr>
                    <w:t>自动码坯机</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2台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15</w:t>
                  </w:r>
                </w:p>
              </w:tc>
              <w:tc>
                <w:tcPr>
                  <w:tcW w:w="2092" w:type="dxa"/>
                  <w:vAlign w:val="center"/>
                </w:tcPr>
                <w:p>
                  <w:pPr>
                    <w:spacing w:line="260" w:lineRule="exact"/>
                    <w:jc w:val="center"/>
                    <w:rPr>
                      <w:sz w:val="18"/>
                      <w:szCs w:val="18"/>
                    </w:rPr>
                  </w:pPr>
                  <w:r>
                    <w:rPr>
                      <w:sz w:val="18"/>
                      <w:szCs w:val="18"/>
                    </w:rPr>
                    <w:t>牵引机</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4台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16</w:t>
                  </w:r>
                </w:p>
              </w:tc>
              <w:tc>
                <w:tcPr>
                  <w:tcW w:w="2092" w:type="dxa"/>
                  <w:vAlign w:val="center"/>
                </w:tcPr>
                <w:p>
                  <w:pPr>
                    <w:spacing w:line="260" w:lineRule="exact"/>
                    <w:jc w:val="center"/>
                    <w:rPr>
                      <w:sz w:val="18"/>
                      <w:szCs w:val="18"/>
                    </w:rPr>
                  </w:pPr>
                  <w:r>
                    <w:rPr>
                      <w:rFonts w:hint="eastAsia"/>
                      <w:sz w:val="18"/>
                      <w:szCs w:val="18"/>
                    </w:rPr>
                    <w:t>引</w:t>
                  </w:r>
                  <w:r>
                    <w:rPr>
                      <w:sz w:val="18"/>
                      <w:szCs w:val="18"/>
                    </w:rPr>
                    <w:t>风机</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2台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17</w:t>
                  </w:r>
                </w:p>
              </w:tc>
              <w:tc>
                <w:tcPr>
                  <w:tcW w:w="2092" w:type="dxa"/>
                  <w:vAlign w:val="center"/>
                </w:tcPr>
                <w:p>
                  <w:pPr>
                    <w:spacing w:line="260" w:lineRule="exact"/>
                    <w:jc w:val="center"/>
                    <w:rPr>
                      <w:sz w:val="18"/>
                      <w:szCs w:val="18"/>
                    </w:rPr>
                  </w:pPr>
                  <w:r>
                    <w:rPr>
                      <w:sz w:val="18"/>
                      <w:szCs w:val="18"/>
                    </w:rPr>
                    <w:t>变压器</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1台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19</w:t>
                  </w:r>
                </w:p>
              </w:tc>
              <w:tc>
                <w:tcPr>
                  <w:tcW w:w="2092" w:type="dxa"/>
                  <w:vAlign w:val="center"/>
                </w:tcPr>
                <w:p>
                  <w:pPr>
                    <w:spacing w:line="260" w:lineRule="exact"/>
                    <w:jc w:val="center"/>
                    <w:rPr>
                      <w:sz w:val="18"/>
                      <w:szCs w:val="18"/>
                    </w:rPr>
                  </w:pPr>
                  <w:r>
                    <w:rPr>
                      <w:sz w:val="18"/>
                      <w:szCs w:val="18"/>
                    </w:rPr>
                    <w:t>配电箱</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1套</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20</w:t>
                  </w:r>
                </w:p>
              </w:tc>
              <w:tc>
                <w:tcPr>
                  <w:tcW w:w="2092" w:type="dxa"/>
                  <w:vAlign w:val="center"/>
                </w:tcPr>
                <w:p>
                  <w:pPr>
                    <w:spacing w:line="260" w:lineRule="exact"/>
                    <w:jc w:val="center"/>
                    <w:rPr>
                      <w:sz w:val="18"/>
                      <w:szCs w:val="18"/>
                    </w:rPr>
                  </w:pPr>
                  <w:r>
                    <w:rPr>
                      <w:sz w:val="18"/>
                      <w:szCs w:val="18"/>
                    </w:rPr>
                    <w:t>箱式给料机</w:t>
                  </w:r>
                </w:p>
              </w:tc>
              <w:tc>
                <w:tcPr>
                  <w:tcW w:w="1609" w:type="dxa"/>
                  <w:tcBorders>
                    <w:right w:val="single" w:color="auto" w:sz="4" w:space="0"/>
                  </w:tcBorders>
                </w:tcPr>
                <w:p>
                  <w:pPr>
                    <w:spacing w:line="260" w:lineRule="exact"/>
                    <w:jc w:val="center"/>
                    <w:rPr>
                      <w:rFonts w:eastAsiaTheme="minorEastAsia"/>
                      <w:sz w:val="18"/>
                      <w:szCs w:val="18"/>
                    </w:rPr>
                  </w:pPr>
                  <w:r>
                    <w:rPr>
                      <w:rFonts w:hint="eastAsia" w:eastAsiaTheme="minorEastAsia"/>
                      <w:sz w:val="18"/>
                      <w:szCs w:val="18"/>
                    </w:rPr>
                    <w:t>/</w:t>
                  </w:r>
                </w:p>
              </w:tc>
              <w:tc>
                <w:tcPr>
                  <w:tcW w:w="1187" w:type="dxa"/>
                  <w:vAlign w:val="center"/>
                </w:tcPr>
                <w:p>
                  <w:pPr>
                    <w:spacing w:line="260" w:lineRule="exact"/>
                    <w:jc w:val="center"/>
                    <w:rPr>
                      <w:sz w:val="18"/>
                      <w:szCs w:val="18"/>
                    </w:rPr>
                  </w:pPr>
                  <w:r>
                    <w:rPr>
                      <w:sz w:val="18"/>
                      <w:szCs w:val="18"/>
                    </w:rPr>
                    <w:t>1台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2</w:t>
                  </w:r>
                </w:p>
              </w:tc>
              <w:tc>
                <w:tcPr>
                  <w:tcW w:w="2092" w:type="dxa"/>
                  <w:vAlign w:val="center"/>
                </w:tcPr>
                <w:p>
                  <w:pPr>
                    <w:spacing w:line="260" w:lineRule="exact"/>
                    <w:jc w:val="center"/>
                    <w:rPr>
                      <w:sz w:val="18"/>
                      <w:szCs w:val="18"/>
                    </w:rPr>
                  </w:pPr>
                  <w:r>
                    <w:rPr>
                      <w:sz w:val="18"/>
                      <w:szCs w:val="18"/>
                    </w:rPr>
                    <w:t>真空泵</w:t>
                  </w:r>
                </w:p>
              </w:tc>
              <w:tc>
                <w:tcPr>
                  <w:tcW w:w="1609" w:type="dxa"/>
                  <w:tcBorders>
                    <w:right w:val="single" w:color="auto" w:sz="4" w:space="0"/>
                  </w:tcBorders>
                  <w:vAlign w:val="center"/>
                </w:tcPr>
                <w:p>
                  <w:pPr>
                    <w:widowControl/>
                    <w:spacing w:line="260" w:lineRule="exact"/>
                    <w:jc w:val="center"/>
                    <w:rPr>
                      <w:rFonts w:eastAsiaTheme="minorEastAsia"/>
                      <w:kern w:val="0"/>
                      <w:sz w:val="18"/>
                      <w:szCs w:val="18"/>
                    </w:rPr>
                  </w:pPr>
                  <w:r>
                    <w:rPr>
                      <w:rFonts w:hint="eastAsia" w:eastAsiaTheme="minorEastAsia"/>
                      <w:kern w:val="0"/>
                      <w:sz w:val="18"/>
                      <w:szCs w:val="18"/>
                    </w:rPr>
                    <w:t>/</w:t>
                  </w:r>
                </w:p>
              </w:tc>
              <w:tc>
                <w:tcPr>
                  <w:tcW w:w="1187" w:type="dxa"/>
                  <w:vAlign w:val="center"/>
                </w:tcPr>
                <w:p>
                  <w:pPr>
                    <w:spacing w:line="260" w:lineRule="exact"/>
                    <w:jc w:val="center"/>
                    <w:rPr>
                      <w:sz w:val="18"/>
                      <w:szCs w:val="18"/>
                    </w:rPr>
                  </w:pPr>
                  <w:r>
                    <w:rPr>
                      <w:sz w:val="18"/>
                      <w:szCs w:val="18"/>
                    </w:rPr>
                    <w:t>1台</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sz w:val="18"/>
                      <w:szCs w:val="18"/>
                    </w:rPr>
                    <w:t>22</w:t>
                  </w:r>
                </w:p>
              </w:tc>
              <w:tc>
                <w:tcPr>
                  <w:tcW w:w="2092" w:type="dxa"/>
                  <w:vAlign w:val="center"/>
                </w:tcPr>
                <w:p>
                  <w:pPr>
                    <w:spacing w:line="260" w:lineRule="exact"/>
                    <w:jc w:val="center"/>
                    <w:rPr>
                      <w:sz w:val="18"/>
                      <w:szCs w:val="18"/>
                    </w:rPr>
                  </w:pPr>
                  <w:r>
                    <w:rPr>
                      <w:sz w:val="18"/>
                      <w:szCs w:val="18"/>
                    </w:rPr>
                    <w:t>脱硫设施</w:t>
                  </w:r>
                </w:p>
              </w:tc>
              <w:tc>
                <w:tcPr>
                  <w:tcW w:w="1609" w:type="dxa"/>
                  <w:tcBorders>
                    <w:right w:val="single" w:color="auto" w:sz="4" w:space="0"/>
                  </w:tcBorders>
                  <w:vAlign w:val="center"/>
                </w:tcPr>
                <w:p>
                  <w:pPr>
                    <w:widowControl/>
                    <w:spacing w:line="260" w:lineRule="exact"/>
                    <w:jc w:val="center"/>
                    <w:rPr>
                      <w:rFonts w:eastAsiaTheme="minorEastAsia"/>
                      <w:kern w:val="0"/>
                      <w:sz w:val="18"/>
                      <w:szCs w:val="18"/>
                    </w:rPr>
                  </w:pPr>
                  <w:r>
                    <w:rPr>
                      <w:rFonts w:hint="eastAsia" w:eastAsiaTheme="minorEastAsia"/>
                      <w:kern w:val="0"/>
                      <w:sz w:val="18"/>
                      <w:szCs w:val="18"/>
                    </w:rPr>
                    <w:t>/</w:t>
                  </w:r>
                </w:p>
              </w:tc>
              <w:tc>
                <w:tcPr>
                  <w:tcW w:w="1187" w:type="dxa"/>
                  <w:vAlign w:val="center"/>
                </w:tcPr>
                <w:p>
                  <w:pPr>
                    <w:spacing w:line="260" w:lineRule="exact"/>
                    <w:jc w:val="center"/>
                    <w:rPr>
                      <w:sz w:val="18"/>
                      <w:szCs w:val="18"/>
                    </w:rPr>
                  </w:pPr>
                  <w:r>
                    <w:rPr>
                      <w:rFonts w:hint="eastAsia"/>
                      <w:sz w:val="18"/>
                      <w:szCs w:val="18"/>
                    </w:rPr>
                    <w:t>1套</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rFonts w:hint="eastAsia"/>
                      <w:sz w:val="18"/>
                      <w:szCs w:val="18"/>
                    </w:rPr>
                    <w:t>23</w:t>
                  </w:r>
                </w:p>
              </w:tc>
              <w:tc>
                <w:tcPr>
                  <w:tcW w:w="2092" w:type="dxa"/>
                  <w:vAlign w:val="center"/>
                </w:tcPr>
                <w:p>
                  <w:pPr>
                    <w:spacing w:line="260" w:lineRule="exact"/>
                    <w:jc w:val="center"/>
                    <w:rPr>
                      <w:sz w:val="18"/>
                      <w:szCs w:val="18"/>
                    </w:rPr>
                  </w:pPr>
                  <w:r>
                    <w:rPr>
                      <w:sz w:val="18"/>
                      <w:szCs w:val="18"/>
                    </w:rPr>
                    <w:t>隧道窑</w:t>
                  </w:r>
                </w:p>
              </w:tc>
              <w:tc>
                <w:tcPr>
                  <w:tcW w:w="1609" w:type="dxa"/>
                  <w:tcBorders>
                    <w:right w:val="single" w:color="auto" w:sz="4" w:space="0"/>
                  </w:tcBorders>
                  <w:vAlign w:val="center"/>
                </w:tcPr>
                <w:p>
                  <w:pPr>
                    <w:widowControl/>
                    <w:spacing w:line="260" w:lineRule="exact"/>
                    <w:jc w:val="center"/>
                    <w:rPr>
                      <w:rFonts w:eastAsiaTheme="minorEastAsia"/>
                      <w:kern w:val="0"/>
                      <w:sz w:val="18"/>
                      <w:szCs w:val="18"/>
                    </w:rPr>
                  </w:pPr>
                  <w:r>
                    <w:rPr>
                      <w:rFonts w:hint="eastAsia" w:eastAsiaTheme="minorEastAsia"/>
                      <w:kern w:val="0"/>
                      <w:sz w:val="18"/>
                      <w:szCs w:val="18"/>
                    </w:rPr>
                    <w:t>/</w:t>
                  </w:r>
                </w:p>
              </w:tc>
              <w:tc>
                <w:tcPr>
                  <w:tcW w:w="1187" w:type="dxa"/>
                  <w:vAlign w:val="center"/>
                </w:tcPr>
                <w:p>
                  <w:pPr>
                    <w:spacing w:line="260" w:lineRule="exact"/>
                    <w:jc w:val="center"/>
                    <w:rPr>
                      <w:sz w:val="18"/>
                      <w:szCs w:val="18"/>
                    </w:rPr>
                  </w:pPr>
                  <w:r>
                    <w:rPr>
                      <w:sz w:val="18"/>
                      <w:szCs w:val="18"/>
                    </w:rPr>
                    <w:t>1条</w:t>
                  </w:r>
                </w:p>
              </w:tc>
              <w:tc>
                <w:tcPr>
                  <w:tcW w:w="1775" w:type="dxa"/>
                  <w:vMerge w:val="continue"/>
                  <w:vAlign w:val="center"/>
                </w:tcPr>
                <w:p>
                  <w:pPr>
                    <w:adjustRightInd w:val="0"/>
                    <w:snapToGrid w:val="0"/>
                    <w:spacing w:line="260" w:lineRule="exact"/>
                    <w:jc w:val="center"/>
                    <w:rPr>
                      <w:rFonts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rFonts w:hint="eastAsia"/>
                      <w:sz w:val="18"/>
                      <w:szCs w:val="18"/>
                    </w:rPr>
                    <w:t>24</w:t>
                  </w:r>
                </w:p>
              </w:tc>
              <w:tc>
                <w:tcPr>
                  <w:tcW w:w="2092" w:type="dxa"/>
                  <w:vAlign w:val="center"/>
                </w:tcPr>
                <w:p>
                  <w:pPr>
                    <w:spacing w:line="260" w:lineRule="exact"/>
                    <w:jc w:val="center"/>
                    <w:rPr>
                      <w:sz w:val="18"/>
                      <w:szCs w:val="18"/>
                    </w:rPr>
                  </w:pPr>
                  <w:r>
                    <w:rPr>
                      <w:rFonts w:hint="eastAsia"/>
                      <w:sz w:val="18"/>
                      <w:szCs w:val="18"/>
                    </w:rPr>
                    <w:t>生物质燃烧机</w:t>
                  </w:r>
                </w:p>
              </w:tc>
              <w:tc>
                <w:tcPr>
                  <w:tcW w:w="1609" w:type="dxa"/>
                  <w:tcBorders>
                    <w:right w:val="single" w:color="auto" w:sz="4" w:space="0"/>
                  </w:tcBorders>
                  <w:vAlign w:val="center"/>
                </w:tcPr>
                <w:p>
                  <w:pPr>
                    <w:widowControl/>
                    <w:spacing w:line="260" w:lineRule="exact"/>
                    <w:jc w:val="center"/>
                    <w:rPr>
                      <w:rFonts w:eastAsiaTheme="minorEastAsia"/>
                      <w:kern w:val="0"/>
                      <w:sz w:val="18"/>
                      <w:szCs w:val="18"/>
                    </w:rPr>
                  </w:pPr>
                  <w:r>
                    <w:rPr>
                      <w:rFonts w:hint="eastAsia" w:eastAsiaTheme="minorEastAsia"/>
                      <w:kern w:val="0"/>
                      <w:sz w:val="18"/>
                      <w:szCs w:val="18"/>
                    </w:rPr>
                    <w:t>消耗燃料800公斤/小时</w:t>
                  </w:r>
                </w:p>
              </w:tc>
              <w:tc>
                <w:tcPr>
                  <w:tcW w:w="1187" w:type="dxa"/>
                  <w:vAlign w:val="center"/>
                </w:tcPr>
                <w:p>
                  <w:pPr>
                    <w:spacing w:line="260" w:lineRule="exact"/>
                    <w:jc w:val="center"/>
                    <w:rPr>
                      <w:sz w:val="18"/>
                      <w:szCs w:val="18"/>
                    </w:rPr>
                  </w:pPr>
                  <w:r>
                    <w:rPr>
                      <w:rFonts w:hint="eastAsia"/>
                      <w:sz w:val="18"/>
                      <w:szCs w:val="18"/>
                    </w:rPr>
                    <w:t>1台</w:t>
                  </w:r>
                </w:p>
              </w:tc>
              <w:tc>
                <w:tcPr>
                  <w:tcW w:w="1775" w:type="dxa"/>
                  <w:vAlign w:val="center"/>
                </w:tcPr>
                <w:p>
                  <w:pPr>
                    <w:adjustRightInd w:val="0"/>
                    <w:snapToGrid w:val="0"/>
                    <w:spacing w:line="260" w:lineRule="exact"/>
                    <w:jc w:val="center"/>
                    <w:rPr>
                      <w:rFonts w:eastAsiaTheme="minorEastAsia"/>
                      <w:sz w:val="18"/>
                      <w:szCs w:val="18"/>
                    </w:rPr>
                  </w:pPr>
                  <w:r>
                    <w:rPr>
                      <w:rFonts w:eastAsiaTheme="minorEastAsia"/>
                      <w:sz w:val="18"/>
                      <w:szCs w:val="1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rFonts w:hint="eastAsia"/>
                      <w:sz w:val="18"/>
                      <w:szCs w:val="18"/>
                    </w:rPr>
                    <w:t>25</w:t>
                  </w:r>
                </w:p>
              </w:tc>
              <w:tc>
                <w:tcPr>
                  <w:tcW w:w="2092" w:type="dxa"/>
                  <w:vAlign w:val="center"/>
                </w:tcPr>
                <w:p>
                  <w:pPr>
                    <w:spacing w:line="260" w:lineRule="exact"/>
                    <w:jc w:val="center"/>
                    <w:rPr>
                      <w:sz w:val="18"/>
                      <w:szCs w:val="18"/>
                    </w:rPr>
                  </w:pPr>
                  <w:r>
                    <w:rPr>
                      <w:rFonts w:hint="eastAsia"/>
                      <w:sz w:val="18"/>
                      <w:szCs w:val="18"/>
                    </w:rPr>
                    <w:t>滚筒烘干炉</w:t>
                  </w:r>
                </w:p>
              </w:tc>
              <w:tc>
                <w:tcPr>
                  <w:tcW w:w="1609" w:type="dxa"/>
                  <w:tcBorders>
                    <w:right w:val="single" w:color="auto" w:sz="4" w:space="0"/>
                  </w:tcBorders>
                  <w:vAlign w:val="center"/>
                </w:tcPr>
                <w:p>
                  <w:pPr>
                    <w:widowControl/>
                    <w:spacing w:line="260" w:lineRule="exact"/>
                    <w:jc w:val="center"/>
                    <w:rPr>
                      <w:rFonts w:eastAsiaTheme="minorEastAsia"/>
                      <w:kern w:val="0"/>
                      <w:sz w:val="18"/>
                      <w:szCs w:val="18"/>
                    </w:rPr>
                  </w:pPr>
                  <w:r>
                    <w:rPr>
                      <w:rFonts w:hint="eastAsia" w:eastAsiaTheme="minorEastAsia"/>
                      <w:kern w:val="0"/>
                      <w:sz w:val="18"/>
                      <w:szCs w:val="18"/>
                    </w:rPr>
                    <w:t>18m、直径1.8m</w:t>
                  </w:r>
                </w:p>
              </w:tc>
              <w:tc>
                <w:tcPr>
                  <w:tcW w:w="1187" w:type="dxa"/>
                  <w:vAlign w:val="center"/>
                </w:tcPr>
                <w:p>
                  <w:pPr>
                    <w:spacing w:line="260" w:lineRule="exact"/>
                    <w:jc w:val="center"/>
                    <w:rPr>
                      <w:sz w:val="18"/>
                      <w:szCs w:val="18"/>
                    </w:rPr>
                  </w:pPr>
                  <w:r>
                    <w:rPr>
                      <w:rFonts w:hint="eastAsia"/>
                      <w:sz w:val="18"/>
                      <w:szCs w:val="18"/>
                    </w:rPr>
                    <w:t>1套</w:t>
                  </w:r>
                </w:p>
              </w:tc>
              <w:tc>
                <w:tcPr>
                  <w:tcW w:w="1775" w:type="dxa"/>
                  <w:vAlign w:val="center"/>
                </w:tcPr>
                <w:p>
                  <w:pPr>
                    <w:adjustRightInd w:val="0"/>
                    <w:snapToGrid w:val="0"/>
                    <w:spacing w:line="260" w:lineRule="exact"/>
                    <w:jc w:val="center"/>
                    <w:rPr>
                      <w:rFonts w:eastAsiaTheme="minorEastAsia"/>
                      <w:sz w:val="18"/>
                      <w:szCs w:val="18"/>
                    </w:rPr>
                  </w:pPr>
                  <w:r>
                    <w:rPr>
                      <w:rFonts w:eastAsiaTheme="minorEastAsia"/>
                      <w:sz w:val="18"/>
                      <w:szCs w:val="1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898" w:type="dxa"/>
                  <w:vAlign w:val="center"/>
                </w:tcPr>
                <w:p>
                  <w:pPr>
                    <w:spacing w:line="260" w:lineRule="exact"/>
                    <w:jc w:val="center"/>
                    <w:rPr>
                      <w:sz w:val="18"/>
                      <w:szCs w:val="18"/>
                    </w:rPr>
                  </w:pPr>
                  <w:r>
                    <w:rPr>
                      <w:rFonts w:hint="eastAsia"/>
                      <w:sz w:val="18"/>
                      <w:szCs w:val="18"/>
                    </w:rPr>
                    <w:t>26</w:t>
                  </w:r>
                </w:p>
              </w:tc>
              <w:tc>
                <w:tcPr>
                  <w:tcW w:w="2092" w:type="dxa"/>
                  <w:vAlign w:val="center"/>
                </w:tcPr>
                <w:p>
                  <w:pPr>
                    <w:spacing w:line="260" w:lineRule="exact"/>
                    <w:jc w:val="center"/>
                    <w:rPr>
                      <w:sz w:val="18"/>
                      <w:szCs w:val="18"/>
                    </w:rPr>
                  </w:pPr>
                  <w:r>
                    <w:rPr>
                      <w:rFonts w:hint="eastAsia"/>
                      <w:sz w:val="18"/>
                      <w:szCs w:val="18"/>
                    </w:rPr>
                    <w:t>活性炭净化器</w:t>
                  </w:r>
                </w:p>
              </w:tc>
              <w:tc>
                <w:tcPr>
                  <w:tcW w:w="1609" w:type="dxa"/>
                  <w:tcBorders>
                    <w:right w:val="single" w:color="auto" w:sz="4" w:space="0"/>
                  </w:tcBorders>
                  <w:vAlign w:val="center"/>
                </w:tcPr>
                <w:p>
                  <w:pPr>
                    <w:widowControl/>
                    <w:spacing w:line="260" w:lineRule="exact"/>
                    <w:jc w:val="center"/>
                    <w:rPr>
                      <w:rFonts w:eastAsiaTheme="minorEastAsia"/>
                      <w:kern w:val="0"/>
                      <w:sz w:val="18"/>
                      <w:szCs w:val="18"/>
                    </w:rPr>
                  </w:pPr>
                  <w:r>
                    <w:rPr>
                      <w:rFonts w:hint="eastAsia" w:eastAsiaTheme="minorEastAsia"/>
                      <w:kern w:val="0"/>
                      <w:sz w:val="18"/>
                      <w:szCs w:val="18"/>
                    </w:rPr>
                    <w:t>/</w:t>
                  </w:r>
                </w:p>
              </w:tc>
              <w:tc>
                <w:tcPr>
                  <w:tcW w:w="1187" w:type="dxa"/>
                  <w:vAlign w:val="center"/>
                </w:tcPr>
                <w:p>
                  <w:pPr>
                    <w:spacing w:line="260" w:lineRule="exact"/>
                    <w:jc w:val="center"/>
                    <w:rPr>
                      <w:sz w:val="18"/>
                      <w:szCs w:val="18"/>
                    </w:rPr>
                  </w:pPr>
                  <w:r>
                    <w:rPr>
                      <w:rFonts w:hint="eastAsia"/>
                      <w:sz w:val="18"/>
                      <w:szCs w:val="18"/>
                    </w:rPr>
                    <w:t>1套</w:t>
                  </w:r>
                </w:p>
              </w:tc>
              <w:tc>
                <w:tcPr>
                  <w:tcW w:w="1775" w:type="dxa"/>
                  <w:vAlign w:val="center"/>
                </w:tcPr>
                <w:p>
                  <w:pPr>
                    <w:adjustRightInd w:val="0"/>
                    <w:snapToGrid w:val="0"/>
                    <w:spacing w:line="260" w:lineRule="exact"/>
                    <w:jc w:val="center"/>
                    <w:rPr>
                      <w:rFonts w:eastAsiaTheme="minorEastAsia"/>
                      <w:sz w:val="18"/>
                      <w:szCs w:val="18"/>
                    </w:rPr>
                  </w:pPr>
                  <w:r>
                    <w:rPr>
                      <w:rFonts w:eastAsiaTheme="minorEastAsia"/>
                      <w:sz w:val="18"/>
                      <w:szCs w:val="18"/>
                    </w:rPr>
                    <w:t>新增</w:t>
                  </w:r>
                </w:p>
              </w:tc>
            </w:tr>
          </w:tbl>
          <w:p>
            <w:pPr>
              <w:adjustRightInd w:val="0"/>
              <w:snapToGrid w:val="0"/>
              <w:spacing w:line="400" w:lineRule="exact"/>
              <w:ind w:left="-53" w:leftChars="-25" w:right="-53" w:rightChars="-25"/>
              <w:jc w:val="left"/>
              <w:rPr>
                <w:rFonts w:eastAsia="黑体"/>
                <w:bCs/>
                <w:sz w:val="22"/>
                <w:szCs w:val="22"/>
              </w:rPr>
            </w:pPr>
            <w:r>
              <w:rPr>
                <w:rFonts w:hint="eastAsia" w:eastAsia="黑体"/>
                <w:bCs/>
                <w:sz w:val="22"/>
                <w:szCs w:val="22"/>
              </w:rPr>
              <w:t>8</w:t>
            </w:r>
            <w:r>
              <w:rPr>
                <w:rFonts w:eastAsia="黑体"/>
                <w:bCs/>
                <w:sz w:val="22"/>
                <w:szCs w:val="22"/>
              </w:rPr>
              <w:t>、相关平衡分析</w:t>
            </w:r>
          </w:p>
          <w:p>
            <w:pPr>
              <w:spacing w:line="400" w:lineRule="exact"/>
              <w:ind w:left="55" w:leftChars="26" w:right="55" w:rightChars="26" w:firstLine="422" w:firstLineChars="200"/>
              <w:rPr>
                <w:b/>
                <w:bCs/>
                <w:kern w:val="0"/>
                <w:szCs w:val="21"/>
              </w:rPr>
            </w:pPr>
            <w:r>
              <w:rPr>
                <w:b/>
                <w:bCs/>
                <w:kern w:val="0"/>
                <w:szCs w:val="21"/>
              </w:rPr>
              <w:t>（</w:t>
            </w:r>
            <w:r>
              <w:rPr>
                <w:rFonts w:hint="eastAsia"/>
                <w:b/>
                <w:bCs/>
                <w:kern w:val="0"/>
                <w:szCs w:val="21"/>
              </w:rPr>
              <w:t>1</w:t>
            </w:r>
            <w:r>
              <w:rPr>
                <w:b/>
                <w:bCs/>
                <w:kern w:val="0"/>
                <w:szCs w:val="21"/>
              </w:rPr>
              <w:t>）</w:t>
            </w:r>
            <w:r>
              <w:rPr>
                <w:rFonts w:hint="eastAsia"/>
                <w:b/>
                <w:bCs/>
                <w:kern w:val="0"/>
                <w:szCs w:val="21"/>
              </w:rPr>
              <w:t>热值</w:t>
            </w:r>
            <w:r>
              <w:rPr>
                <w:b/>
                <w:bCs/>
                <w:kern w:val="0"/>
                <w:szCs w:val="21"/>
              </w:rPr>
              <w:t>平衡</w:t>
            </w:r>
          </w:p>
          <w:p>
            <w:pPr>
              <w:spacing w:line="400" w:lineRule="exact"/>
              <w:ind w:left="55" w:leftChars="26" w:right="55" w:rightChars="26" w:firstLine="420" w:firstLineChars="200"/>
              <w:rPr>
                <w:kern w:val="0"/>
                <w:szCs w:val="21"/>
              </w:rPr>
            </w:pPr>
            <w:r>
              <w:rPr>
                <w:rFonts w:hint="eastAsia"/>
                <w:kern w:val="0"/>
                <w:szCs w:val="21"/>
              </w:rPr>
              <w:t>本项目利用生活污水处理厂的污泥作为原料替代部分制砖原料，主要是以干燥污泥替代建筑渣土。同时干燥污泥具有一定的热值，能够替代部分煤矸石降低污染排放。</w:t>
            </w:r>
          </w:p>
          <w:p>
            <w:pPr>
              <w:spacing w:line="400" w:lineRule="exact"/>
              <w:ind w:left="55" w:leftChars="26" w:right="55" w:rightChars="26" w:firstLine="420" w:firstLineChars="200"/>
            </w:pPr>
            <w:r>
              <w:rPr>
                <w:rFonts w:ascii="宋体" w:hAnsi="宋体"/>
              </w:rPr>
              <w:t>根据查询资料，生产一</w:t>
            </w:r>
            <w:r>
              <w:rPr>
                <w:rFonts w:hint="eastAsia" w:ascii="宋体" w:hAnsi="宋体"/>
              </w:rPr>
              <w:t>块</w:t>
            </w:r>
            <w:r>
              <w:rPr>
                <w:rFonts w:ascii="宋体" w:hAnsi="宋体"/>
              </w:rPr>
              <w:t>标砖需热量</w:t>
            </w:r>
            <w:r>
              <w:rPr>
                <w:rFonts w:hint="eastAsia"/>
              </w:rPr>
              <w:t>2720</w:t>
            </w:r>
            <w:r>
              <w:t>~3470kJ</w:t>
            </w:r>
            <w:r>
              <w:rPr>
                <w:rFonts w:hint="eastAsia" w:ascii="宋体" w:hAnsi="宋体"/>
              </w:rPr>
              <w:t>左右</w:t>
            </w:r>
            <w:r>
              <w:rPr>
                <w:rFonts w:ascii="宋体" w:hAnsi="宋体"/>
              </w:rPr>
              <w:t>，</w:t>
            </w:r>
            <w:r>
              <w:rPr>
                <w:rFonts w:hint="eastAsia" w:ascii="宋体" w:hAnsi="宋体"/>
              </w:rPr>
              <w:t>干燥</w:t>
            </w:r>
            <w:r>
              <w:rPr>
                <w:rFonts w:ascii="宋体" w:hAnsi="宋体"/>
              </w:rPr>
              <w:t>所需热量约</w:t>
            </w:r>
            <w:r>
              <w:rPr>
                <w:rFonts w:hint="eastAsia" w:ascii="宋体" w:hAnsi="宋体"/>
              </w:rPr>
              <w:t>为</w:t>
            </w:r>
            <w:r>
              <w:rPr>
                <w:rFonts w:ascii="宋体" w:hAnsi="宋体"/>
              </w:rPr>
              <w:t>烧结热量的一半</w:t>
            </w:r>
            <w:r>
              <w:rPr>
                <w:rFonts w:hint="eastAsia" w:ascii="宋体" w:hAnsi="宋体"/>
              </w:rPr>
              <w:t>，同时需考虑砖窑溢热损失、砖坯带走、窑体散热等方面产生的热损失等。综合考虑生产一块标砖所需热量约为5425</w:t>
            </w:r>
            <w:r>
              <w:rPr>
                <w:rFonts w:hint="eastAsia"/>
              </w:rPr>
              <w:t>kJ/块。</w:t>
            </w:r>
          </w:p>
          <w:p>
            <w:pPr>
              <w:spacing w:line="400" w:lineRule="exact"/>
              <w:ind w:left="55" w:leftChars="26" w:right="55" w:rightChars="26" w:firstLine="420" w:firstLineChars="200"/>
              <w:rPr>
                <w:kern w:val="0"/>
                <w:szCs w:val="21"/>
              </w:rPr>
            </w:pPr>
            <w:r>
              <w:rPr>
                <w:rFonts w:hint="eastAsia"/>
                <w:kern w:val="0"/>
                <w:szCs w:val="21"/>
              </w:rPr>
              <w:t>经查阅相关资料，煤矸石热值约</w:t>
            </w:r>
            <w:r>
              <w:rPr>
                <w:kern w:val="0"/>
                <w:szCs w:val="21"/>
              </w:rPr>
              <w:t>6270kJ/kg</w:t>
            </w:r>
            <w:r>
              <w:rPr>
                <w:rFonts w:hint="eastAsia"/>
                <w:kern w:val="0"/>
                <w:szCs w:val="21"/>
              </w:rPr>
              <w:t>，40%含水率的污泥热值约2500~3500kJ/kg。1kJ约等于0.2389kcal。本次环评煤矸石热值取1500kcal/kg，污泥热值取650kcal/kg。技改后单位时间煤矸石用量1152.78kg、污泥用量416.67kg；则单位时间煤矸石提供热量</w:t>
            </w:r>
            <w:r>
              <w:rPr>
                <w:kern w:val="0"/>
                <w:szCs w:val="21"/>
              </w:rPr>
              <w:t>1729166.67</w:t>
            </w:r>
            <w:r>
              <w:rPr>
                <w:rFonts w:hint="eastAsia"/>
                <w:kern w:val="0"/>
                <w:szCs w:val="21"/>
              </w:rPr>
              <w:t>kcal，污泥提供热量</w:t>
            </w:r>
            <w:r>
              <w:rPr>
                <w:kern w:val="0"/>
                <w:szCs w:val="21"/>
              </w:rPr>
              <w:t>270833.33</w:t>
            </w:r>
            <w:r>
              <w:rPr>
                <w:rFonts w:hint="eastAsia"/>
                <w:kern w:val="0"/>
                <w:szCs w:val="21"/>
              </w:rPr>
              <w:t>kcal；原料总供热量2000000kcal。</w:t>
            </w:r>
          </w:p>
          <w:p>
            <w:pPr>
              <w:pStyle w:val="67"/>
              <w:spacing w:line="400" w:lineRule="exact"/>
              <w:ind w:firstLine="480"/>
              <w:rPr>
                <w:rFonts w:ascii="宋体" w:hAnsi="宋体"/>
                <w:szCs w:val="24"/>
              </w:rPr>
            </w:pPr>
            <w:r>
              <w:rPr>
                <w:rFonts w:hint="eastAsia" w:ascii="宋体" w:hAnsi="宋体"/>
                <w:szCs w:val="24"/>
              </w:rPr>
              <w:t>技改前，烧结砖生产过程所需热量均由煤矸石提供，</w:t>
            </w:r>
            <w:r>
              <w:rPr>
                <w:rFonts w:hint="eastAsia"/>
                <w:kern w:val="0"/>
              </w:rPr>
              <w:t>技改后单位时间煤矸石用量1333.33kg，单位时间煤矸石提供热量2000000kcal。</w:t>
            </w:r>
          </w:p>
          <w:p>
            <w:pPr>
              <w:spacing w:line="400" w:lineRule="exact"/>
              <w:ind w:left="55" w:leftChars="26" w:right="55" w:rightChars="26" w:firstLine="420" w:firstLineChars="200"/>
              <w:rPr>
                <w:kern w:val="0"/>
                <w:szCs w:val="21"/>
              </w:rPr>
            </w:pPr>
            <w:r>
              <w:rPr>
                <w:kern w:val="0"/>
                <w:szCs w:val="21"/>
              </w:rPr>
              <w:t>项目热平衡分析如下：</w:t>
            </w:r>
          </w:p>
          <w:p>
            <w:pPr>
              <w:spacing w:line="400" w:lineRule="exact"/>
              <w:ind w:left="55" w:leftChars="26" w:right="55" w:rightChars="26"/>
              <w:jc w:val="center"/>
              <w:rPr>
                <w:rFonts w:eastAsia="黑体"/>
                <w:bCs/>
                <w:sz w:val="18"/>
                <w:szCs w:val="18"/>
              </w:rPr>
            </w:pPr>
            <w:r>
              <w:rPr>
                <w:rFonts w:eastAsia="黑体"/>
                <w:bCs/>
                <w:sz w:val="18"/>
                <w:szCs w:val="18"/>
              </w:rPr>
              <w:t>表2-</w:t>
            </w:r>
            <w:r>
              <w:rPr>
                <w:rFonts w:hint="eastAsia" w:eastAsia="黑体"/>
                <w:bCs/>
                <w:sz w:val="18"/>
                <w:szCs w:val="18"/>
              </w:rPr>
              <w:t>10</w:t>
            </w:r>
            <w:r>
              <w:rPr>
                <w:rFonts w:eastAsia="黑体"/>
                <w:bCs/>
                <w:sz w:val="18"/>
                <w:szCs w:val="18"/>
              </w:rPr>
              <w:t xml:space="preserve">   热量平衡分析</w:t>
            </w:r>
          </w:p>
          <w:tbl>
            <w:tblPr>
              <w:tblStyle w:val="20"/>
              <w:tblW w:w="72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0"/>
              <w:gridCol w:w="1843"/>
              <w:gridCol w:w="1701"/>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jc w:val="center"/>
              </w:trPr>
              <w:tc>
                <w:tcPr>
                  <w:tcW w:w="3693" w:type="dxa"/>
                  <w:gridSpan w:val="2"/>
                  <w:tcBorders>
                    <w:top w:val="single" w:color="auto" w:sz="4" w:space="0"/>
                    <w:left w:val="single" w:color="auto" w:sz="4" w:space="0"/>
                    <w:right w:val="single" w:color="auto" w:sz="4" w:space="0"/>
                  </w:tcBorders>
                  <w:vAlign w:val="center"/>
                </w:tcPr>
                <w:p>
                  <w:pPr>
                    <w:spacing w:line="380" w:lineRule="exact"/>
                    <w:ind w:left="-53" w:leftChars="-25" w:right="-53" w:rightChars="-25"/>
                    <w:jc w:val="center"/>
                    <w:rPr>
                      <w:spacing w:val="-2"/>
                      <w:sz w:val="18"/>
                      <w:szCs w:val="18"/>
                    </w:rPr>
                  </w:pPr>
                  <w:r>
                    <w:rPr>
                      <w:rFonts w:hint="eastAsia"/>
                      <w:b/>
                      <w:spacing w:val="-2"/>
                      <w:sz w:val="18"/>
                      <w:szCs w:val="18"/>
                    </w:rPr>
                    <w:t>技改前烧结砖窑内单位时间热值</w:t>
                  </w:r>
                  <w:r>
                    <w:rPr>
                      <w:b/>
                      <w:spacing w:val="-2"/>
                      <w:sz w:val="18"/>
                      <w:szCs w:val="18"/>
                    </w:rPr>
                    <w:t>（</w:t>
                  </w:r>
                  <w:r>
                    <w:rPr>
                      <w:spacing w:val="-2"/>
                      <w:sz w:val="18"/>
                      <w:szCs w:val="18"/>
                    </w:rPr>
                    <w:t>kcal</w:t>
                  </w:r>
                  <w:r>
                    <w:rPr>
                      <w:rFonts w:hint="eastAsia"/>
                      <w:spacing w:val="-2"/>
                      <w:sz w:val="18"/>
                      <w:szCs w:val="18"/>
                    </w:rPr>
                    <w:t>/h</w:t>
                  </w:r>
                  <w:r>
                    <w:rPr>
                      <w:b/>
                      <w:spacing w:val="-2"/>
                      <w:sz w:val="18"/>
                      <w:szCs w:val="18"/>
                    </w:rPr>
                    <w:t>）</w:t>
                  </w:r>
                </w:p>
              </w:tc>
              <w:tc>
                <w:tcPr>
                  <w:tcW w:w="3538"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ind w:left="-53" w:leftChars="-25" w:right="-53" w:rightChars="-25"/>
                    <w:jc w:val="center"/>
                    <w:rPr>
                      <w:b/>
                      <w:spacing w:val="-2"/>
                      <w:sz w:val="18"/>
                      <w:szCs w:val="18"/>
                    </w:rPr>
                  </w:pPr>
                  <w:r>
                    <w:rPr>
                      <w:rFonts w:hint="eastAsia"/>
                      <w:b/>
                      <w:spacing w:val="-2"/>
                      <w:sz w:val="18"/>
                      <w:szCs w:val="18"/>
                    </w:rPr>
                    <w:t>技改</w:t>
                  </w:r>
                  <w:r>
                    <w:rPr>
                      <w:b/>
                      <w:spacing w:val="-2"/>
                      <w:sz w:val="18"/>
                      <w:szCs w:val="18"/>
                    </w:rPr>
                    <w:t>后</w:t>
                  </w:r>
                  <w:r>
                    <w:rPr>
                      <w:rFonts w:hint="eastAsia"/>
                      <w:b/>
                      <w:spacing w:val="-2"/>
                      <w:sz w:val="18"/>
                      <w:szCs w:val="18"/>
                    </w:rPr>
                    <w:t>烧结砖窑内单位时间热值</w:t>
                  </w:r>
                  <w:r>
                    <w:rPr>
                      <w:b/>
                      <w:spacing w:val="-2"/>
                      <w:sz w:val="18"/>
                      <w:szCs w:val="18"/>
                    </w:rPr>
                    <w:t>（</w:t>
                  </w:r>
                  <w:r>
                    <w:rPr>
                      <w:spacing w:val="-2"/>
                      <w:sz w:val="18"/>
                      <w:szCs w:val="18"/>
                    </w:rPr>
                    <w:t>kcal</w:t>
                  </w:r>
                  <w:r>
                    <w:rPr>
                      <w:rFonts w:hint="eastAsia"/>
                      <w:spacing w:val="-2"/>
                      <w:sz w:val="18"/>
                      <w:szCs w:val="18"/>
                    </w:rPr>
                    <w:t>/h</w:t>
                  </w:r>
                  <w:r>
                    <w:rPr>
                      <w:b/>
                      <w:spacing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 w:hRule="atLeast"/>
                <w:jc w:val="center"/>
              </w:trPr>
              <w:tc>
                <w:tcPr>
                  <w:tcW w:w="1850" w:type="dxa"/>
                  <w:tcBorders>
                    <w:top w:val="single" w:color="auto" w:sz="4" w:space="0"/>
                    <w:left w:val="single" w:color="auto" w:sz="4" w:space="0"/>
                    <w:bottom w:val="single" w:color="auto" w:sz="4" w:space="0"/>
                    <w:right w:val="single" w:color="auto" w:sz="4" w:space="0"/>
                  </w:tcBorders>
                  <w:vAlign w:val="center"/>
                </w:tcPr>
                <w:p>
                  <w:pPr>
                    <w:spacing w:line="380" w:lineRule="exact"/>
                    <w:ind w:left="-53" w:leftChars="-25" w:right="-53" w:rightChars="-25"/>
                    <w:jc w:val="center"/>
                    <w:rPr>
                      <w:spacing w:val="-2"/>
                      <w:sz w:val="18"/>
                      <w:szCs w:val="18"/>
                    </w:rPr>
                  </w:pPr>
                  <w:r>
                    <w:rPr>
                      <w:rFonts w:hint="eastAsia"/>
                      <w:spacing w:val="-2"/>
                      <w:sz w:val="18"/>
                      <w:szCs w:val="18"/>
                    </w:rPr>
                    <w:t>煤矸石热值</w:t>
                  </w:r>
                </w:p>
              </w:tc>
              <w:tc>
                <w:tcPr>
                  <w:tcW w:w="1843" w:type="dxa"/>
                  <w:tcBorders>
                    <w:top w:val="single" w:color="auto" w:sz="4" w:space="0"/>
                    <w:left w:val="single" w:color="auto" w:sz="4" w:space="0"/>
                    <w:bottom w:val="single" w:color="auto" w:sz="4" w:space="0"/>
                    <w:right w:val="single" w:color="auto" w:sz="4" w:space="0"/>
                  </w:tcBorders>
                  <w:vAlign w:val="bottom"/>
                </w:tcPr>
                <w:p>
                  <w:pPr>
                    <w:spacing w:line="380" w:lineRule="exact"/>
                    <w:ind w:left="-53" w:leftChars="-25" w:right="-53" w:rightChars="-25"/>
                    <w:jc w:val="center"/>
                    <w:rPr>
                      <w:spacing w:val="-2"/>
                      <w:sz w:val="18"/>
                      <w:szCs w:val="18"/>
                    </w:rPr>
                  </w:pPr>
                  <w:r>
                    <w:rPr>
                      <w:rFonts w:hint="eastAsia"/>
                      <w:kern w:val="0"/>
                      <w:sz w:val="18"/>
                      <w:szCs w:val="21"/>
                    </w:rPr>
                    <w:t>2000000</w:t>
                  </w:r>
                </w:p>
              </w:tc>
              <w:tc>
                <w:tcPr>
                  <w:tcW w:w="1701" w:type="dxa"/>
                  <w:tcBorders>
                    <w:top w:val="single" w:color="auto" w:sz="4" w:space="0"/>
                    <w:left w:val="single" w:color="auto" w:sz="4" w:space="0"/>
                    <w:bottom w:val="single" w:color="auto" w:sz="4" w:space="0"/>
                    <w:right w:val="single" w:color="auto" w:sz="4" w:space="0"/>
                  </w:tcBorders>
                  <w:vAlign w:val="bottom"/>
                </w:tcPr>
                <w:p>
                  <w:pPr>
                    <w:spacing w:line="380" w:lineRule="exact"/>
                    <w:ind w:left="-53" w:leftChars="-25" w:right="-53" w:rightChars="-25"/>
                    <w:jc w:val="center"/>
                    <w:rPr>
                      <w:spacing w:val="-2"/>
                      <w:sz w:val="18"/>
                      <w:szCs w:val="18"/>
                    </w:rPr>
                  </w:pPr>
                  <w:r>
                    <w:rPr>
                      <w:rFonts w:hint="eastAsia"/>
                      <w:spacing w:val="-2"/>
                      <w:sz w:val="18"/>
                      <w:szCs w:val="18"/>
                    </w:rPr>
                    <w:t>煤矸石热值</w:t>
                  </w:r>
                </w:p>
              </w:tc>
              <w:tc>
                <w:tcPr>
                  <w:tcW w:w="1837" w:type="dxa"/>
                  <w:tcBorders>
                    <w:top w:val="single" w:color="auto" w:sz="4" w:space="0"/>
                    <w:left w:val="single" w:color="auto" w:sz="4" w:space="0"/>
                    <w:bottom w:val="single" w:color="auto" w:sz="4" w:space="0"/>
                    <w:right w:val="single" w:color="auto" w:sz="4" w:space="0"/>
                  </w:tcBorders>
                  <w:vAlign w:val="bottom"/>
                </w:tcPr>
                <w:p>
                  <w:pPr>
                    <w:spacing w:line="380" w:lineRule="exact"/>
                    <w:ind w:left="-53" w:leftChars="-25" w:right="-53" w:rightChars="-25"/>
                    <w:jc w:val="center"/>
                    <w:rPr>
                      <w:spacing w:val="-2"/>
                      <w:sz w:val="18"/>
                      <w:szCs w:val="18"/>
                    </w:rPr>
                  </w:pPr>
                  <w:r>
                    <w:rPr>
                      <w:kern w:val="0"/>
                      <w:sz w:val="18"/>
                      <w:szCs w:val="21"/>
                    </w:rPr>
                    <w:t>1729166.67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 w:hRule="atLeast"/>
                <w:jc w:val="center"/>
              </w:trPr>
              <w:tc>
                <w:tcPr>
                  <w:tcW w:w="1850" w:type="dxa"/>
                  <w:tcBorders>
                    <w:top w:val="single" w:color="auto" w:sz="4" w:space="0"/>
                    <w:left w:val="single" w:color="auto" w:sz="4" w:space="0"/>
                    <w:bottom w:val="single" w:color="auto" w:sz="4" w:space="0"/>
                    <w:right w:val="single" w:color="auto" w:sz="4" w:space="0"/>
                  </w:tcBorders>
                  <w:vAlign w:val="center"/>
                </w:tcPr>
                <w:p>
                  <w:pPr>
                    <w:spacing w:line="380" w:lineRule="exact"/>
                    <w:ind w:left="-53" w:leftChars="-25" w:right="-53" w:rightChars="-25"/>
                    <w:jc w:val="center"/>
                    <w:rPr>
                      <w:spacing w:val="-2"/>
                      <w:sz w:val="18"/>
                      <w:szCs w:val="18"/>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80" w:lineRule="exact"/>
                    <w:ind w:left="-53" w:leftChars="-25" w:right="-53" w:rightChars="-25"/>
                    <w:jc w:val="center"/>
                    <w:rPr>
                      <w:spacing w:val="-2"/>
                      <w:sz w:val="18"/>
                      <w:szCs w:val="18"/>
                    </w:rPr>
                  </w:pPr>
                </w:p>
              </w:tc>
              <w:tc>
                <w:tcPr>
                  <w:tcW w:w="1701" w:type="dxa"/>
                  <w:tcBorders>
                    <w:top w:val="single" w:color="auto" w:sz="4" w:space="0"/>
                    <w:left w:val="single" w:color="auto" w:sz="4" w:space="0"/>
                    <w:bottom w:val="single" w:color="auto" w:sz="4" w:space="0"/>
                    <w:right w:val="single" w:color="auto" w:sz="4" w:space="0"/>
                  </w:tcBorders>
                  <w:vAlign w:val="bottom"/>
                </w:tcPr>
                <w:p>
                  <w:pPr>
                    <w:spacing w:line="380" w:lineRule="exact"/>
                    <w:ind w:left="-53" w:leftChars="-25" w:right="-53" w:rightChars="-25"/>
                    <w:jc w:val="center"/>
                    <w:rPr>
                      <w:spacing w:val="-2"/>
                      <w:sz w:val="18"/>
                      <w:szCs w:val="18"/>
                    </w:rPr>
                  </w:pPr>
                  <w:r>
                    <w:rPr>
                      <w:rFonts w:hint="eastAsia"/>
                      <w:spacing w:val="-2"/>
                      <w:sz w:val="18"/>
                      <w:szCs w:val="18"/>
                    </w:rPr>
                    <w:t>污泥热值</w:t>
                  </w:r>
                </w:p>
              </w:tc>
              <w:tc>
                <w:tcPr>
                  <w:tcW w:w="1837" w:type="dxa"/>
                  <w:tcBorders>
                    <w:top w:val="single" w:color="auto" w:sz="4" w:space="0"/>
                    <w:left w:val="single" w:color="auto" w:sz="4" w:space="0"/>
                    <w:bottom w:val="single" w:color="auto" w:sz="4" w:space="0"/>
                    <w:right w:val="single" w:color="auto" w:sz="4" w:space="0"/>
                  </w:tcBorders>
                  <w:vAlign w:val="bottom"/>
                </w:tcPr>
                <w:p>
                  <w:pPr>
                    <w:spacing w:line="380" w:lineRule="exact"/>
                    <w:ind w:left="-53" w:leftChars="-25" w:right="-53" w:rightChars="-25"/>
                    <w:jc w:val="center"/>
                    <w:rPr>
                      <w:spacing w:val="-2"/>
                      <w:sz w:val="18"/>
                      <w:szCs w:val="18"/>
                    </w:rPr>
                  </w:pPr>
                  <w:r>
                    <w:rPr>
                      <w:kern w:val="0"/>
                      <w:sz w:val="18"/>
                      <w:szCs w:val="21"/>
                    </w:rPr>
                    <w:t>270833.33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 w:hRule="atLeast"/>
                <w:jc w:val="center"/>
              </w:trPr>
              <w:tc>
                <w:tcPr>
                  <w:tcW w:w="1850" w:type="dxa"/>
                  <w:tcBorders>
                    <w:top w:val="single" w:color="auto" w:sz="4" w:space="0"/>
                    <w:left w:val="single" w:color="auto" w:sz="4" w:space="0"/>
                    <w:bottom w:val="single" w:color="auto" w:sz="4" w:space="0"/>
                    <w:right w:val="single" w:color="auto" w:sz="4" w:space="0"/>
                  </w:tcBorders>
                  <w:vAlign w:val="center"/>
                </w:tcPr>
                <w:p>
                  <w:pPr>
                    <w:spacing w:line="380" w:lineRule="exact"/>
                    <w:ind w:left="-53" w:leftChars="-25" w:right="-53" w:rightChars="-25"/>
                    <w:jc w:val="center"/>
                    <w:rPr>
                      <w:spacing w:val="-2"/>
                      <w:sz w:val="18"/>
                      <w:szCs w:val="18"/>
                    </w:rPr>
                  </w:pPr>
                  <w:r>
                    <w:rPr>
                      <w:spacing w:val="-2"/>
                      <w:sz w:val="18"/>
                      <w:szCs w:val="18"/>
                    </w:rPr>
                    <w:t>总供给热值</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80" w:lineRule="exact"/>
                    <w:ind w:left="-53" w:leftChars="-25" w:right="-53" w:rightChars="-25"/>
                    <w:jc w:val="center"/>
                    <w:rPr>
                      <w:spacing w:val="-2"/>
                      <w:sz w:val="18"/>
                      <w:szCs w:val="18"/>
                    </w:rPr>
                  </w:pPr>
                  <w:r>
                    <w:rPr>
                      <w:rFonts w:hint="eastAsia"/>
                      <w:kern w:val="0"/>
                      <w:sz w:val="18"/>
                      <w:szCs w:val="21"/>
                    </w:rPr>
                    <w:t>2000000</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80" w:lineRule="exact"/>
                    <w:ind w:left="-53" w:leftChars="-25" w:right="-53" w:rightChars="-25"/>
                    <w:jc w:val="center"/>
                    <w:rPr>
                      <w:spacing w:val="-2"/>
                      <w:sz w:val="18"/>
                      <w:szCs w:val="18"/>
                    </w:rPr>
                  </w:pPr>
                  <w:r>
                    <w:rPr>
                      <w:spacing w:val="-2"/>
                      <w:sz w:val="18"/>
                      <w:szCs w:val="18"/>
                    </w:rPr>
                    <w:t>总供给热值</w:t>
                  </w:r>
                </w:p>
              </w:tc>
              <w:tc>
                <w:tcPr>
                  <w:tcW w:w="1837" w:type="dxa"/>
                  <w:tcBorders>
                    <w:top w:val="single" w:color="auto" w:sz="4" w:space="0"/>
                    <w:left w:val="single" w:color="auto" w:sz="4" w:space="0"/>
                    <w:bottom w:val="single" w:color="auto" w:sz="4" w:space="0"/>
                    <w:right w:val="single" w:color="auto" w:sz="4" w:space="0"/>
                  </w:tcBorders>
                  <w:vAlign w:val="center"/>
                </w:tcPr>
                <w:p>
                  <w:pPr>
                    <w:spacing w:line="380" w:lineRule="exact"/>
                    <w:ind w:left="-53" w:leftChars="-25" w:right="-53" w:rightChars="-25"/>
                    <w:jc w:val="center"/>
                    <w:rPr>
                      <w:spacing w:val="-2"/>
                      <w:sz w:val="18"/>
                      <w:szCs w:val="18"/>
                    </w:rPr>
                  </w:pPr>
                  <w:r>
                    <w:rPr>
                      <w:rFonts w:hint="eastAsia"/>
                      <w:kern w:val="0"/>
                      <w:sz w:val="18"/>
                      <w:szCs w:val="21"/>
                    </w:rPr>
                    <w:t>2000000</w:t>
                  </w:r>
                </w:p>
              </w:tc>
            </w:tr>
          </w:tbl>
          <w:p>
            <w:pPr>
              <w:spacing w:line="400" w:lineRule="exact"/>
              <w:ind w:firstLine="422" w:firstLineChars="200"/>
              <w:jc w:val="left"/>
              <w:rPr>
                <w:rFonts w:ascii="宋体" w:hAnsi="宋体"/>
                <w:b/>
                <w:bCs/>
                <w:szCs w:val="21"/>
              </w:rPr>
            </w:pPr>
            <w:r>
              <w:rPr>
                <w:rFonts w:hint="eastAsia" w:ascii="宋体" w:hAnsi="宋体"/>
                <w:b/>
                <w:bCs/>
                <w:szCs w:val="21"/>
              </w:rPr>
              <w:t>（2）物料平衡</w:t>
            </w:r>
          </w:p>
          <w:p>
            <w:pPr>
              <w:spacing w:line="400" w:lineRule="exact"/>
              <w:ind w:left="55" w:leftChars="26" w:right="55" w:rightChars="26"/>
              <w:jc w:val="center"/>
              <w:rPr>
                <w:rFonts w:eastAsia="黑体"/>
                <w:bCs/>
                <w:sz w:val="18"/>
                <w:szCs w:val="18"/>
              </w:rPr>
            </w:pPr>
            <w:r>
              <w:rPr>
                <w:rFonts w:eastAsia="黑体"/>
                <w:bCs/>
                <w:sz w:val="18"/>
                <w:szCs w:val="18"/>
              </w:rPr>
              <w:t>表2-</w:t>
            </w:r>
            <w:r>
              <w:rPr>
                <w:rFonts w:hint="eastAsia" w:eastAsia="黑体"/>
                <w:bCs/>
                <w:sz w:val="18"/>
                <w:szCs w:val="18"/>
              </w:rPr>
              <w:t>11   本</w:t>
            </w:r>
            <w:r>
              <w:rPr>
                <w:rFonts w:eastAsia="黑体"/>
                <w:bCs/>
                <w:sz w:val="18"/>
                <w:szCs w:val="18"/>
              </w:rPr>
              <w:t>项目技改后物料平衡表</w:t>
            </w:r>
          </w:p>
          <w:tbl>
            <w:tblPr>
              <w:tblStyle w:val="20"/>
              <w:tblW w:w="77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088"/>
              <w:gridCol w:w="1189"/>
              <w:gridCol w:w="2876"/>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2" w:type="dxa"/>
                  <w:tcBorders>
                    <w:top w:val="single" w:color="auto" w:sz="4" w:space="0"/>
                    <w:left w:val="single" w:color="auto" w:sz="4" w:space="0"/>
                    <w:right w:val="single" w:color="auto" w:sz="4" w:space="0"/>
                  </w:tcBorders>
                  <w:vAlign w:val="center"/>
                </w:tcPr>
                <w:p>
                  <w:pPr>
                    <w:spacing w:line="300" w:lineRule="exact"/>
                    <w:jc w:val="center"/>
                    <w:rPr>
                      <w:b/>
                      <w:sz w:val="18"/>
                      <w:szCs w:val="18"/>
                    </w:rPr>
                  </w:pPr>
                  <w:r>
                    <w:rPr>
                      <w:b/>
                      <w:sz w:val="18"/>
                      <w:szCs w:val="18"/>
                    </w:rPr>
                    <w:t>序号</w:t>
                  </w:r>
                </w:p>
              </w:tc>
              <w:tc>
                <w:tcPr>
                  <w:tcW w:w="227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b/>
                      <w:sz w:val="18"/>
                      <w:szCs w:val="18"/>
                    </w:rPr>
                  </w:pPr>
                  <w:r>
                    <w:rPr>
                      <w:b/>
                      <w:sz w:val="18"/>
                      <w:szCs w:val="18"/>
                    </w:rPr>
                    <w:t>投入（t/a）</w:t>
                  </w:r>
                </w:p>
              </w:tc>
              <w:tc>
                <w:tcPr>
                  <w:tcW w:w="486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b/>
                      <w:sz w:val="18"/>
                      <w:szCs w:val="18"/>
                    </w:rPr>
                  </w:pPr>
                  <w:r>
                    <w:rPr>
                      <w:b/>
                      <w:sz w:val="18"/>
                      <w:szCs w:val="18"/>
                    </w:rPr>
                    <w:t>产出（t/a）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1</w:t>
                  </w:r>
                </w:p>
              </w:tc>
              <w:tc>
                <w:tcPr>
                  <w:tcW w:w="108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煤矸石</w:t>
                  </w:r>
                </w:p>
              </w:tc>
              <w:tc>
                <w:tcPr>
                  <w:tcW w:w="11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8300</w:t>
                  </w:r>
                </w:p>
              </w:tc>
              <w:tc>
                <w:tcPr>
                  <w:tcW w:w="2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烧结砖</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61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2</w:t>
                  </w:r>
                </w:p>
              </w:tc>
              <w:tc>
                <w:tcPr>
                  <w:tcW w:w="108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污泥</w:t>
                  </w:r>
                </w:p>
              </w:tc>
              <w:tc>
                <w:tcPr>
                  <w:tcW w:w="11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15000</w:t>
                  </w:r>
                </w:p>
              </w:tc>
              <w:tc>
                <w:tcPr>
                  <w:tcW w:w="2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烧失量</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left="-53" w:leftChars="-25" w:right="-53" w:rightChars="-25" w:firstLine="0" w:firstLineChars="0"/>
                    <w:jc w:val="center"/>
                    <w:rPr>
                      <w:sz w:val="18"/>
                      <w:szCs w:val="18"/>
                    </w:rPr>
                  </w:pPr>
                  <w:r>
                    <w:rPr>
                      <w:rFonts w:hint="eastAsia"/>
                      <w:sz w:val="18"/>
                      <w:szCs w:val="18"/>
                    </w:rPr>
                    <w:t>3</w:t>
                  </w:r>
                </w:p>
              </w:tc>
              <w:tc>
                <w:tcPr>
                  <w:tcW w:w="108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建筑渣土</w:t>
                  </w:r>
                </w:p>
              </w:tc>
              <w:tc>
                <w:tcPr>
                  <w:tcW w:w="11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20700</w:t>
                  </w:r>
                </w:p>
              </w:tc>
              <w:tc>
                <w:tcPr>
                  <w:tcW w:w="2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水分损失</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w:t>
                  </w:r>
                  <w:r>
                    <w:rPr>
                      <w:sz w:val="18"/>
                      <w:szCs w:val="18"/>
                    </w:rPr>
                    <w:t>5476.61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left="-53" w:leftChars="-25" w:right="-53" w:rightChars="-25" w:firstLine="0" w:firstLineChars="0"/>
                    <w:jc w:val="center"/>
                    <w:rPr>
                      <w:sz w:val="18"/>
                      <w:szCs w:val="18"/>
                    </w:rPr>
                  </w:pPr>
                  <w:r>
                    <w:rPr>
                      <w:rFonts w:hint="eastAsia"/>
                      <w:sz w:val="18"/>
                      <w:szCs w:val="18"/>
                    </w:rPr>
                    <w:t>4</w:t>
                  </w:r>
                </w:p>
              </w:tc>
              <w:tc>
                <w:tcPr>
                  <w:tcW w:w="108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p>
              </w:tc>
              <w:tc>
                <w:tcPr>
                  <w:tcW w:w="11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p>
              </w:tc>
              <w:tc>
                <w:tcPr>
                  <w:tcW w:w="2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砖窑</w:t>
                  </w:r>
                  <w:r>
                    <w:rPr>
                      <w:sz w:val="18"/>
                      <w:szCs w:val="18"/>
                    </w:rPr>
                    <w:t>焙烧</w:t>
                  </w:r>
                  <w:r>
                    <w:rPr>
                      <w:rFonts w:hint="eastAsia"/>
                      <w:sz w:val="18"/>
                      <w:szCs w:val="18"/>
                    </w:rPr>
                    <w:t>及污泥烘干</w:t>
                  </w:r>
                  <w:r>
                    <w:rPr>
                      <w:sz w:val="18"/>
                      <w:szCs w:val="18"/>
                    </w:rPr>
                    <w:t>废气</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61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left="-53" w:leftChars="-25" w:right="-53" w:rightChars="-25" w:firstLine="0" w:firstLineChars="0"/>
                    <w:jc w:val="center"/>
                    <w:rPr>
                      <w:sz w:val="18"/>
                      <w:szCs w:val="18"/>
                    </w:rPr>
                  </w:pPr>
                  <w:r>
                    <w:rPr>
                      <w:rFonts w:hint="eastAsia"/>
                      <w:sz w:val="18"/>
                      <w:szCs w:val="18"/>
                    </w:rPr>
                    <w:t>5</w:t>
                  </w:r>
                </w:p>
              </w:tc>
              <w:tc>
                <w:tcPr>
                  <w:tcW w:w="108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p>
              </w:tc>
              <w:tc>
                <w:tcPr>
                  <w:tcW w:w="11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p>
              </w:tc>
              <w:tc>
                <w:tcPr>
                  <w:tcW w:w="2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原料预处理排放的粉尘</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2" w:type="dxa"/>
                  <w:tcBorders>
                    <w:top w:val="single" w:color="auto" w:sz="4" w:space="0"/>
                    <w:left w:val="single" w:color="auto" w:sz="4" w:space="0"/>
                    <w:bottom w:val="single" w:color="auto" w:sz="4" w:space="0"/>
                    <w:right w:val="single" w:color="auto" w:sz="4" w:space="0"/>
                  </w:tcBorders>
                  <w:vAlign w:val="center"/>
                </w:tcPr>
                <w:p>
                  <w:pPr>
                    <w:pStyle w:val="61"/>
                    <w:widowControl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sz w:val="18"/>
                      <w:szCs w:val="18"/>
                    </w:rPr>
                  </w:pPr>
                  <w:r>
                    <w:rPr>
                      <w:sz w:val="18"/>
                      <w:szCs w:val="18"/>
                    </w:rPr>
                    <w:t>合计</w:t>
                  </w:r>
                </w:p>
              </w:tc>
              <w:tc>
                <w:tcPr>
                  <w:tcW w:w="108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p>
              </w:tc>
              <w:tc>
                <w:tcPr>
                  <w:tcW w:w="11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44000</w:t>
                  </w:r>
                </w:p>
              </w:tc>
              <w:tc>
                <w:tcPr>
                  <w:tcW w:w="2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44000</w:t>
                  </w:r>
                </w:p>
              </w:tc>
            </w:tr>
          </w:tbl>
          <w:p>
            <w:pPr>
              <w:spacing w:line="400" w:lineRule="exact"/>
              <w:ind w:firstLine="422" w:firstLineChars="200"/>
              <w:jc w:val="left"/>
              <w:rPr>
                <w:b/>
                <w:bCs/>
                <w:szCs w:val="21"/>
              </w:rPr>
            </w:pPr>
            <w:r>
              <w:rPr>
                <w:rFonts w:hint="eastAsia"/>
                <w:b/>
                <w:bCs/>
                <w:szCs w:val="21"/>
              </w:rPr>
              <w:t>（3）硫平衡</w:t>
            </w:r>
          </w:p>
          <w:p>
            <w:pPr>
              <w:spacing w:line="400" w:lineRule="exact"/>
              <w:ind w:firstLine="420" w:firstLineChars="200"/>
              <w:jc w:val="left"/>
              <w:rPr>
                <w:bCs/>
                <w:szCs w:val="21"/>
              </w:rPr>
            </w:pPr>
            <w:r>
              <w:rPr>
                <w:rFonts w:hint="eastAsia"/>
                <w:bCs/>
                <w:szCs w:val="21"/>
              </w:rPr>
              <w:t>本项目砖窑废气的硫元素主要由煤矸石带入。</w:t>
            </w:r>
          </w:p>
          <w:p>
            <w:pPr>
              <w:spacing w:line="400" w:lineRule="exact"/>
              <w:ind w:firstLine="420" w:firstLineChars="200"/>
              <w:jc w:val="left"/>
              <w:rPr>
                <w:bCs/>
                <w:szCs w:val="21"/>
              </w:rPr>
            </w:pPr>
            <w:r>
              <w:rPr>
                <w:rFonts w:hint="eastAsia"/>
                <w:bCs/>
                <w:szCs w:val="21"/>
              </w:rPr>
              <w:t>根据成分分析，项目所用煤矸石的全硫量约0.85%。</w:t>
            </w:r>
            <w:r>
              <w:rPr>
                <w:bCs/>
                <w:szCs w:val="21"/>
              </w:rPr>
              <w:t>经计算煤矸石带入的硫元素量</w:t>
            </w:r>
            <w:r>
              <w:rPr>
                <w:rFonts w:hint="eastAsia"/>
                <w:bCs/>
                <w:szCs w:val="21"/>
              </w:rPr>
              <w:t>70.55t/a。</w:t>
            </w:r>
          </w:p>
          <w:p>
            <w:pPr>
              <w:autoSpaceDE w:val="0"/>
              <w:autoSpaceDN w:val="0"/>
              <w:adjustRightInd w:val="0"/>
              <w:snapToGrid w:val="0"/>
              <w:spacing w:line="400" w:lineRule="exact"/>
              <w:ind w:firstLine="420" w:firstLineChars="200"/>
              <w:jc w:val="left"/>
              <w:rPr>
                <w:bCs/>
                <w:szCs w:val="21"/>
              </w:rPr>
            </w:pPr>
            <w:r>
              <w:rPr>
                <w:rFonts w:hint="eastAsia"/>
                <w:bCs/>
                <w:szCs w:val="21"/>
              </w:rPr>
              <w:t>考虑可燃硫比例取60%，</w:t>
            </w:r>
            <w:r>
              <w:rPr>
                <w:bCs/>
                <w:szCs w:val="21"/>
              </w:rPr>
              <w:t>CaO、MgO</w:t>
            </w:r>
            <w:r>
              <w:rPr>
                <w:rFonts w:hint="eastAsia"/>
                <w:bCs/>
                <w:szCs w:val="21"/>
              </w:rPr>
              <w:t>等钙系化合物、碱性矿物固硫作用</w:t>
            </w:r>
            <w:r>
              <w:rPr>
                <w:bCs/>
                <w:szCs w:val="21"/>
              </w:rPr>
              <w:t>效果取60%，其余全部转化成SO</w:t>
            </w:r>
            <w:r>
              <w:rPr>
                <w:bCs/>
                <w:szCs w:val="21"/>
                <w:vertAlign w:val="subscript"/>
              </w:rPr>
              <w:t>2</w:t>
            </w:r>
            <w:r>
              <w:rPr>
                <w:bCs/>
                <w:szCs w:val="21"/>
              </w:rPr>
              <w:t>随烟气排出，</w:t>
            </w:r>
            <w:r>
              <w:rPr>
                <w:rFonts w:hint="eastAsia"/>
                <w:bCs/>
                <w:szCs w:val="21"/>
              </w:rPr>
              <w:t>则</w:t>
            </w:r>
            <w:r>
              <w:rPr>
                <w:rFonts w:hint="eastAsia"/>
              </w:rPr>
              <w:t>单质S排放量=70.55t</w:t>
            </w:r>
            <w:r>
              <w:t>/a</w:t>
            </w:r>
            <w:r>
              <w:rPr>
                <w:rFonts w:hint="eastAsia"/>
              </w:rPr>
              <w:t>×60%×（1</w:t>
            </w:r>
            <w:r>
              <w:t>-</w:t>
            </w:r>
            <w:r>
              <w:rPr>
                <w:rFonts w:hint="eastAsia"/>
              </w:rPr>
              <w:t>60%）=16.93t</w:t>
            </w:r>
            <w:r>
              <w:t>/a。</w:t>
            </w:r>
            <w:r>
              <w:rPr>
                <w:rFonts w:hint="eastAsia"/>
              </w:rPr>
              <w:t>转化成</w:t>
            </w:r>
            <w:r>
              <w:t>SO</w:t>
            </w:r>
            <w:r>
              <w:rPr>
                <w:vertAlign w:val="subscript"/>
              </w:rPr>
              <w:t>2</w:t>
            </w:r>
            <w:r>
              <w:rPr>
                <w:rFonts w:hint="eastAsia"/>
              </w:rPr>
              <w:t>进入烟气的量=16.93×2=33.86t</w:t>
            </w:r>
            <w:r>
              <w:t>/a。</w:t>
            </w:r>
          </w:p>
          <w:p>
            <w:pPr>
              <w:spacing w:line="400" w:lineRule="exact"/>
              <w:ind w:firstLine="420" w:firstLineChars="200"/>
              <w:jc w:val="left"/>
              <w:rPr>
                <w:bCs/>
                <w:szCs w:val="21"/>
              </w:rPr>
            </w:pPr>
            <w:r>
              <w:rPr>
                <w:rFonts w:hint="eastAsia"/>
                <w:bCs/>
                <w:szCs w:val="21"/>
              </w:rPr>
              <w:t>项目硫平衡见下表。</w:t>
            </w:r>
          </w:p>
          <w:p>
            <w:pPr>
              <w:spacing w:line="360" w:lineRule="exact"/>
              <w:ind w:left="55" w:leftChars="26" w:right="55" w:rightChars="26"/>
              <w:jc w:val="center"/>
              <w:rPr>
                <w:rFonts w:eastAsia="黑体"/>
                <w:bCs/>
                <w:sz w:val="18"/>
                <w:szCs w:val="18"/>
              </w:rPr>
            </w:pPr>
            <w:r>
              <w:rPr>
                <w:rFonts w:eastAsia="黑体"/>
                <w:bCs/>
                <w:sz w:val="18"/>
                <w:szCs w:val="18"/>
              </w:rPr>
              <w:t>表2-</w:t>
            </w:r>
            <w:r>
              <w:rPr>
                <w:rFonts w:hint="eastAsia" w:eastAsia="黑体"/>
                <w:bCs/>
                <w:sz w:val="18"/>
                <w:szCs w:val="18"/>
              </w:rPr>
              <w:t xml:space="preserve">12  </w:t>
            </w:r>
            <w:r>
              <w:rPr>
                <w:rFonts w:eastAsia="黑体"/>
                <w:bCs/>
                <w:sz w:val="18"/>
                <w:szCs w:val="18"/>
              </w:rPr>
              <w:t>本项目硫元素平衡表</w:t>
            </w:r>
          </w:p>
          <w:tbl>
            <w:tblPr>
              <w:tblStyle w:val="20"/>
              <w:tblW w:w="78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566"/>
              <w:gridCol w:w="1250"/>
              <w:gridCol w:w="2385"/>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932" w:type="dxa"/>
                  <w:tcBorders>
                    <w:top w:val="single" w:color="auto" w:sz="4" w:space="0"/>
                    <w:left w:val="single" w:color="auto" w:sz="4" w:space="0"/>
                    <w:right w:val="single" w:color="auto" w:sz="4" w:space="0"/>
                  </w:tcBorders>
                  <w:vAlign w:val="center"/>
                </w:tcPr>
                <w:p>
                  <w:pPr>
                    <w:spacing w:line="280" w:lineRule="exact"/>
                    <w:jc w:val="center"/>
                    <w:rPr>
                      <w:b/>
                      <w:sz w:val="18"/>
                      <w:szCs w:val="18"/>
                    </w:rPr>
                  </w:pPr>
                  <w:r>
                    <w:rPr>
                      <w:b/>
                      <w:sz w:val="18"/>
                      <w:szCs w:val="18"/>
                    </w:rPr>
                    <w:t>序号</w:t>
                  </w:r>
                </w:p>
              </w:tc>
              <w:tc>
                <w:tcPr>
                  <w:tcW w:w="2816"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b/>
                      <w:sz w:val="18"/>
                      <w:szCs w:val="18"/>
                    </w:rPr>
                  </w:pPr>
                  <w:r>
                    <w:rPr>
                      <w:b/>
                      <w:sz w:val="18"/>
                      <w:szCs w:val="18"/>
                    </w:rPr>
                    <w:t>投入（t/a）</w:t>
                  </w:r>
                </w:p>
              </w:tc>
              <w:tc>
                <w:tcPr>
                  <w:tcW w:w="4081"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b/>
                      <w:sz w:val="18"/>
                      <w:szCs w:val="18"/>
                    </w:rPr>
                  </w:pPr>
                  <w:r>
                    <w:rPr>
                      <w:b/>
                      <w:sz w:val="18"/>
                      <w:szCs w:val="18"/>
                    </w:rPr>
                    <w:t>产出（t/a）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93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1</w:t>
                  </w:r>
                </w:p>
              </w:tc>
              <w:tc>
                <w:tcPr>
                  <w:tcW w:w="1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总硫含量</w:t>
                  </w:r>
                </w:p>
              </w:tc>
              <w:tc>
                <w:tcPr>
                  <w:tcW w:w="125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70.55</w:t>
                  </w:r>
                </w:p>
              </w:tc>
              <w:tc>
                <w:tcPr>
                  <w:tcW w:w="238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进入产品</w:t>
                  </w:r>
                </w:p>
              </w:tc>
              <w:tc>
                <w:tcPr>
                  <w:tcW w:w="169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53.62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jc w:val="center"/>
              </w:trPr>
              <w:tc>
                <w:tcPr>
                  <w:tcW w:w="932" w:type="dxa"/>
                  <w:tcBorders>
                    <w:top w:val="single" w:color="auto" w:sz="4" w:space="0"/>
                    <w:left w:val="single" w:color="auto" w:sz="4" w:space="0"/>
                    <w:bottom w:val="single" w:color="auto" w:sz="4" w:space="0"/>
                    <w:right w:val="single" w:color="auto" w:sz="4" w:space="0"/>
                  </w:tcBorders>
                  <w:vAlign w:val="center"/>
                </w:tcPr>
                <w:p>
                  <w:pPr>
                    <w:pStyle w:val="34"/>
                    <w:spacing w:line="280" w:lineRule="exact"/>
                    <w:ind w:left="-53" w:leftChars="-25" w:right="-53" w:rightChars="-25" w:firstLine="0" w:firstLineChars="0"/>
                    <w:jc w:val="center"/>
                    <w:rPr>
                      <w:sz w:val="18"/>
                      <w:szCs w:val="18"/>
                    </w:rPr>
                  </w:pPr>
                  <w:r>
                    <w:rPr>
                      <w:sz w:val="18"/>
                      <w:szCs w:val="18"/>
                    </w:rPr>
                    <w:t>2</w:t>
                  </w:r>
                </w:p>
              </w:tc>
              <w:tc>
                <w:tcPr>
                  <w:tcW w:w="1566" w:type="dxa"/>
                  <w:tcBorders>
                    <w:top w:val="single" w:color="auto" w:sz="4" w:space="0"/>
                    <w:left w:val="single" w:color="auto" w:sz="4" w:space="0"/>
                    <w:bottom w:val="single" w:color="auto" w:sz="4" w:space="0"/>
                    <w:right w:val="single" w:color="auto" w:sz="4" w:space="0"/>
                  </w:tcBorders>
                  <w:vAlign w:val="center"/>
                </w:tcPr>
                <w:p>
                  <w:pPr>
                    <w:pStyle w:val="34"/>
                    <w:spacing w:line="280" w:lineRule="exact"/>
                    <w:ind w:left="-53" w:leftChars="-25" w:right="-53" w:rightChars="-25" w:firstLine="0" w:firstLineChars="0"/>
                    <w:jc w:val="center"/>
                    <w:rPr>
                      <w:sz w:val="18"/>
                      <w:szCs w:val="18"/>
                    </w:rPr>
                  </w:pPr>
                  <w:r>
                    <w:rPr>
                      <w:sz w:val="18"/>
                      <w:szCs w:val="18"/>
                    </w:rPr>
                    <w:t>/</w:t>
                  </w:r>
                </w:p>
              </w:tc>
              <w:tc>
                <w:tcPr>
                  <w:tcW w:w="1250" w:type="dxa"/>
                  <w:tcBorders>
                    <w:top w:val="single" w:color="auto" w:sz="4" w:space="0"/>
                    <w:left w:val="single" w:color="auto" w:sz="4" w:space="0"/>
                    <w:bottom w:val="single" w:color="auto" w:sz="4" w:space="0"/>
                    <w:right w:val="single" w:color="auto" w:sz="4" w:space="0"/>
                  </w:tcBorders>
                </w:tcPr>
                <w:p>
                  <w:pPr>
                    <w:spacing w:line="280" w:lineRule="exact"/>
                    <w:jc w:val="center"/>
                    <w:rPr>
                      <w:sz w:val="18"/>
                      <w:szCs w:val="18"/>
                    </w:rPr>
                  </w:pPr>
                  <w:r>
                    <w:rPr>
                      <w:sz w:val="18"/>
                      <w:szCs w:val="18"/>
                    </w:rPr>
                    <w:t>/</w:t>
                  </w:r>
                </w:p>
              </w:tc>
              <w:tc>
                <w:tcPr>
                  <w:tcW w:w="238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废气中的</w:t>
                  </w:r>
                  <w:r>
                    <w:rPr>
                      <w:rFonts w:hint="eastAsia"/>
                      <w:sz w:val="18"/>
                      <w:szCs w:val="18"/>
                    </w:rPr>
                    <w:t>单质</w:t>
                  </w:r>
                  <w:r>
                    <w:rPr>
                      <w:sz w:val="18"/>
                      <w:szCs w:val="18"/>
                    </w:rPr>
                    <w:t>硫</w:t>
                  </w:r>
                </w:p>
              </w:tc>
              <w:tc>
                <w:tcPr>
                  <w:tcW w:w="169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16.93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jc w:val="center"/>
              </w:trPr>
              <w:tc>
                <w:tcPr>
                  <w:tcW w:w="932" w:type="dxa"/>
                  <w:tcBorders>
                    <w:top w:val="single" w:color="auto" w:sz="4" w:space="0"/>
                    <w:left w:val="single" w:color="auto" w:sz="4" w:space="0"/>
                    <w:bottom w:val="single" w:color="auto" w:sz="4" w:space="0"/>
                    <w:right w:val="single" w:color="auto" w:sz="4" w:space="0"/>
                  </w:tcBorders>
                  <w:vAlign w:val="center"/>
                </w:tcPr>
                <w:p>
                  <w:pPr>
                    <w:pStyle w:val="61"/>
                    <w:widowControl w:val="0"/>
                    <w:pBdr>
                      <w:left w:val="none" w:color="auto" w:sz="0" w:space="0"/>
                      <w:bottom w:val="none" w:color="auto" w:sz="0" w:space="0"/>
                      <w:right w:val="none" w:color="auto" w:sz="0" w:space="0"/>
                    </w:pBdr>
                    <w:spacing w:before="0" w:beforeAutospacing="0" w:after="0" w:afterAutospacing="0" w:line="280" w:lineRule="exact"/>
                    <w:ind w:left="-53" w:leftChars="-25" w:right="-53" w:rightChars="-25"/>
                    <w:rPr>
                      <w:sz w:val="18"/>
                      <w:szCs w:val="18"/>
                    </w:rPr>
                  </w:pPr>
                  <w:r>
                    <w:rPr>
                      <w:sz w:val="18"/>
                      <w:szCs w:val="18"/>
                    </w:rPr>
                    <w:t>合计</w:t>
                  </w:r>
                </w:p>
              </w:tc>
              <w:tc>
                <w:tcPr>
                  <w:tcW w:w="1566" w:type="dxa"/>
                  <w:tcBorders>
                    <w:top w:val="single" w:color="auto" w:sz="4" w:space="0"/>
                    <w:left w:val="single" w:color="auto" w:sz="4" w:space="0"/>
                    <w:bottom w:val="single" w:color="auto" w:sz="4" w:space="0"/>
                    <w:right w:val="single" w:color="auto" w:sz="4" w:space="0"/>
                  </w:tcBorders>
                  <w:vAlign w:val="center"/>
                </w:tcPr>
                <w:p>
                  <w:pPr>
                    <w:pStyle w:val="61"/>
                    <w:widowControl w:val="0"/>
                    <w:pBdr>
                      <w:left w:val="none" w:color="auto" w:sz="0" w:space="0"/>
                      <w:bottom w:val="none" w:color="auto" w:sz="0" w:space="0"/>
                      <w:right w:val="none" w:color="auto" w:sz="0" w:space="0"/>
                    </w:pBdr>
                    <w:spacing w:before="0" w:beforeAutospacing="0" w:after="0" w:afterAutospacing="0" w:line="280" w:lineRule="exact"/>
                    <w:ind w:left="-53" w:leftChars="-25" w:right="-53" w:rightChars="-25"/>
                    <w:rPr>
                      <w:kern w:val="2"/>
                      <w:sz w:val="18"/>
                      <w:szCs w:val="18"/>
                    </w:rPr>
                  </w:pPr>
                  <w:r>
                    <w:rPr>
                      <w:sz w:val="18"/>
                      <w:szCs w:val="18"/>
                    </w:rPr>
                    <w:t>/</w:t>
                  </w:r>
                </w:p>
              </w:tc>
              <w:tc>
                <w:tcPr>
                  <w:tcW w:w="125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70.55</w:t>
                  </w:r>
                </w:p>
              </w:tc>
              <w:tc>
                <w:tcPr>
                  <w:tcW w:w="238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合计</w:t>
                  </w:r>
                </w:p>
              </w:tc>
              <w:tc>
                <w:tcPr>
                  <w:tcW w:w="169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70.55</w:t>
                  </w:r>
                </w:p>
              </w:tc>
            </w:tr>
          </w:tbl>
          <w:p>
            <w:pPr>
              <w:spacing w:line="400" w:lineRule="exact"/>
              <w:ind w:firstLine="420" w:firstLineChars="200"/>
              <w:jc w:val="left"/>
              <w:rPr>
                <w:bCs/>
                <w:szCs w:val="21"/>
              </w:rPr>
            </w:pPr>
            <w:r>
              <w:rPr>
                <w:rFonts w:hint="eastAsia"/>
                <w:bCs/>
                <w:szCs w:val="21"/>
              </w:rPr>
              <w:t>项目采用“</w:t>
            </w:r>
            <w:r>
              <w:rPr>
                <w:rFonts w:hint="eastAsia" w:eastAsiaTheme="minorEastAsia"/>
                <w:bCs/>
                <w:szCs w:val="18"/>
              </w:rPr>
              <w:t>钠碱湿法脱硫</w:t>
            </w:r>
            <w:r>
              <w:rPr>
                <w:rFonts w:hint="eastAsia"/>
                <w:bCs/>
                <w:szCs w:val="21"/>
              </w:rPr>
              <w:t>”设施脱硫效率取80%，</w:t>
            </w:r>
            <w:r>
              <w:rPr>
                <w:bCs/>
                <w:szCs w:val="21"/>
              </w:rPr>
              <w:t>则项目</w:t>
            </w:r>
            <w:r>
              <w:rPr>
                <w:rFonts w:hint="eastAsia"/>
                <w:bCs/>
                <w:szCs w:val="21"/>
              </w:rPr>
              <w:t>实施后</w:t>
            </w:r>
            <w:r>
              <w:rPr>
                <w:bCs/>
                <w:szCs w:val="21"/>
              </w:rPr>
              <w:t>SO</w:t>
            </w:r>
            <w:r>
              <w:rPr>
                <w:bCs/>
                <w:szCs w:val="21"/>
                <w:vertAlign w:val="subscript"/>
              </w:rPr>
              <w:t>2</w:t>
            </w:r>
            <w:r>
              <w:rPr>
                <w:bCs/>
                <w:szCs w:val="21"/>
              </w:rPr>
              <w:t>排放量</w:t>
            </w:r>
            <w:r>
              <w:rPr>
                <w:rFonts w:hint="eastAsia"/>
                <w:bCs/>
                <w:szCs w:val="21"/>
              </w:rPr>
              <w:t>计算如下：</w:t>
            </w:r>
            <w:r>
              <w:rPr>
                <w:rFonts w:hint="eastAsia"/>
              </w:rPr>
              <w:t>33.86×（1</w:t>
            </w:r>
            <w:r>
              <w:t>-</w:t>
            </w:r>
            <w:r>
              <w:rPr>
                <w:rFonts w:hint="eastAsia"/>
              </w:rPr>
              <w:t>80%）=6.77t</w:t>
            </w:r>
            <w:r>
              <w:t>/a</w:t>
            </w:r>
            <w:r>
              <w:rPr>
                <w:rFonts w:hint="eastAsia"/>
              </w:rPr>
              <w:t>。</w:t>
            </w:r>
          </w:p>
          <w:p>
            <w:pPr>
              <w:spacing w:line="400" w:lineRule="exact"/>
              <w:ind w:firstLine="420" w:firstLineChars="200"/>
              <w:jc w:val="left"/>
              <w:rPr>
                <w:bCs/>
                <w:szCs w:val="21"/>
              </w:rPr>
            </w:pPr>
            <w:r>
              <w:rPr>
                <w:rFonts w:hint="eastAsia"/>
                <w:bCs/>
                <w:szCs w:val="21"/>
              </w:rPr>
              <w:t>另外，本项目新增的滚筒烘干机采用生物质成型燃料提供热源，生物质成型燃料燃烧会产生少量的SO</w:t>
            </w:r>
            <w:r>
              <w:rPr>
                <w:rFonts w:hint="eastAsia"/>
                <w:bCs/>
                <w:szCs w:val="21"/>
                <w:vertAlign w:val="subscript"/>
              </w:rPr>
              <w:t>2</w:t>
            </w:r>
            <w:r>
              <w:rPr>
                <w:rFonts w:hint="eastAsia"/>
                <w:bCs/>
                <w:szCs w:val="21"/>
              </w:rPr>
              <w:t>。烘干滚筒机1小时消耗600公斤燃料可出8吨干污泥（20%含水），经计算年</w:t>
            </w:r>
            <w:r>
              <w:rPr>
                <w:bCs/>
                <w:szCs w:val="21"/>
              </w:rPr>
              <w:t>需要生物质成型颗粒燃料约</w:t>
            </w:r>
            <w:r>
              <w:rPr>
                <w:rFonts w:hint="eastAsia"/>
                <w:bCs/>
                <w:szCs w:val="21"/>
              </w:rPr>
              <w:t>282t/a。</w:t>
            </w:r>
            <w:r>
              <w:rPr>
                <w:rFonts w:hint="eastAsia"/>
                <w:bCs/>
                <w:szCs w:val="28"/>
              </w:rPr>
              <w:t>参考</w:t>
            </w:r>
            <w:r>
              <w:rPr>
                <w:bCs/>
                <w:szCs w:val="28"/>
              </w:rPr>
              <w:t>第二次全国污染源普查《工业企业产排污系数手册》中“4430 工业锅炉（热力生产和供应行业）产污系数表-</w:t>
            </w:r>
            <w:r>
              <w:rPr>
                <w:rFonts w:hint="eastAsia"/>
                <w:bCs/>
                <w:szCs w:val="28"/>
              </w:rPr>
              <w:t>生物质</w:t>
            </w:r>
            <w:r>
              <w:rPr>
                <w:bCs/>
                <w:szCs w:val="28"/>
              </w:rPr>
              <w:t>工业锅炉”。</w:t>
            </w:r>
            <w:r>
              <w:rPr>
                <w:rFonts w:hint="eastAsia"/>
                <w:bCs/>
                <w:szCs w:val="28"/>
              </w:rPr>
              <w:t xml:space="preserve"> 经计算，污泥烘干环节的SO</w:t>
            </w:r>
            <w:r>
              <w:rPr>
                <w:rFonts w:hint="eastAsia"/>
                <w:bCs/>
                <w:szCs w:val="28"/>
                <w:vertAlign w:val="subscript"/>
              </w:rPr>
              <w:t>2</w:t>
            </w:r>
            <w:r>
              <w:rPr>
                <w:rFonts w:hint="eastAsia"/>
                <w:bCs/>
                <w:szCs w:val="28"/>
              </w:rPr>
              <w:t>产生量为0.34t/a；</w:t>
            </w:r>
            <w:r>
              <w:rPr>
                <w:rFonts w:hint="eastAsia"/>
                <w:bCs/>
                <w:szCs w:val="21"/>
              </w:rPr>
              <w:t>“</w:t>
            </w:r>
            <w:r>
              <w:rPr>
                <w:rFonts w:hint="eastAsia" w:eastAsiaTheme="minorEastAsia"/>
                <w:bCs/>
                <w:szCs w:val="18"/>
              </w:rPr>
              <w:t>钠碱湿法脱硫</w:t>
            </w:r>
            <w:r>
              <w:rPr>
                <w:rFonts w:hint="eastAsia"/>
                <w:bCs/>
                <w:szCs w:val="21"/>
              </w:rPr>
              <w:t>”设施脱硫效率取80%，则</w:t>
            </w:r>
            <w:r>
              <w:rPr>
                <w:rFonts w:hint="eastAsia"/>
                <w:bCs/>
                <w:szCs w:val="28"/>
              </w:rPr>
              <w:t>SO</w:t>
            </w:r>
            <w:r>
              <w:rPr>
                <w:rFonts w:hint="eastAsia"/>
                <w:bCs/>
                <w:szCs w:val="28"/>
                <w:vertAlign w:val="subscript"/>
              </w:rPr>
              <w:t>2</w:t>
            </w:r>
            <w:r>
              <w:rPr>
                <w:rFonts w:hint="eastAsia"/>
                <w:bCs/>
                <w:szCs w:val="21"/>
              </w:rPr>
              <w:t>排放量为0.068t/a</w:t>
            </w:r>
            <w:r>
              <w:rPr>
                <w:rFonts w:hint="eastAsia"/>
                <w:bCs/>
                <w:szCs w:val="28"/>
              </w:rPr>
              <w:t>。</w:t>
            </w:r>
          </w:p>
          <w:p>
            <w:pPr>
              <w:spacing w:line="400" w:lineRule="exact"/>
              <w:ind w:firstLine="420" w:firstLineChars="200"/>
              <w:jc w:val="left"/>
              <w:rPr>
                <w:bCs/>
                <w:szCs w:val="21"/>
              </w:rPr>
            </w:pPr>
            <w:r>
              <w:rPr>
                <w:rFonts w:hint="eastAsia"/>
                <w:bCs/>
                <w:szCs w:val="21"/>
              </w:rPr>
              <w:t>根据调查，项目本次技改实施前煤矸石使用量为9600t/a，砖窑废气中</w:t>
            </w:r>
            <w:r>
              <w:rPr>
                <w:bCs/>
                <w:szCs w:val="21"/>
              </w:rPr>
              <w:t>SO</w:t>
            </w:r>
            <w:r>
              <w:rPr>
                <w:bCs/>
                <w:szCs w:val="21"/>
                <w:vertAlign w:val="subscript"/>
              </w:rPr>
              <w:t>2</w:t>
            </w:r>
            <w:r>
              <w:rPr>
                <w:bCs/>
                <w:szCs w:val="21"/>
              </w:rPr>
              <w:t>排放量：</w:t>
            </w:r>
            <w:r>
              <w:rPr>
                <w:rFonts w:hint="eastAsia"/>
                <w:bCs/>
                <w:szCs w:val="21"/>
              </w:rPr>
              <w:t>9600t/a</w:t>
            </w:r>
            <w:r>
              <w:rPr>
                <w:rFonts w:hint="eastAsia"/>
              </w:rPr>
              <w:t>×</w:t>
            </w:r>
            <w:r>
              <w:rPr>
                <w:rFonts w:hint="eastAsia"/>
                <w:bCs/>
                <w:szCs w:val="21"/>
              </w:rPr>
              <w:t>0.85%</w:t>
            </w:r>
            <w:r>
              <w:rPr>
                <w:rFonts w:hint="eastAsia"/>
              </w:rPr>
              <w:t>×60%×（1</w:t>
            </w:r>
            <w:r>
              <w:t>-</w:t>
            </w:r>
            <w:r>
              <w:rPr>
                <w:rFonts w:hint="eastAsia"/>
              </w:rPr>
              <w:t>60%）×2×（1</w:t>
            </w:r>
            <w:r>
              <w:t>-</w:t>
            </w:r>
            <w:r>
              <w:rPr>
                <w:rFonts w:hint="eastAsia"/>
              </w:rPr>
              <w:t>80%）=7.834</w:t>
            </w:r>
            <w:r>
              <w:rPr>
                <w:rFonts w:hint="eastAsia"/>
                <w:bCs/>
                <w:szCs w:val="21"/>
              </w:rPr>
              <w:t>t/a。</w:t>
            </w:r>
          </w:p>
          <w:p>
            <w:pPr>
              <w:spacing w:line="400" w:lineRule="exact"/>
              <w:ind w:firstLine="420" w:firstLineChars="200"/>
              <w:jc w:val="left"/>
              <w:rPr>
                <w:bCs/>
                <w:szCs w:val="21"/>
              </w:rPr>
            </w:pPr>
            <w:r>
              <w:rPr>
                <w:rFonts w:hint="eastAsia"/>
                <w:bCs/>
                <w:szCs w:val="21"/>
              </w:rPr>
              <w:t>综上，本次技改后砖窑废气中</w:t>
            </w:r>
            <w:r>
              <w:rPr>
                <w:bCs/>
                <w:szCs w:val="21"/>
              </w:rPr>
              <w:t>SO</w:t>
            </w:r>
            <w:r>
              <w:rPr>
                <w:bCs/>
                <w:szCs w:val="21"/>
                <w:vertAlign w:val="subscript"/>
              </w:rPr>
              <w:t>2</w:t>
            </w:r>
            <w:r>
              <w:rPr>
                <w:rFonts w:hint="eastAsia"/>
                <w:bCs/>
                <w:szCs w:val="21"/>
              </w:rPr>
              <w:t>排放量降至6.77t/a，削减量1.064t</w:t>
            </w:r>
            <w:r>
              <w:rPr>
                <w:bCs/>
                <w:szCs w:val="21"/>
              </w:rPr>
              <w:t>/a</w:t>
            </w:r>
            <w:r>
              <w:rPr>
                <w:rFonts w:hint="eastAsia"/>
                <w:bCs/>
                <w:szCs w:val="21"/>
              </w:rPr>
              <w:t>。污泥烘干设施新增</w:t>
            </w:r>
            <w:r>
              <w:rPr>
                <w:bCs/>
                <w:szCs w:val="21"/>
              </w:rPr>
              <w:t>SO</w:t>
            </w:r>
            <w:r>
              <w:rPr>
                <w:bCs/>
                <w:szCs w:val="21"/>
                <w:vertAlign w:val="subscript"/>
              </w:rPr>
              <w:t>2</w:t>
            </w:r>
            <w:r>
              <w:rPr>
                <w:rFonts w:hint="eastAsia"/>
                <w:bCs/>
                <w:szCs w:val="21"/>
              </w:rPr>
              <w:t>排放量0.068t/a。技改后全厂</w:t>
            </w:r>
            <w:r>
              <w:rPr>
                <w:bCs/>
                <w:szCs w:val="21"/>
              </w:rPr>
              <w:t>SO</w:t>
            </w:r>
            <w:r>
              <w:rPr>
                <w:bCs/>
                <w:szCs w:val="21"/>
                <w:vertAlign w:val="subscript"/>
              </w:rPr>
              <w:t>2</w:t>
            </w:r>
            <w:r>
              <w:rPr>
                <w:rFonts w:hint="eastAsia"/>
                <w:bCs/>
                <w:szCs w:val="21"/>
              </w:rPr>
              <w:t>总排放量6.838t/a，</w:t>
            </w:r>
            <w:r>
              <w:rPr>
                <w:bCs/>
                <w:szCs w:val="21"/>
              </w:rPr>
              <w:t>排放量</w:t>
            </w:r>
            <w:r>
              <w:rPr>
                <w:rFonts w:hint="eastAsia"/>
                <w:bCs/>
                <w:szCs w:val="21"/>
              </w:rPr>
              <w:t>减少0.996t</w:t>
            </w:r>
            <w:r>
              <w:rPr>
                <w:bCs/>
                <w:szCs w:val="21"/>
              </w:rPr>
              <w:t>/a。</w:t>
            </w:r>
          </w:p>
          <w:p>
            <w:pPr>
              <w:autoSpaceDE w:val="0"/>
              <w:autoSpaceDN w:val="0"/>
              <w:adjustRightInd w:val="0"/>
              <w:snapToGrid w:val="0"/>
              <w:spacing w:line="400" w:lineRule="exact"/>
              <w:ind w:firstLine="420" w:firstLineChars="200"/>
              <w:jc w:val="left"/>
              <w:rPr>
                <w:rFonts w:eastAsia="黑体"/>
                <w:kern w:val="0"/>
                <w:szCs w:val="21"/>
              </w:rPr>
            </w:pPr>
            <w:r>
              <w:rPr>
                <w:rFonts w:eastAsia="黑体"/>
                <w:kern w:val="0"/>
                <w:szCs w:val="21"/>
              </w:rPr>
              <w:t>（</w:t>
            </w:r>
            <w:r>
              <w:rPr>
                <w:rFonts w:hint="eastAsia" w:eastAsia="黑体"/>
                <w:kern w:val="0"/>
                <w:szCs w:val="21"/>
              </w:rPr>
              <w:t>3</w:t>
            </w:r>
            <w:r>
              <w:rPr>
                <w:rFonts w:eastAsia="黑体"/>
                <w:kern w:val="0"/>
                <w:szCs w:val="21"/>
              </w:rPr>
              <w:t>）氯平衡分析</w:t>
            </w:r>
          </w:p>
          <w:p>
            <w:pPr>
              <w:spacing w:line="400" w:lineRule="exact"/>
              <w:ind w:firstLine="420" w:firstLineChars="200"/>
              <w:jc w:val="left"/>
            </w:pPr>
            <w:r>
              <w:rPr>
                <w:rFonts w:hint="eastAsia"/>
              </w:rPr>
              <w:t>本项目砖窑生产线处置污泥会带入少量的氯离子，增加HCL废气排放。</w:t>
            </w:r>
          </w:p>
          <w:p>
            <w:pPr>
              <w:spacing w:line="400" w:lineRule="exact"/>
              <w:ind w:firstLine="420" w:firstLineChars="200"/>
              <w:jc w:val="left"/>
            </w:pPr>
            <w:r>
              <w:rPr>
                <w:rFonts w:hint="eastAsia"/>
              </w:rPr>
              <w:t>参考达州市万源生态环境局已审批的《</w:t>
            </w:r>
            <w:r>
              <w:t>华新环境工程（万源）有限公司一般固体废弃物处置技改项目</w:t>
            </w:r>
            <w:r>
              <w:rPr>
                <w:rFonts w:hint="eastAsia"/>
              </w:rPr>
              <w:t>》，掺烧的城市污水厂污泥的氯离子含量为0.15%。本项目污泥年消耗量为3000t/a（干基），则制砖系统中氯元素带入量约为4.5t/a。</w:t>
            </w:r>
          </w:p>
          <w:p>
            <w:pPr>
              <w:spacing w:line="400" w:lineRule="exact"/>
              <w:ind w:firstLine="420" w:firstLineChars="200"/>
              <w:jc w:val="left"/>
            </w:pPr>
            <w:r>
              <w:rPr>
                <w:rFonts w:hint="eastAsia"/>
              </w:rPr>
              <w:t>砖窑烟气</w:t>
            </w:r>
            <w:r>
              <w:t>中的</w:t>
            </w:r>
            <w:r>
              <w:rPr>
                <w:rFonts w:hint="eastAsia"/>
              </w:rPr>
              <w:t>HCL</w:t>
            </w:r>
            <w:r>
              <w:t>主要来自于含氯的原燃料在烧成过程中形成的</w:t>
            </w:r>
            <w:r>
              <w:rPr>
                <w:rFonts w:hint="eastAsia"/>
              </w:rPr>
              <w:t>HCL</w:t>
            </w:r>
            <w:r>
              <w:t>。</w:t>
            </w:r>
            <w:r>
              <w:rPr>
                <w:rFonts w:hint="eastAsia"/>
              </w:rPr>
              <w:t>HCL</w:t>
            </w:r>
            <w:r>
              <w:t>在窑内</w:t>
            </w:r>
            <w:r>
              <w:rPr>
                <w:rFonts w:hint="eastAsia"/>
              </w:rPr>
              <w:t>会</w:t>
            </w:r>
            <w:r>
              <w:t>与CaO、碱金属氧化物反应，或与高温、高浓度、高吸附性的碱性物料充分接触，被可溶性矿物包裹进入产品中。通常情况下，</w:t>
            </w:r>
            <w:r>
              <w:rPr>
                <w:rFonts w:hint="eastAsia"/>
              </w:rPr>
              <w:t>约有</w:t>
            </w:r>
            <w:r>
              <w:t>99%左右的</w:t>
            </w:r>
            <w:r>
              <w:rPr>
                <w:rFonts w:hint="eastAsia"/>
              </w:rPr>
              <w:t>HCL</w:t>
            </w:r>
            <w:r>
              <w:t>在窑内会被碱性物质吸收，</w:t>
            </w:r>
            <w:r>
              <w:rPr>
                <w:rFonts w:hint="eastAsia"/>
              </w:rPr>
              <w:t>约有1%的HCL进入砖窑废气。</w:t>
            </w:r>
          </w:p>
          <w:p>
            <w:pPr>
              <w:spacing w:line="400" w:lineRule="exact"/>
              <w:ind w:firstLine="420" w:firstLineChars="200"/>
              <w:jc w:val="left"/>
            </w:pPr>
            <w:r>
              <w:t>估算本项目</w:t>
            </w:r>
            <w:r>
              <w:rPr>
                <w:rFonts w:hint="eastAsia"/>
              </w:rPr>
              <w:t>砖窑废气中HCL废气产生情况如下：4.5</w:t>
            </w:r>
            <w:r>
              <w:t>t/a</w:t>
            </w:r>
            <w:r>
              <w:rPr>
                <w:rFonts w:hint="eastAsia"/>
              </w:rPr>
              <w:t>×（1</w:t>
            </w:r>
            <w:r>
              <w:t>-99</w:t>
            </w:r>
            <w:r>
              <w:rPr>
                <w:rFonts w:hint="eastAsia"/>
              </w:rPr>
              <w:t>%）×3</w:t>
            </w:r>
            <w:r>
              <w:t>6.5</w:t>
            </w:r>
            <w:r>
              <w:rPr>
                <w:rFonts w:hint="eastAsia"/>
              </w:rPr>
              <w:t>÷3</w:t>
            </w:r>
            <w:r>
              <w:t>5.5</w:t>
            </w:r>
            <w:r>
              <w:rPr>
                <w:rFonts w:hint="eastAsia"/>
              </w:rPr>
              <w:t>=0.046</w:t>
            </w:r>
            <w:r>
              <w:t>t/a。</w:t>
            </w:r>
          </w:p>
          <w:p>
            <w:pPr>
              <w:spacing w:line="400" w:lineRule="exact"/>
              <w:ind w:left="55" w:leftChars="26" w:right="55" w:rightChars="26"/>
              <w:jc w:val="center"/>
              <w:rPr>
                <w:rFonts w:eastAsia="黑体"/>
                <w:bCs/>
                <w:sz w:val="18"/>
                <w:szCs w:val="18"/>
              </w:rPr>
            </w:pPr>
            <w:r>
              <w:rPr>
                <w:rFonts w:eastAsia="黑体"/>
                <w:bCs/>
                <w:sz w:val="18"/>
                <w:szCs w:val="18"/>
              </w:rPr>
              <w:t>表2-</w:t>
            </w:r>
            <w:r>
              <w:rPr>
                <w:rFonts w:hint="eastAsia" w:eastAsia="黑体"/>
                <w:bCs/>
                <w:sz w:val="18"/>
                <w:szCs w:val="18"/>
              </w:rPr>
              <w:t xml:space="preserve">13    </w:t>
            </w:r>
            <w:r>
              <w:rPr>
                <w:rFonts w:eastAsia="黑体"/>
                <w:bCs/>
                <w:sz w:val="18"/>
                <w:szCs w:val="18"/>
              </w:rPr>
              <w:t>本项目氯元素平衡表</w:t>
            </w:r>
          </w:p>
          <w:tbl>
            <w:tblPr>
              <w:tblStyle w:val="20"/>
              <w:tblW w:w="76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8"/>
              <w:gridCol w:w="1051"/>
              <w:gridCol w:w="1845"/>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 w:hRule="atLeast"/>
                <w:jc w:val="center"/>
              </w:trPr>
              <w:tc>
                <w:tcPr>
                  <w:tcW w:w="898" w:type="dxa"/>
                  <w:tcBorders>
                    <w:top w:val="single" w:color="auto" w:sz="4" w:space="0"/>
                    <w:left w:val="single" w:color="auto" w:sz="4" w:space="0"/>
                    <w:right w:val="single" w:color="auto" w:sz="4" w:space="0"/>
                  </w:tcBorders>
                  <w:vAlign w:val="center"/>
                </w:tcPr>
                <w:p>
                  <w:pPr>
                    <w:spacing w:line="300" w:lineRule="exact"/>
                    <w:jc w:val="center"/>
                    <w:rPr>
                      <w:b/>
                      <w:sz w:val="18"/>
                      <w:szCs w:val="18"/>
                    </w:rPr>
                  </w:pPr>
                  <w:r>
                    <w:rPr>
                      <w:b/>
                      <w:sz w:val="18"/>
                      <w:szCs w:val="18"/>
                    </w:rPr>
                    <w:t>序号</w:t>
                  </w:r>
                </w:p>
              </w:tc>
              <w:tc>
                <w:tcPr>
                  <w:tcW w:w="275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b/>
                      <w:sz w:val="18"/>
                      <w:szCs w:val="18"/>
                    </w:rPr>
                  </w:pPr>
                  <w:r>
                    <w:rPr>
                      <w:b/>
                      <w:sz w:val="18"/>
                      <w:szCs w:val="18"/>
                    </w:rPr>
                    <w:t>投入（t/a）</w:t>
                  </w:r>
                </w:p>
              </w:tc>
              <w:tc>
                <w:tcPr>
                  <w:tcW w:w="396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b/>
                      <w:sz w:val="18"/>
                      <w:szCs w:val="18"/>
                    </w:rPr>
                  </w:pPr>
                  <w:r>
                    <w:rPr>
                      <w:b/>
                      <w:sz w:val="18"/>
                      <w:szCs w:val="18"/>
                    </w:rPr>
                    <w:t>产出（t/a）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1</w:t>
                  </w:r>
                </w:p>
              </w:tc>
              <w:tc>
                <w:tcPr>
                  <w:tcW w:w="170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原料中总含</w:t>
                  </w:r>
                  <w:r>
                    <w:rPr>
                      <w:sz w:val="18"/>
                      <w:szCs w:val="18"/>
                    </w:rPr>
                    <w:t>Cl</w:t>
                  </w:r>
                  <w:r>
                    <w:rPr>
                      <w:rFonts w:hint="eastAsia"/>
                      <w:sz w:val="18"/>
                      <w:szCs w:val="18"/>
                    </w:rPr>
                    <w:t>量</w:t>
                  </w:r>
                </w:p>
              </w:tc>
              <w:tc>
                <w:tcPr>
                  <w:tcW w:w="105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4.5</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烧结砖固化</w:t>
                  </w:r>
                  <w:r>
                    <w:rPr>
                      <w:rFonts w:hint="eastAsia"/>
                      <w:sz w:val="18"/>
                      <w:szCs w:val="18"/>
                    </w:rPr>
                    <w:t>Cl</w:t>
                  </w:r>
                </w:p>
              </w:tc>
              <w:tc>
                <w:tcPr>
                  <w:tcW w:w="21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4.455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left="-53" w:leftChars="-25" w:right="-53" w:rightChars="-25" w:firstLine="0" w:firstLineChars="0"/>
                    <w:jc w:val="center"/>
                    <w:rPr>
                      <w:sz w:val="18"/>
                      <w:szCs w:val="18"/>
                    </w:rPr>
                  </w:pPr>
                  <w:r>
                    <w:rPr>
                      <w:sz w:val="18"/>
                      <w:szCs w:val="18"/>
                    </w:rPr>
                    <w:t>2</w:t>
                  </w:r>
                </w:p>
              </w:tc>
              <w:tc>
                <w:tcPr>
                  <w:tcW w:w="1708"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left="-53" w:leftChars="-25" w:right="-53" w:rightChars="-25" w:firstLine="0" w:firstLineChars="0"/>
                    <w:jc w:val="center"/>
                    <w:rPr>
                      <w:sz w:val="18"/>
                      <w:szCs w:val="18"/>
                    </w:rPr>
                  </w:pPr>
                  <w:r>
                    <w:rPr>
                      <w:sz w:val="18"/>
                      <w:szCs w:val="18"/>
                    </w:rPr>
                    <w:t>/</w:t>
                  </w:r>
                </w:p>
              </w:tc>
              <w:tc>
                <w:tcPr>
                  <w:tcW w:w="1051" w:type="dxa"/>
                  <w:tcBorders>
                    <w:top w:val="single" w:color="auto" w:sz="4" w:space="0"/>
                    <w:left w:val="single" w:color="auto" w:sz="4" w:space="0"/>
                    <w:bottom w:val="single" w:color="auto" w:sz="4" w:space="0"/>
                    <w:right w:val="single" w:color="auto" w:sz="4" w:space="0"/>
                  </w:tcBorders>
                </w:tcPr>
                <w:p>
                  <w:pPr>
                    <w:spacing w:line="300" w:lineRule="exact"/>
                    <w:jc w:val="center"/>
                    <w:rPr>
                      <w:sz w:val="18"/>
                      <w:szCs w:val="18"/>
                    </w:rPr>
                  </w:pPr>
                  <w:r>
                    <w:rPr>
                      <w:sz w:val="18"/>
                      <w:szCs w:val="18"/>
                    </w:rPr>
                    <w:t>/</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窑尾烟气排放C</w:t>
                  </w:r>
                  <w:r>
                    <w:rPr>
                      <w:rFonts w:hint="eastAsia"/>
                      <w:sz w:val="18"/>
                      <w:szCs w:val="18"/>
                    </w:rPr>
                    <w:t>l</w:t>
                  </w:r>
                </w:p>
              </w:tc>
              <w:tc>
                <w:tcPr>
                  <w:tcW w:w="21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0.045（HCL 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pPr>
                    <w:pStyle w:val="61"/>
                    <w:widowControl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sz w:val="18"/>
                      <w:szCs w:val="18"/>
                    </w:rPr>
                  </w:pPr>
                  <w:r>
                    <w:rPr>
                      <w:sz w:val="18"/>
                      <w:szCs w:val="18"/>
                    </w:rPr>
                    <w:t>合计</w:t>
                  </w:r>
                </w:p>
              </w:tc>
              <w:tc>
                <w:tcPr>
                  <w:tcW w:w="1708" w:type="dxa"/>
                  <w:tcBorders>
                    <w:top w:val="single" w:color="auto" w:sz="4" w:space="0"/>
                    <w:left w:val="single" w:color="auto" w:sz="4" w:space="0"/>
                    <w:bottom w:val="single" w:color="auto" w:sz="4" w:space="0"/>
                    <w:right w:val="single" w:color="auto" w:sz="4" w:space="0"/>
                  </w:tcBorders>
                  <w:vAlign w:val="center"/>
                </w:tcPr>
                <w:p>
                  <w:pPr>
                    <w:pStyle w:val="61"/>
                    <w:widowControl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kern w:val="2"/>
                      <w:sz w:val="18"/>
                      <w:szCs w:val="18"/>
                    </w:rPr>
                  </w:pPr>
                </w:p>
              </w:tc>
              <w:tc>
                <w:tcPr>
                  <w:tcW w:w="105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4.5</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w:t>
                  </w:r>
                </w:p>
              </w:tc>
              <w:tc>
                <w:tcPr>
                  <w:tcW w:w="21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4.5</w:t>
                  </w:r>
                </w:p>
              </w:tc>
            </w:tr>
          </w:tbl>
          <w:p>
            <w:pPr>
              <w:autoSpaceDE w:val="0"/>
              <w:autoSpaceDN w:val="0"/>
              <w:adjustRightInd w:val="0"/>
              <w:snapToGrid w:val="0"/>
              <w:spacing w:line="400" w:lineRule="exact"/>
              <w:ind w:firstLine="420" w:firstLineChars="200"/>
              <w:jc w:val="left"/>
              <w:rPr>
                <w:rFonts w:eastAsia="黑体"/>
                <w:kern w:val="0"/>
                <w:szCs w:val="21"/>
              </w:rPr>
            </w:pPr>
            <w:r>
              <w:rPr>
                <w:rFonts w:eastAsia="黑体"/>
                <w:kern w:val="0"/>
                <w:szCs w:val="21"/>
              </w:rPr>
              <w:t>（</w:t>
            </w:r>
            <w:r>
              <w:rPr>
                <w:rFonts w:hint="eastAsia" w:eastAsia="黑体"/>
                <w:kern w:val="0"/>
                <w:szCs w:val="21"/>
              </w:rPr>
              <w:t>4</w:t>
            </w:r>
            <w:r>
              <w:rPr>
                <w:rFonts w:eastAsia="黑体"/>
                <w:kern w:val="0"/>
                <w:szCs w:val="21"/>
              </w:rPr>
              <w:t>）氟平衡分析</w:t>
            </w:r>
          </w:p>
          <w:p>
            <w:pPr>
              <w:spacing w:line="400" w:lineRule="exact"/>
              <w:ind w:firstLine="420" w:firstLineChars="200"/>
              <w:jc w:val="left"/>
            </w:pPr>
            <w:r>
              <w:rPr>
                <w:rFonts w:hint="eastAsia"/>
              </w:rPr>
              <w:t>根据《烧结砖制品生产中氟的逸出特性》(杨林军、张允湘，2001年）等相关研究表明，制砖过程中氟主要存在于黏土矿物中，氟元素在高温烧结的情况下易转化为气态氟化物，主要以气态HF为主。</w:t>
            </w:r>
          </w:p>
          <w:p>
            <w:pPr>
              <w:spacing w:line="400" w:lineRule="exact"/>
              <w:ind w:firstLine="420" w:firstLineChars="200"/>
              <w:jc w:val="left"/>
            </w:pPr>
            <w:r>
              <w:rPr>
                <w:rFonts w:hint="eastAsia"/>
              </w:rPr>
              <w:t>根据经验数据，黏土矿物中氟元素含量为0.001%，项目年使用建筑渣土20700t/a，则氟化物含量为0.207t/a。</w:t>
            </w:r>
            <w:r>
              <w:t>根</w:t>
            </w:r>
            <w:r>
              <w:rPr>
                <w:spacing w:val="-2"/>
              </w:rPr>
              <w:t>据《大气环境工程师实用手册》的污染物排放系数其溢出量约为黏土含氟量的</w:t>
            </w:r>
            <w:r>
              <w:rPr>
                <w:rFonts w:hint="eastAsia"/>
              </w:rPr>
              <w:t>3</w:t>
            </w:r>
            <w:r>
              <w:t>0%~90%。本环评取50%，</w:t>
            </w:r>
            <w:r>
              <w:rPr>
                <w:rFonts w:hint="eastAsia"/>
              </w:rPr>
              <w:t>则黏土矿物中氟化物的溢出量约0.104t/a。</w:t>
            </w:r>
          </w:p>
          <w:p>
            <w:pPr>
              <w:spacing w:line="400" w:lineRule="exact"/>
              <w:ind w:firstLine="420" w:firstLineChars="200"/>
              <w:jc w:val="left"/>
            </w:pPr>
            <w:r>
              <w:rPr>
                <w:rFonts w:hint="eastAsia"/>
              </w:rPr>
              <w:t>根据建设单位提供的污泥检测报告，污泥中无机氟化物含量为15.4mg/L，则污泥中氟化物含量为0.046t/a。氟化物释放率取50%，则氟化物溢出量为0.023t/a。</w:t>
            </w:r>
          </w:p>
          <w:p>
            <w:pPr>
              <w:spacing w:line="400" w:lineRule="exact"/>
              <w:ind w:firstLine="420" w:firstLineChars="200"/>
              <w:jc w:val="left"/>
            </w:pPr>
            <w:r>
              <w:rPr>
                <w:rFonts w:hint="eastAsia"/>
              </w:rPr>
              <w:t>因此，项目物料中氟化物总带入量为0.253t/a，溢出量为0.127t/a。</w:t>
            </w:r>
            <w:r>
              <w:t>焙烧烟气中的氟化物主要以HF为主，经</w:t>
            </w:r>
            <w:r>
              <w:rPr>
                <w:rFonts w:hint="eastAsia"/>
              </w:rPr>
              <w:t>湿法脱硫除尘系统的处理效率按60%计，则氟化物排放量约0.051t/a。</w:t>
            </w:r>
          </w:p>
          <w:p>
            <w:pPr>
              <w:spacing w:line="400" w:lineRule="exact"/>
              <w:ind w:left="55" w:leftChars="26" w:right="55" w:rightChars="26"/>
              <w:jc w:val="center"/>
              <w:rPr>
                <w:rFonts w:eastAsia="黑体"/>
                <w:bCs/>
                <w:sz w:val="18"/>
                <w:szCs w:val="18"/>
              </w:rPr>
            </w:pPr>
            <w:r>
              <w:rPr>
                <w:rFonts w:eastAsia="黑体"/>
                <w:bCs/>
                <w:sz w:val="18"/>
                <w:szCs w:val="18"/>
              </w:rPr>
              <w:t>表2-1</w:t>
            </w:r>
            <w:r>
              <w:rPr>
                <w:rFonts w:hint="eastAsia" w:eastAsia="黑体"/>
                <w:bCs/>
                <w:sz w:val="18"/>
                <w:szCs w:val="18"/>
              </w:rPr>
              <w:t xml:space="preserve">4    </w:t>
            </w:r>
            <w:r>
              <w:rPr>
                <w:rFonts w:eastAsia="黑体"/>
                <w:bCs/>
                <w:sz w:val="18"/>
                <w:szCs w:val="18"/>
              </w:rPr>
              <w:t>本项目氟平衡表</w:t>
            </w:r>
          </w:p>
          <w:tbl>
            <w:tblPr>
              <w:tblStyle w:val="20"/>
              <w:tblW w:w="78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888"/>
              <w:gridCol w:w="1276"/>
              <w:gridCol w:w="2126"/>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jc w:val="center"/>
              </w:trPr>
              <w:tc>
                <w:tcPr>
                  <w:tcW w:w="932" w:type="dxa"/>
                  <w:tcBorders>
                    <w:top w:val="single" w:color="auto" w:sz="4" w:space="0"/>
                    <w:left w:val="single" w:color="auto" w:sz="4" w:space="0"/>
                    <w:right w:val="single" w:color="auto" w:sz="4" w:space="0"/>
                  </w:tcBorders>
                  <w:vAlign w:val="center"/>
                </w:tcPr>
                <w:p>
                  <w:pPr>
                    <w:spacing w:line="300" w:lineRule="exact"/>
                    <w:jc w:val="center"/>
                    <w:rPr>
                      <w:b/>
                      <w:sz w:val="18"/>
                      <w:szCs w:val="18"/>
                    </w:rPr>
                  </w:pPr>
                  <w:r>
                    <w:rPr>
                      <w:b/>
                      <w:sz w:val="18"/>
                      <w:szCs w:val="18"/>
                    </w:rPr>
                    <w:t>序号</w:t>
                  </w:r>
                </w:p>
              </w:tc>
              <w:tc>
                <w:tcPr>
                  <w:tcW w:w="316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b/>
                      <w:sz w:val="18"/>
                      <w:szCs w:val="18"/>
                    </w:rPr>
                  </w:pPr>
                  <w:r>
                    <w:rPr>
                      <w:b/>
                      <w:sz w:val="18"/>
                      <w:szCs w:val="18"/>
                    </w:rPr>
                    <w:t>投入（t/a）</w:t>
                  </w:r>
                </w:p>
              </w:tc>
              <w:tc>
                <w:tcPr>
                  <w:tcW w:w="3733"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b/>
                      <w:sz w:val="18"/>
                      <w:szCs w:val="18"/>
                    </w:rPr>
                  </w:pPr>
                  <w:r>
                    <w:rPr>
                      <w:b/>
                      <w:sz w:val="18"/>
                      <w:szCs w:val="18"/>
                    </w:rPr>
                    <w:t>产出（t/a）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jc w:val="center"/>
              </w:trPr>
              <w:tc>
                <w:tcPr>
                  <w:tcW w:w="93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1</w:t>
                  </w:r>
                </w:p>
              </w:tc>
              <w:tc>
                <w:tcPr>
                  <w:tcW w:w="188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原料中的总含氟化物</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0.253</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烧结砖中固化的HF</w:t>
                  </w:r>
                </w:p>
              </w:tc>
              <w:tc>
                <w:tcPr>
                  <w:tcW w:w="160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jc w:val="center"/>
              </w:trPr>
              <w:tc>
                <w:tcPr>
                  <w:tcW w:w="93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2</w:t>
                  </w:r>
                </w:p>
              </w:tc>
              <w:tc>
                <w:tcPr>
                  <w:tcW w:w="188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脱硫废渣中的氟</w:t>
                  </w:r>
                </w:p>
              </w:tc>
              <w:tc>
                <w:tcPr>
                  <w:tcW w:w="160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jc w:val="center"/>
              </w:trPr>
              <w:tc>
                <w:tcPr>
                  <w:tcW w:w="93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left="-53" w:leftChars="-25" w:right="-53" w:rightChars="-25" w:firstLine="0" w:firstLineChars="0"/>
                    <w:jc w:val="center"/>
                    <w:rPr>
                      <w:sz w:val="18"/>
                      <w:szCs w:val="18"/>
                    </w:rPr>
                  </w:pPr>
                  <w:r>
                    <w:rPr>
                      <w:rFonts w:hint="eastAsia"/>
                      <w:sz w:val="18"/>
                      <w:szCs w:val="18"/>
                    </w:rPr>
                    <w:t>3</w:t>
                  </w:r>
                </w:p>
              </w:tc>
              <w:tc>
                <w:tcPr>
                  <w:tcW w:w="1888"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left="-53" w:leftChars="-25" w:right="-53" w:rightChars="-25" w:firstLine="0" w:firstLineChars="0"/>
                    <w:jc w:val="center"/>
                    <w:rPr>
                      <w:sz w:val="18"/>
                      <w:szCs w:val="18"/>
                    </w:rPr>
                  </w:pPr>
                  <w:r>
                    <w:rPr>
                      <w:sz w:val="18"/>
                      <w:szCs w:val="18"/>
                    </w:rPr>
                    <w:t>/</w:t>
                  </w:r>
                </w:p>
              </w:tc>
              <w:tc>
                <w:tcPr>
                  <w:tcW w:w="1276" w:type="dxa"/>
                  <w:tcBorders>
                    <w:top w:val="single" w:color="auto" w:sz="4" w:space="0"/>
                    <w:left w:val="single" w:color="auto" w:sz="4" w:space="0"/>
                    <w:bottom w:val="single" w:color="auto" w:sz="4" w:space="0"/>
                    <w:right w:val="single" w:color="auto" w:sz="4" w:space="0"/>
                  </w:tcBorders>
                </w:tcPr>
                <w:p>
                  <w:pPr>
                    <w:spacing w:line="300" w:lineRule="exact"/>
                    <w:jc w:val="center"/>
                    <w:rPr>
                      <w:sz w:val="18"/>
                      <w:szCs w:val="18"/>
                    </w:rPr>
                  </w:pPr>
                  <w:r>
                    <w:rPr>
                      <w:sz w:val="18"/>
                      <w:szCs w:val="18"/>
                    </w:rPr>
                    <w:t>/</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焙烧烟气中的HF</w:t>
                  </w:r>
                </w:p>
              </w:tc>
              <w:tc>
                <w:tcPr>
                  <w:tcW w:w="160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jc w:val="center"/>
              </w:trPr>
              <w:tc>
                <w:tcPr>
                  <w:tcW w:w="932" w:type="dxa"/>
                  <w:tcBorders>
                    <w:top w:val="single" w:color="auto" w:sz="4" w:space="0"/>
                    <w:left w:val="single" w:color="auto" w:sz="4" w:space="0"/>
                    <w:bottom w:val="single" w:color="auto" w:sz="4" w:space="0"/>
                    <w:right w:val="single" w:color="auto" w:sz="4" w:space="0"/>
                  </w:tcBorders>
                  <w:vAlign w:val="center"/>
                </w:tcPr>
                <w:p>
                  <w:pPr>
                    <w:pStyle w:val="61"/>
                    <w:widowControl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sz w:val="18"/>
                      <w:szCs w:val="18"/>
                    </w:rPr>
                  </w:pPr>
                  <w:r>
                    <w:rPr>
                      <w:sz w:val="18"/>
                      <w:szCs w:val="18"/>
                    </w:rPr>
                    <w:t>合计</w:t>
                  </w:r>
                </w:p>
              </w:tc>
              <w:tc>
                <w:tcPr>
                  <w:tcW w:w="1888" w:type="dxa"/>
                  <w:tcBorders>
                    <w:top w:val="single" w:color="auto" w:sz="4" w:space="0"/>
                    <w:left w:val="single" w:color="auto" w:sz="4" w:space="0"/>
                    <w:bottom w:val="single" w:color="auto" w:sz="4" w:space="0"/>
                    <w:right w:val="single" w:color="auto" w:sz="4" w:space="0"/>
                  </w:tcBorders>
                  <w:vAlign w:val="center"/>
                </w:tcPr>
                <w:p>
                  <w:pPr>
                    <w:pStyle w:val="61"/>
                    <w:widowControl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kern w:val="2"/>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0.253</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p>
              </w:tc>
              <w:tc>
                <w:tcPr>
                  <w:tcW w:w="160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0.253</w:t>
                  </w:r>
                </w:p>
              </w:tc>
            </w:tr>
          </w:tbl>
          <w:p>
            <w:pPr>
              <w:spacing w:line="400" w:lineRule="exact"/>
              <w:ind w:firstLine="422" w:firstLineChars="200"/>
              <w:jc w:val="left"/>
              <w:rPr>
                <w:b/>
                <w:bCs/>
                <w:szCs w:val="21"/>
              </w:rPr>
            </w:pPr>
            <w:r>
              <w:rPr>
                <w:rFonts w:hint="eastAsia"/>
                <w:b/>
                <w:bCs/>
                <w:szCs w:val="21"/>
              </w:rPr>
              <w:t>（5）重金属平衡</w:t>
            </w:r>
          </w:p>
          <w:p>
            <w:pPr>
              <w:spacing w:line="400" w:lineRule="exact"/>
              <w:ind w:firstLine="420" w:firstLineChars="200"/>
              <w:rPr>
                <w:bCs/>
                <w:szCs w:val="21"/>
              </w:rPr>
            </w:pPr>
            <w:r>
              <w:rPr>
                <w:rFonts w:hint="eastAsia"/>
                <w:bCs/>
                <w:szCs w:val="21"/>
              </w:rPr>
              <w:t>本项目制砖系统的重金属元素主要由污泥带入。</w:t>
            </w:r>
          </w:p>
          <w:p>
            <w:pPr>
              <w:spacing w:line="400" w:lineRule="exact"/>
              <w:ind w:firstLine="420" w:firstLineChars="200"/>
              <w:rPr>
                <w:rFonts w:eastAsiaTheme="minorEastAsia"/>
              </w:rPr>
            </w:pPr>
            <w:r>
              <w:rPr>
                <w:rFonts w:hint="eastAsia"/>
                <w:bCs/>
                <w:szCs w:val="21"/>
              </w:rPr>
              <w:t>根据污泥成分分析报告，污泥中的重金属主要有</w:t>
            </w:r>
            <w:r>
              <w:rPr>
                <w:bCs/>
                <w:szCs w:val="21"/>
              </w:rPr>
              <w:t>Cd</w:t>
            </w:r>
            <w:r>
              <w:rPr>
                <w:rFonts w:hint="eastAsia"/>
                <w:bCs/>
                <w:szCs w:val="21"/>
              </w:rPr>
              <w:t>、</w:t>
            </w:r>
            <w:r>
              <w:rPr>
                <w:bCs/>
                <w:szCs w:val="21"/>
              </w:rPr>
              <w:t>Pb</w:t>
            </w:r>
            <w:r>
              <w:rPr>
                <w:rFonts w:hint="eastAsia"/>
                <w:bCs/>
                <w:szCs w:val="21"/>
              </w:rPr>
              <w:t>、</w:t>
            </w:r>
            <w:r>
              <w:rPr>
                <w:bCs/>
                <w:szCs w:val="21"/>
              </w:rPr>
              <w:t>As</w:t>
            </w:r>
            <w:r>
              <w:rPr>
                <w:rFonts w:hint="eastAsia"/>
                <w:bCs/>
                <w:szCs w:val="21"/>
              </w:rPr>
              <w:t>、</w:t>
            </w:r>
            <w:r>
              <w:rPr>
                <w:bCs/>
                <w:szCs w:val="21"/>
              </w:rPr>
              <w:t>Hg</w:t>
            </w:r>
            <w:r>
              <w:rPr>
                <w:rFonts w:hint="eastAsia"/>
                <w:bCs/>
                <w:szCs w:val="21"/>
              </w:rPr>
              <w:t>、</w:t>
            </w:r>
            <w:r>
              <w:rPr>
                <w:bCs/>
                <w:szCs w:val="21"/>
              </w:rPr>
              <w:t>Cr</w:t>
            </w:r>
            <w:r>
              <w:rPr>
                <w:rFonts w:hint="eastAsia"/>
                <w:bCs/>
                <w:szCs w:val="21"/>
              </w:rPr>
              <w:t>、</w:t>
            </w:r>
            <w:r>
              <w:rPr>
                <w:bCs/>
                <w:szCs w:val="21"/>
              </w:rPr>
              <w:t>Cu</w:t>
            </w:r>
            <w:r>
              <w:rPr>
                <w:rFonts w:hint="eastAsia"/>
                <w:bCs/>
                <w:szCs w:val="21"/>
              </w:rPr>
              <w:t>、</w:t>
            </w:r>
            <w:r>
              <w:rPr>
                <w:bCs/>
                <w:szCs w:val="21"/>
              </w:rPr>
              <w:t>Zn</w:t>
            </w:r>
            <w:r>
              <w:rPr>
                <w:rFonts w:hint="eastAsia"/>
                <w:bCs/>
                <w:szCs w:val="21"/>
              </w:rPr>
              <w:t>、</w:t>
            </w:r>
            <w:r>
              <w:rPr>
                <w:bCs/>
                <w:szCs w:val="21"/>
              </w:rPr>
              <w:t>Ni</w:t>
            </w:r>
            <w:r>
              <w:rPr>
                <w:rFonts w:hint="eastAsia"/>
                <w:bCs/>
                <w:szCs w:val="21"/>
              </w:rPr>
              <w:t>等种类。参考《</w:t>
            </w:r>
            <w:r>
              <w:fldChar w:fldCharType="begin"/>
            </w:r>
            <w:r>
              <w:instrText xml:space="preserve"> HYPERLINK "https://www.mee.gov.cn/ywgz/fgbz/bz/bzwb/gthw/qtxgbz/201401/W020140107588398961387.pdf" </w:instrText>
            </w:r>
            <w:r>
              <w:fldChar w:fldCharType="separate"/>
            </w:r>
            <w:r>
              <w:rPr>
                <w:rFonts w:hint="eastAsia"/>
                <w:bCs/>
                <w:szCs w:val="21"/>
              </w:rPr>
              <w:t>水泥窑协同处置固体废物环境保护技术规范</w:t>
            </w:r>
            <w:r>
              <w:rPr>
                <w:rFonts w:hint="eastAsia"/>
                <w:bCs/>
                <w:szCs w:val="21"/>
              </w:rPr>
              <w:fldChar w:fldCharType="end"/>
            </w:r>
            <w:r>
              <w:rPr>
                <w:rFonts w:hint="eastAsia"/>
                <w:bCs/>
                <w:szCs w:val="21"/>
              </w:rPr>
              <w:t>》(HJ 662-2013)、</w:t>
            </w:r>
            <w:r>
              <w:rPr>
                <w:bCs/>
                <w:szCs w:val="21"/>
              </w:rPr>
              <w:t>《</w:t>
            </w:r>
            <w:r>
              <w:rPr>
                <w:rFonts w:eastAsiaTheme="minorEastAsia"/>
              </w:rPr>
              <w:t>水泥窑协同处置固体废物环境保护技术规范编制说明》中重金属的挥发特性，将重金属分为4类等级。</w:t>
            </w:r>
          </w:p>
          <w:p>
            <w:pPr>
              <w:spacing w:line="400" w:lineRule="exact"/>
              <w:jc w:val="center"/>
              <w:rPr>
                <w:rFonts w:eastAsia="黑体"/>
                <w:bCs/>
                <w:sz w:val="18"/>
                <w:szCs w:val="18"/>
              </w:rPr>
            </w:pPr>
          </w:p>
          <w:p>
            <w:pPr>
              <w:spacing w:line="400" w:lineRule="exact"/>
              <w:jc w:val="center"/>
              <w:rPr>
                <w:rFonts w:eastAsia="黑体"/>
                <w:bCs/>
                <w:sz w:val="18"/>
                <w:szCs w:val="18"/>
              </w:rPr>
            </w:pPr>
          </w:p>
          <w:p>
            <w:pPr>
              <w:spacing w:line="400" w:lineRule="exact"/>
              <w:jc w:val="center"/>
              <w:rPr>
                <w:rFonts w:eastAsia="黑体"/>
                <w:bCs/>
                <w:sz w:val="18"/>
                <w:szCs w:val="18"/>
              </w:rPr>
            </w:pPr>
          </w:p>
          <w:p>
            <w:pPr>
              <w:spacing w:line="400" w:lineRule="exact"/>
              <w:jc w:val="center"/>
              <w:rPr>
                <w:rFonts w:eastAsia="黑体"/>
                <w:bCs/>
                <w:sz w:val="18"/>
                <w:szCs w:val="18"/>
              </w:rPr>
            </w:pPr>
          </w:p>
          <w:p>
            <w:pPr>
              <w:spacing w:line="400" w:lineRule="exact"/>
              <w:jc w:val="center"/>
              <w:rPr>
                <w:rFonts w:eastAsia="黑体"/>
                <w:bCs/>
                <w:sz w:val="18"/>
                <w:szCs w:val="18"/>
              </w:rPr>
            </w:pPr>
            <w:r>
              <w:rPr>
                <w:rFonts w:eastAsia="黑体"/>
                <w:bCs/>
                <w:sz w:val="18"/>
                <w:szCs w:val="18"/>
              </w:rPr>
              <w:t>表2-1</w:t>
            </w:r>
            <w:r>
              <w:rPr>
                <w:rFonts w:hint="eastAsia" w:eastAsia="黑体"/>
                <w:bCs/>
                <w:sz w:val="18"/>
                <w:szCs w:val="18"/>
              </w:rPr>
              <w:t xml:space="preserve">5   </w:t>
            </w:r>
            <w:r>
              <w:rPr>
                <w:rFonts w:eastAsia="黑体"/>
                <w:bCs/>
                <w:sz w:val="18"/>
                <w:szCs w:val="18"/>
              </w:rPr>
              <w:t>微量元素在水泥窑中的挥发等级</w:t>
            </w:r>
          </w:p>
          <w:tbl>
            <w:tblPr>
              <w:tblStyle w:val="20"/>
              <w:tblW w:w="78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4554"/>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14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
                      <w:sz w:val="18"/>
                      <w:szCs w:val="18"/>
                    </w:rPr>
                  </w:pPr>
                  <w:r>
                    <w:rPr>
                      <w:b/>
                      <w:sz w:val="18"/>
                      <w:szCs w:val="18"/>
                    </w:rPr>
                    <w:t>等级</w:t>
                  </w:r>
                </w:p>
              </w:tc>
              <w:tc>
                <w:tcPr>
                  <w:tcW w:w="45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
                      <w:sz w:val="18"/>
                      <w:szCs w:val="18"/>
                    </w:rPr>
                  </w:pPr>
                  <w:r>
                    <w:rPr>
                      <w:b/>
                      <w:sz w:val="18"/>
                      <w:szCs w:val="18"/>
                    </w:rPr>
                    <w:t>元素</w:t>
                  </w:r>
                </w:p>
              </w:tc>
              <w:tc>
                <w:tcPr>
                  <w:tcW w:w="17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
                      <w:sz w:val="18"/>
                      <w:szCs w:val="18"/>
                    </w:rPr>
                  </w:pPr>
                  <w:r>
                    <w:rPr>
                      <w:b/>
                      <w:sz w:val="18"/>
                      <w:szCs w:val="18"/>
                    </w:rPr>
                    <w:t>冷凝温度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14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Cs/>
                      <w:sz w:val="18"/>
                      <w:szCs w:val="18"/>
                    </w:rPr>
                  </w:pPr>
                  <w:r>
                    <w:rPr>
                      <w:bCs/>
                      <w:sz w:val="18"/>
                      <w:szCs w:val="18"/>
                    </w:rPr>
                    <w:t>不挥发</w:t>
                  </w:r>
                </w:p>
              </w:tc>
              <w:tc>
                <w:tcPr>
                  <w:tcW w:w="45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Cs/>
                      <w:sz w:val="18"/>
                      <w:szCs w:val="18"/>
                    </w:rPr>
                  </w:pPr>
                  <w:r>
                    <w:rPr>
                      <w:bCs/>
                      <w:sz w:val="18"/>
                      <w:szCs w:val="18"/>
                    </w:rPr>
                    <w:t>Ba、Be、Cr、Ni、V、Al、Ti、Ca、Fe、Mn、Cu、Ag</w:t>
                  </w:r>
                </w:p>
              </w:tc>
              <w:tc>
                <w:tcPr>
                  <w:tcW w:w="17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Cs/>
                      <w:sz w:val="18"/>
                      <w:szCs w:val="18"/>
                    </w:rPr>
                  </w:pPr>
                  <w:r>
                    <w:rPr>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14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Cs/>
                      <w:sz w:val="18"/>
                      <w:szCs w:val="18"/>
                    </w:rPr>
                  </w:pPr>
                  <w:r>
                    <w:rPr>
                      <w:bCs/>
                      <w:sz w:val="18"/>
                      <w:szCs w:val="18"/>
                    </w:rPr>
                    <w:t>半挥发</w:t>
                  </w:r>
                </w:p>
              </w:tc>
              <w:tc>
                <w:tcPr>
                  <w:tcW w:w="45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Cs/>
                      <w:sz w:val="18"/>
                      <w:szCs w:val="18"/>
                    </w:rPr>
                  </w:pPr>
                  <w:r>
                    <w:rPr>
                      <w:bCs/>
                      <w:sz w:val="18"/>
                      <w:szCs w:val="18"/>
                    </w:rPr>
                    <w:t>As、Sb、Cd、Pb、Se、Zn、K、Na</w:t>
                  </w:r>
                </w:p>
              </w:tc>
              <w:tc>
                <w:tcPr>
                  <w:tcW w:w="17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Cs/>
                      <w:sz w:val="18"/>
                      <w:szCs w:val="18"/>
                    </w:rPr>
                  </w:pPr>
                  <w:r>
                    <w:rPr>
                      <w:bCs/>
                      <w:sz w:val="18"/>
                      <w:szCs w:val="18"/>
                    </w:rPr>
                    <w:t>700~900℃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14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Cs/>
                      <w:sz w:val="18"/>
                      <w:szCs w:val="18"/>
                    </w:rPr>
                  </w:pPr>
                  <w:r>
                    <w:rPr>
                      <w:bCs/>
                      <w:sz w:val="18"/>
                      <w:szCs w:val="18"/>
                    </w:rPr>
                    <w:t>易挥发</w:t>
                  </w:r>
                </w:p>
              </w:tc>
              <w:tc>
                <w:tcPr>
                  <w:tcW w:w="45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Cs/>
                      <w:sz w:val="18"/>
                      <w:szCs w:val="18"/>
                    </w:rPr>
                  </w:pPr>
                  <w:r>
                    <w:rPr>
                      <w:bCs/>
                      <w:sz w:val="18"/>
                      <w:szCs w:val="18"/>
                    </w:rPr>
                    <w:t>Tl</w:t>
                  </w:r>
                </w:p>
              </w:tc>
              <w:tc>
                <w:tcPr>
                  <w:tcW w:w="17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Cs/>
                      <w:sz w:val="18"/>
                      <w:szCs w:val="18"/>
                    </w:rPr>
                  </w:pPr>
                  <w:r>
                    <w:rPr>
                      <w:bCs/>
                      <w:sz w:val="18"/>
                      <w:szCs w:val="18"/>
                    </w:rPr>
                    <w:t>450~550℃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14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Cs/>
                      <w:sz w:val="18"/>
                      <w:szCs w:val="18"/>
                    </w:rPr>
                  </w:pPr>
                  <w:r>
                    <w:rPr>
                      <w:bCs/>
                      <w:sz w:val="18"/>
                      <w:szCs w:val="18"/>
                    </w:rPr>
                    <w:t>高挥发</w:t>
                  </w:r>
                </w:p>
              </w:tc>
              <w:tc>
                <w:tcPr>
                  <w:tcW w:w="45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Cs/>
                      <w:sz w:val="18"/>
                      <w:szCs w:val="18"/>
                    </w:rPr>
                  </w:pPr>
                  <w:r>
                    <w:rPr>
                      <w:bCs/>
                      <w:sz w:val="18"/>
                      <w:szCs w:val="18"/>
                    </w:rPr>
                    <w:t>Hg</w:t>
                  </w:r>
                </w:p>
              </w:tc>
              <w:tc>
                <w:tcPr>
                  <w:tcW w:w="17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Cs/>
                      <w:sz w:val="18"/>
                      <w:szCs w:val="18"/>
                    </w:rPr>
                  </w:pPr>
                  <w:r>
                    <w:rPr>
                      <w:bCs/>
                      <w:sz w:val="18"/>
                      <w:szCs w:val="18"/>
                    </w:rPr>
                    <w:t>＜</w:t>
                  </w:r>
                  <w:r>
                    <w:rPr>
                      <w:bCs/>
                      <w:sz w:val="18"/>
                      <w:szCs w:val="18"/>
                    </w:rPr>
                    <w:cr/>
                  </w:r>
                  <w:r>
                    <w:rPr>
                      <w:bCs/>
                      <w:sz w:val="18"/>
                      <w:szCs w:val="18"/>
                    </w:rPr>
                    <w:t>50℃</w:t>
                  </w:r>
                </w:p>
              </w:tc>
            </w:tr>
          </w:tbl>
          <w:p>
            <w:pPr>
              <w:spacing w:line="400" w:lineRule="exact"/>
              <w:ind w:firstLine="420" w:firstLineChars="200"/>
              <w:rPr>
                <w:rFonts w:eastAsiaTheme="minorEastAsia"/>
              </w:rPr>
            </w:pPr>
            <w:r>
              <w:rPr>
                <w:rFonts w:eastAsiaTheme="minorEastAsia"/>
              </w:rPr>
              <w:t>不挥发类元素如Ni、Co、Mn等99.9%以上直接进入到产品中；半挥发类元素在隧道窑内形成内循环，最终几乎全部进入产品，随烟气带入带出窑系统外的量很少；易挥发元素Tl在隧道窑内循环，一般不带入产品，随烟气排放的量少，但随内外循环的积累，随净化后烟气排放的Tl逐渐升高；高挥发元素Hg，主要是凝结在窑灰上或随烟气带走形成外循环和排放，不带入产品。</w:t>
            </w:r>
          </w:p>
          <w:p>
            <w:pPr>
              <w:spacing w:line="400" w:lineRule="exact"/>
              <w:ind w:firstLine="420" w:firstLineChars="200"/>
              <w:rPr>
                <w:rFonts w:eastAsiaTheme="minorEastAsia"/>
              </w:rPr>
            </w:pPr>
            <w:r>
              <w:rPr>
                <w:rFonts w:eastAsiaTheme="minorEastAsia"/>
              </w:rPr>
              <w:t>本次环评参考上述规范，重金属中高挥发性金属Hg取90%的挥发率，半挥发性金属As、</w:t>
            </w:r>
            <w:r>
              <w:rPr>
                <w:rFonts w:hint="eastAsia" w:eastAsiaTheme="minorEastAsia"/>
              </w:rPr>
              <w:t>Zn</w:t>
            </w:r>
            <w:r>
              <w:rPr>
                <w:rFonts w:eastAsiaTheme="minorEastAsia"/>
              </w:rPr>
              <w:t>、Cd、Pb取10%挥发率，不挥发金属如Cr、Cu、Ni等取1%挥发率。</w:t>
            </w:r>
          </w:p>
          <w:p>
            <w:pPr>
              <w:spacing w:line="400" w:lineRule="exact"/>
              <w:ind w:firstLine="420" w:firstLineChars="200"/>
              <w:jc w:val="left"/>
            </w:pPr>
            <w:r>
              <w:t>烟气中Hg主要以蒸汽形式存在，只有少量部分为固态，经</w:t>
            </w:r>
            <w:r>
              <w:rPr>
                <w:rFonts w:hint="eastAsia"/>
              </w:rPr>
              <w:t>脱硫塔</w:t>
            </w:r>
            <w:r>
              <w:t>喷淋塔处理后约10%进入脱硫废渣返回生产线做原料，其余随尾气排放。其他金属元素主要以氧化物或金属烟尘形式存在，经</w:t>
            </w:r>
            <w:r>
              <w:rPr>
                <w:rFonts w:hint="eastAsia"/>
              </w:rPr>
              <w:t>脱硫塔</w:t>
            </w:r>
            <w:r>
              <w:t>喷淋塔处理后，约</w:t>
            </w:r>
            <w:r>
              <w:rPr>
                <w:rFonts w:hint="eastAsia"/>
              </w:rPr>
              <w:t>85</w:t>
            </w:r>
            <w:r>
              <w:t>%进入脱硫废渣，剩余少量烟尘随尾气排放。本次环评保守估计，Hg元素约 90%进入砖窑烟气，其他金属元素按</w:t>
            </w:r>
            <w:r>
              <w:rPr>
                <w:rFonts w:hint="eastAsia"/>
              </w:rPr>
              <w:t>15</w:t>
            </w:r>
            <w:r>
              <w:t>%计。</w:t>
            </w:r>
          </w:p>
          <w:p>
            <w:pPr>
              <w:spacing w:line="400" w:lineRule="exact"/>
              <w:ind w:firstLine="420" w:firstLineChars="200"/>
              <w:rPr>
                <w:rFonts w:eastAsiaTheme="minorEastAsia"/>
              </w:rPr>
            </w:pPr>
            <w:r>
              <w:rPr>
                <w:rFonts w:hint="eastAsia"/>
              </w:rPr>
              <w:t>重金属物料平衡</w:t>
            </w:r>
            <w:r>
              <w:t>见下表。</w:t>
            </w:r>
          </w:p>
          <w:p>
            <w:pPr>
              <w:spacing w:line="400" w:lineRule="exact"/>
              <w:ind w:left="55" w:leftChars="26" w:right="55" w:rightChars="26"/>
              <w:jc w:val="center"/>
              <w:rPr>
                <w:rFonts w:eastAsia="黑体"/>
                <w:bCs/>
                <w:sz w:val="18"/>
                <w:szCs w:val="18"/>
              </w:rPr>
            </w:pPr>
            <w:r>
              <w:rPr>
                <w:rFonts w:eastAsia="黑体"/>
                <w:bCs/>
                <w:sz w:val="18"/>
                <w:szCs w:val="18"/>
              </w:rPr>
              <w:t>表2-1</w:t>
            </w:r>
            <w:r>
              <w:rPr>
                <w:rFonts w:hint="eastAsia" w:eastAsia="黑体"/>
                <w:bCs/>
                <w:sz w:val="18"/>
                <w:szCs w:val="18"/>
              </w:rPr>
              <w:t xml:space="preserve">6    </w:t>
            </w:r>
            <w:r>
              <w:rPr>
                <w:rFonts w:eastAsia="黑体"/>
                <w:bCs/>
                <w:sz w:val="18"/>
                <w:szCs w:val="18"/>
              </w:rPr>
              <w:t>本项目重金属平衡表</w:t>
            </w:r>
          </w:p>
          <w:tbl>
            <w:tblPr>
              <w:tblStyle w:val="20"/>
              <w:tblW w:w="74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1621"/>
              <w:gridCol w:w="1443"/>
              <w:gridCol w:w="1273"/>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423" w:type="dxa"/>
                  <w:vMerge w:val="restart"/>
                  <w:tcBorders>
                    <w:top w:val="single" w:color="auto" w:sz="4" w:space="0"/>
                    <w:left w:val="single" w:color="auto" w:sz="4" w:space="0"/>
                    <w:right w:val="single" w:color="auto" w:sz="4" w:space="0"/>
                  </w:tcBorders>
                  <w:vAlign w:val="center"/>
                </w:tcPr>
                <w:p>
                  <w:pPr>
                    <w:spacing w:line="300" w:lineRule="exact"/>
                    <w:jc w:val="center"/>
                    <w:rPr>
                      <w:b/>
                      <w:sz w:val="18"/>
                      <w:szCs w:val="18"/>
                    </w:rPr>
                  </w:pPr>
                  <w:r>
                    <w:rPr>
                      <w:b/>
                      <w:sz w:val="18"/>
                      <w:szCs w:val="18"/>
                    </w:rPr>
                    <w:t>重金属</w:t>
                  </w:r>
                </w:p>
              </w:tc>
              <w:tc>
                <w:tcPr>
                  <w:tcW w:w="162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
                      <w:sz w:val="18"/>
                      <w:szCs w:val="18"/>
                    </w:rPr>
                  </w:pPr>
                  <w:r>
                    <w:rPr>
                      <w:b/>
                      <w:sz w:val="18"/>
                      <w:szCs w:val="18"/>
                    </w:rPr>
                    <w:t>进入（t/a）</w:t>
                  </w:r>
                </w:p>
              </w:tc>
              <w:tc>
                <w:tcPr>
                  <w:tcW w:w="4435"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b/>
                      <w:sz w:val="18"/>
                      <w:szCs w:val="18"/>
                    </w:rPr>
                  </w:pPr>
                  <w:r>
                    <w:rPr>
                      <w:b/>
                      <w:sz w:val="18"/>
                      <w:szCs w:val="18"/>
                    </w:rPr>
                    <w:t>产出（t/a）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423" w:type="dxa"/>
                  <w:vMerge w:val="continue"/>
                  <w:tcBorders>
                    <w:left w:val="single" w:color="auto" w:sz="4" w:space="0"/>
                    <w:bottom w:val="single" w:color="auto" w:sz="4" w:space="0"/>
                    <w:right w:val="single" w:color="auto" w:sz="4" w:space="0"/>
                  </w:tcBorders>
                  <w:vAlign w:val="center"/>
                </w:tcPr>
                <w:p>
                  <w:pPr>
                    <w:spacing w:line="300" w:lineRule="exact"/>
                    <w:jc w:val="center"/>
                    <w:rPr>
                      <w:sz w:val="18"/>
                      <w:szCs w:val="18"/>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带入</w:t>
                  </w:r>
                  <w:r>
                    <w:rPr>
                      <w:rFonts w:hint="eastAsia"/>
                      <w:sz w:val="18"/>
                      <w:szCs w:val="18"/>
                    </w:rPr>
                    <w:t>量</w:t>
                  </w:r>
                </w:p>
              </w:tc>
              <w:tc>
                <w:tcPr>
                  <w:tcW w:w="14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固化在产品中</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进入收尘灰</w:t>
                  </w:r>
                </w:p>
              </w:tc>
              <w:tc>
                <w:tcPr>
                  <w:tcW w:w="171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42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bCs/>
                      <w:sz w:val="18"/>
                      <w:szCs w:val="18"/>
                    </w:rPr>
                    <w:t>Cd</w:t>
                  </w:r>
                </w:p>
              </w:tc>
              <w:tc>
                <w:tcPr>
                  <w:tcW w:w="1621"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0.00114 </w:t>
                  </w:r>
                </w:p>
              </w:tc>
              <w:tc>
                <w:tcPr>
                  <w:tcW w:w="144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0.00103 </w:t>
                  </w:r>
                </w:p>
              </w:tc>
              <w:tc>
                <w:tcPr>
                  <w:tcW w:w="127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0.00010 </w:t>
                  </w:r>
                </w:p>
              </w:tc>
              <w:tc>
                <w:tcPr>
                  <w:tcW w:w="1719"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42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bCs/>
                      <w:sz w:val="18"/>
                      <w:szCs w:val="18"/>
                    </w:rPr>
                    <w:t>Pb</w:t>
                  </w:r>
                </w:p>
              </w:tc>
              <w:tc>
                <w:tcPr>
                  <w:tcW w:w="1621"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0.08820 </w:t>
                  </w:r>
                </w:p>
              </w:tc>
              <w:tc>
                <w:tcPr>
                  <w:tcW w:w="144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0.07938 </w:t>
                  </w:r>
                </w:p>
              </w:tc>
              <w:tc>
                <w:tcPr>
                  <w:tcW w:w="127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0.00750 </w:t>
                  </w:r>
                </w:p>
              </w:tc>
              <w:tc>
                <w:tcPr>
                  <w:tcW w:w="1719"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42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bCs/>
                      <w:sz w:val="18"/>
                      <w:szCs w:val="18"/>
                    </w:rPr>
                    <w:t>As</w:t>
                  </w:r>
                </w:p>
              </w:tc>
              <w:tc>
                <w:tcPr>
                  <w:tcW w:w="1621"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0.02610 </w:t>
                  </w:r>
                </w:p>
              </w:tc>
              <w:tc>
                <w:tcPr>
                  <w:tcW w:w="144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0.02349 </w:t>
                  </w:r>
                </w:p>
              </w:tc>
              <w:tc>
                <w:tcPr>
                  <w:tcW w:w="127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0.00222 </w:t>
                  </w:r>
                </w:p>
              </w:tc>
              <w:tc>
                <w:tcPr>
                  <w:tcW w:w="1719"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0.00039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42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bCs/>
                      <w:sz w:val="18"/>
                      <w:szCs w:val="18"/>
                    </w:rPr>
                    <w:t>Hg</w:t>
                  </w:r>
                </w:p>
              </w:tc>
              <w:tc>
                <w:tcPr>
                  <w:tcW w:w="1621"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0.00244 </w:t>
                  </w:r>
                </w:p>
              </w:tc>
              <w:tc>
                <w:tcPr>
                  <w:tcW w:w="144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0.00024 </w:t>
                  </w:r>
                </w:p>
              </w:tc>
              <w:tc>
                <w:tcPr>
                  <w:tcW w:w="127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0.00022 </w:t>
                  </w:r>
                </w:p>
              </w:tc>
              <w:tc>
                <w:tcPr>
                  <w:tcW w:w="1719"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0.00198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42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bCs/>
                      <w:sz w:val="18"/>
                      <w:szCs w:val="18"/>
                    </w:rPr>
                    <w:t>Cr</w:t>
                  </w:r>
                </w:p>
              </w:tc>
              <w:tc>
                <w:tcPr>
                  <w:tcW w:w="1621"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0.216</w:t>
                  </w:r>
                </w:p>
              </w:tc>
              <w:tc>
                <w:tcPr>
                  <w:tcW w:w="144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0.21384 </w:t>
                  </w:r>
                </w:p>
              </w:tc>
              <w:tc>
                <w:tcPr>
                  <w:tcW w:w="127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0.00184 </w:t>
                  </w:r>
                </w:p>
              </w:tc>
              <w:tc>
                <w:tcPr>
                  <w:tcW w:w="1719"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42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bCs/>
                      <w:sz w:val="18"/>
                      <w:szCs w:val="18"/>
                    </w:rPr>
                    <w:t>Cu</w:t>
                  </w:r>
                </w:p>
              </w:tc>
              <w:tc>
                <w:tcPr>
                  <w:tcW w:w="1621"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0.21</w:t>
                  </w:r>
                </w:p>
              </w:tc>
              <w:tc>
                <w:tcPr>
                  <w:tcW w:w="144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0.2079</w:t>
                  </w:r>
                </w:p>
              </w:tc>
              <w:tc>
                <w:tcPr>
                  <w:tcW w:w="127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0.00179 </w:t>
                  </w:r>
                </w:p>
              </w:tc>
              <w:tc>
                <w:tcPr>
                  <w:tcW w:w="1719"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0.000315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42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bCs/>
                      <w:sz w:val="18"/>
                      <w:szCs w:val="18"/>
                    </w:rPr>
                    <w:t>Zn</w:t>
                  </w:r>
                </w:p>
              </w:tc>
              <w:tc>
                <w:tcPr>
                  <w:tcW w:w="1621"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0.78</w:t>
                  </w:r>
                </w:p>
              </w:tc>
              <w:tc>
                <w:tcPr>
                  <w:tcW w:w="144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0.702</w:t>
                  </w:r>
                </w:p>
              </w:tc>
              <w:tc>
                <w:tcPr>
                  <w:tcW w:w="127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0.0663</w:t>
                  </w:r>
                </w:p>
              </w:tc>
              <w:tc>
                <w:tcPr>
                  <w:tcW w:w="1719"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0.0117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42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bCs/>
                      <w:sz w:val="18"/>
                      <w:szCs w:val="18"/>
                    </w:rPr>
                    <w:t>Ni</w:t>
                  </w:r>
                </w:p>
              </w:tc>
              <w:tc>
                <w:tcPr>
                  <w:tcW w:w="1621"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0.144</w:t>
                  </w:r>
                </w:p>
              </w:tc>
              <w:tc>
                <w:tcPr>
                  <w:tcW w:w="144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0.14256 </w:t>
                  </w:r>
                </w:p>
              </w:tc>
              <w:tc>
                <w:tcPr>
                  <w:tcW w:w="127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0.00122 </w:t>
                  </w:r>
                </w:p>
              </w:tc>
              <w:tc>
                <w:tcPr>
                  <w:tcW w:w="1719"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0.00022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142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Cs/>
                      <w:sz w:val="18"/>
                      <w:szCs w:val="18"/>
                    </w:rPr>
                  </w:pPr>
                  <w:r>
                    <w:rPr>
                      <w:bCs/>
                      <w:sz w:val="18"/>
                      <w:szCs w:val="18"/>
                    </w:rPr>
                    <w:t>合计</w:t>
                  </w:r>
                </w:p>
              </w:tc>
              <w:tc>
                <w:tcPr>
                  <w:tcW w:w="1621"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1.46788 </w:t>
                  </w:r>
                </w:p>
              </w:tc>
              <w:tc>
                <w:tcPr>
                  <w:tcW w:w="144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1.37044 </w:t>
                  </w:r>
                </w:p>
              </w:tc>
              <w:tc>
                <w:tcPr>
                  <w:tcW w:w="1273"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rFonts w:hint="eastAsia"/>
                      <w:sz w:val="18"/>
                      <w:szCs w:val="18"/>
                    </w:rPr>
                    <w:t xml:space="preserve">0.08118 </w:t>
                  </w:r>
                </w:p>
              </w:tc>
              <w:tc>
                <w:tcPr>
                  <w:tcW w:w="1719" w:type="dxa"/>
                  <w:tcBorders>
                    <w:top w:val="single" w:color="auto" w:sz="4" w:space="0"/>
                    <w:left w:val="single" w:color="auto" w:sz="4" w:space="0"/>
                    <w:bottom w:val="single" w:color="auto" w:sz="4" w:space="0"/>
                    <w:right w:val="single" w:color="auto" w:sz="4" w:space="0"/>
                  </w:tcBorders>
                  <w:vAlign w:val="bottom"/>
                </w:tcPr>
                <w:p>
                  <w:pPr>
                    <w:spacing w:line="300" w:lineRule="exact"/>
                    <w:jc w:val="center"/>
                    <w:rPr>
                      <w:sz w:val="18"/>
                      <w:szCs w:val="18"/>
                    </w:rPr>
                  </w:pPr>
                  <w:r>
                    <w:rPr>
                      <w:sz w:val="18"/>
                      <w:szCs w:val="18"/>
                    </w:rPr>
                    <w:tab/>
                  </w:r>
                  <w:r>
                    <w:rPr>
                      <w:rFonts w:hint="eastAsia"/>
                      <w:sz w:val="18"/>
                      <w:szCs w:val="18"/>
                    </w:rPr>
                    <w:t>0.01626</w:t>
                  </w:r>
                  <w:r>
                    <w:rPr>
                      <w:sz w:val="18"/>
                      <w:szCs w:val="18"/>
                    </w:rPr>
                    <w:tab/>
                  </w:r>
                  <w:r>
                    <w:rPr>
                      <w:rFonts w:hint="eastAsia"/>
                      <w:sz w:val="18"/>
                      <w:szCs w:val="18"/>
                    </w:rPr>
                    <w:t xml:space="preserve"> </w:t>
                  </w:r>
                </w:p>
              </w:tc>
            </w:tr>
          </w:tbl>
          <w:p>
            <w:pPr>
              <w:adjustRightInd w:val="0"/>
              <w:snapToGrid w:val="0"/>
              <w:spacing w:line="406" w:lineRule="exact"/>
              <w:ind w:left="-53" w:leftChars="-25" w:right="-53" w:rightChars="-25" w:firstLine="440" w:firstLineChars="200"/>
              <w:jc w:val="left"/>
              <w:rPr>
                <w:rFonts w:eastAsia="黑体"/>
                <w:bCs/>
                <w:szCs w:val="21"/>
              </w:rPr>
            </w:pPr>
            <w:r>
              <w:rPr>
                <w:rFonts w:eastAsia="黑体"/>
                <w:bCs/>
                <w:sz w:val="22"/>
                <w:szCs w:val="22"/>
              </w:rPr>
              <w:t>（</w:t>
            </w:r>
            <w:r>
              <w:rPr>
                <w:rFonts w:hint="eastAsia" w:eastAsia="黑体"/>
                <w:bCs/>
                <w:sz w:val="22"/>
                <w:szCs w:val="22"/>
              </w:rPr>
              <w:t>6</w:t>
            </w:r>
            <w:r>
              <w:rPr>
                <w:rFonts w:eastAsia="黑体"/>
                <w:bCs/>
                <w:sz w:val="22"/>
                <w:szCs w:val="22"/>
              </w:rPr>
              <w:t>）</w:t>
            </w:r>
            <w:r>
              <w:rPr>
                <w:rFonts w:eastAsia="黑体"/>
                <w:bCs/>
                <w:szCs w:val="21"/>
              </w:rPr>
              <w:t>水平衡分析</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项目营运期干化污泥贮存及烘干处理环节，包括运输车辆冲洗、污泥烘干废气脱硫设施用水以及污泥作为原料进入制砖系统过程的用水。因此，本环评从厂区整个生产流程分析项目实施后的用水情况。</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生产用水包括：防尘喷雾洒水、制砖车间的物料搅拌用水、脱硫设施用水、车辆冲洗用水、厂区内运输道路等防尘洒水以及员工生活用水。</w:t>
            </w:r>
          </w:p>
          <w:p>
            <w:pPr>
              <w:autoSpaceDE w:val="0"/>
              <w:autoSpaceDN w:val="0"/>
              <w:adjustRightInd w:val="0"/>
              <w:snapToGrid w:val="0"/>
              <w:spacing w:line="406" w:lineRule="exact"/>
              <w:ind w:firstLine="422" w:firstLineChars="200"/>
              <w:jc w:val="left"/>
              <w:rPr>
                <w:kern w:val="0"/>
                <w:szCs w:val="21"/>
              </w:rPr>
            </w:pPr>
            <w:r>
              <w:rPr>
                <w:b/>
                <w:kern w:val="0"/>
                <w:szCs w:val="21"/>
              </w:rPr>
              <w:t>喷雾防尘用水：</w:t>
            </w:r>
            <w:r>
              <w:rPr>
                <w:kern w:val="0"/>
                <w:szCs w:val="21"/>
              </w:rPr>
              <w:t>项目原料堆场面积</w:t>
            </w:r>
            <w:r>
              <w:rPr>
                <w:rFonts w:hint="eastAsia"/>
                <w:kern w:val="0"/>
                <w:szCs w:val="21"/>
              </w:rPr>
              <w:t>1500m</w:t>
            </w:r>
            <w:r>
              <w:rPr>
                <w:rFonts w:hint="eastAsia"/>
                <w:kern w:val="0"/>
                <w:szCs w:val="21"/>
                <w:vertAlign w:val="superscript"/>
              </w:rPr>
              <w:t>2</w:t>
            </w:r>
            <w:r>
              <w:rPr>
                <w:rFonts w:hint="eastAsia"/>
                <w:kern w:val="0"/>
                <w:szCs w:val="21"/>
              </w:rPr>
              <w:t>，破碎筛分车间面积不变。营运时拟在粉尘易产生点设喷雾装置，结合产尘点及面源面积，共设置喷雾头约15个。单个喷雾</w:t>
            </w:r>
            <w:r>
              <w:rPr>
                <w:kern w:val="0"/>
                <w:szCs w:val="21"/>
              </w:rPr>
              <w:t>头耗水量按0.5L/min计，每天运行时间按</w:t>
            </w:r>
            <w:r>
              <w:rPr>
                <w:rFonts w:hint="eastAsia"/>
                <w:kern w:val="0"/>
                <w:szCs w:val="21"/>
              </w:rPr>
              <w:t>10</w:t>
            </w:r>
            <w:r>
              <w:rPr>
                <w:kern w:val="0"/>
                <w:szCs w:val="21"/>
              </w:rPr>
              <w:t>小时计算，则喷雾用水量为</w:t>
            </w:r>
            <w:r>
              <w:rPr>
                <w:rFonts w:hint="eastAsia"/>
                <w:kern w:val="0"/>
                <w:szCs w:val="21"/>
              </w:rPr>
              <w:t>4.5</w:t>
            </w:r>
            <w:r>
              <w:rPr>
                <w:kern w:val="0"/>
                <w:szCs w:val="21"/>
              </w:rPr>
              <w:t>m</w:t>
            </w:r>
            <w:r>
              <w:rPr>
                <w:kern w:val="0"/>
                <w:szCs w:val="21"/>
                <w:vertAlign w:val="superscript"/>
              </w:rPr>
              <w:t>3</w:t>
            </w:r>
            <w:r>
              <w:rPr>
                <w:kern w:val="0"/>
                <w:szCs w:val="21"/>
              </w:rPr>
              <w:t>/d（</w:t>
            </w:r>
            <w:r>
              <w:rPr>
                <w:rFonts w:hint="eastAsia"/>
                <w:kern w:val="0"/>
                <w:szCs w:val="21"/>
              </w:rPr>
              <w:t>1350</w:t>
            </w:r>
            <w:r>
              <w:rPr>
                <w:kern w:val="0"/>
                <w:szCs w:val="21"/>
              </w:rPr>
              <w:t>m</w:t>
            </w:r>
            <w:r>
              <w:rPr>
                <w:kern w:val="0"/>
                <w:szCs w:val="21"/>
                <w:vertAlign w:val="superscript"/>
              </w:rPr>
              <w:t>3</w:t>
            </w:r>
            <w:r>
              <w:rPr>
                <w:kern w:val="0"/>
                <w:szCs w:val="21"/>
              </w:rPr>
              <w:t>/a）。雾化喷淋设施喷出的水呈雾化状态，不会形成地面积水，此部分用水大部分蒸发损耗、少量进入产品。</w:t>
            </w:r>
          </w:p>
          <w:p>
            <w:pPr>
              <w:autoSpaceDE w:val="0"/>
              <w:autoSpaceDN w:val="0"/>
              <w:adjustRightInd w:val="0"/>
              <w:snapToGrid w:val="0"/>
              <w:spacing w:line="406" w:lineRule="exact"/>
              <w:ind w:firstLine="422" w:firstLineChars="200"/>
              <w:jc w:val="left"/>
              <w:rPr>
                <w:kern w:val="0"/>
                <w:szCs w:val="21"/>
              </w:rPr>
            </w:pPr>
            <w:r>
              <w:rPr>
                <w:rFonts w:hint="eastAsia"/>
                <w:b/>
                <w:kern w:val="0"/>
                <w:szCs w:val="21"/>
              </w:rPr>
              <w:t>制砖原料搅拌用水：</w:t>
            </w:r>
            <w:r>
              <w:rPr>
                <w:rFonts w:hint="eastAsia"/>
                <w:kern w:val="0"/>
                <w:szCs w:val="21"/>
              </w:rPr>
              <w:t>烧结砖在砖坯制作的搅拌过程中需要加入水。根据《四川省用水定额》（川府函</w:t>
            </w:r>
            <w:r>
              <w:rPr>
                <w:rFonts w:ascii="微软雅黑" w:hAnsi="微软雅黑" w:eastAsia="微软雅黑" w:cs="微软雅黑"/>
                <w:i w:val="0"/>
                <w:caps w:val="0"/>
                <w:color w:val="000000"/>
                <w:spacing w:val="0"/>
                <w:sz w:val="21"/>
                <w:szCs w:val="21"/>
                <w:shd w:val="clear" w:fill="FFFFFF"/>
              </w:rPr>
              <w:t>〔202</w:t>
            </w:r>
            <w:r>
              <w:rPr>
                <w:rFonts w:hint="eastAsia" w:ascii="微软雅黑" w:hAnsi="微软雅黑" w:eastAsia="微软雅黑" w:cs="微软雅黑"/>
                <w:i w:val="0"/>
                <w:caps w:val="0"/>
                <w:color w:val="000000"/>
                <w:spacing w:val="0"/>
                <w:sz w:val="21"/>
                <w:szCs w:val="21"/>
                <w:shd w:val="clear" w:fill="FFFFFF"/>
                <w:lang w:val="en-US" w:eastAsia="zh-CN"/>
              </w:rPr>
              <w:t>1</w:t>
            </w:r>
            <w:r>
              <w:rPr>
                <w:rFonts w:ascii="微软雅黑" w:hAnsi="微软雅黑" w:eastAsia="微软雅黑" w:cs="微软雅黑"/>
                <w:i w:val="0"/>
                <w:caps w:val="0"/>
                <w:color w:val="000000"/>
                <w:spacing w:val="0"/>
                <w:sz w:val="21"/>
                <w:szCs w:val="21"/>
                <w:shd w:val="clear" w:fill="FFFFFF"/>
              </w:rPr>
              <w:t>〕</w:t>
            </w:r>
            <w:r>
              <w:rPr>
                <w:rFonts w:hint="eastAsia"/>
                <w:kern w:val="0"/>
                <w:szCs w:val="21"/>
              </w:rPr>
              <w:t>8号），参考页岩制砖用水4m</w:t>
            </w:r>
            <w:r>
              <w:rPr>
                <w:rFonts w:hint="eastAsia"/>
                <w:kern w:val="0"/>
                <w:szCs w:val="21"/>
                <w:vertAlign w:val="superscript"/>
              </w:rPr>
              <w:t>3</w:t>
            </w:r>
            <w:r>
              <w:rPr>
                <w:rFonts w:hint="eastAsia"/>
                <w:kern w:val="0"/>
                <w:szCs w:val="21"/>
              </w:rPr>
              <w:t>/万块砖。由于本项目制砖的污泥具有一定的含水率，掺入制砖后会降低原制砖所需水量。经计算，1万块砖所需干基污泥3吨；污泥烘干后含水率均取20%，则污泥带入水量约0.75m</w:t>
            </w:r>
            <w:r>
              <w:rPr>
                <w:rFonts w:hint="eastAsia"/>
                <w:kern w:val="0"/>
                <w:szCs w:val="21"/>
                <w:vertAlign w:val="superscript"/>
              </w:rPr>
              <w:t>3</w:t>
            </w:r>
            <w:r>
              <w:rPr>
                <w:rFonts w:hint="eastAsia"/>
                <w:kern w:val="0"/>
                <w:szCs w:val="21"/>
              </w:rPr>
              <w:t>/万块砖。因此，项目制砖时原料搅拌需水为3.25m</w:t>
            </w:r>
            <w:r>
              <w:rPr>
                <w:rFonts w:hint="eastAsia"/>
                <w:kern w:val="0"/>
                <w:szCs w:val="21"/>
                <w:vertAlign w:val="superscript"/>
              </w:rPr>
              <w:t>3</w:t>
            </w:r>
            <w:r>
              <w:rPr>
                <w:rFonts w:hint="eastAsia"/>
                <w:kern w:val="0"/>
                <w:szCs w:val="21"/>
              </w:rPr>
              <w:t>/万块砖。本项目年产折标砖1000万匹，则搅拌用水量为9750m</w:t>
            </w:r>
            <w:r>
              <w:rPr>
                <w:rFonts w:hint="eastAsia"/>
                <w:kern w:val="0"/>
                <w:szCs w:val="21"/>
                <w:vertAlign w:val="superscript"/>
              </w:rPr>
              <w:t>3</w:t>
            </w:r>
            <w:r>
              <w:rPr>
                <w:rFonts w:hint="eastAsia"/>
                <w:kern w:val="0"/>
                <w:szCs w:val="21"/>
              </w:rPr>
              <w:t>/a，即32.5m</w:t>
            </w:r>
            <w:r>
              <w:rPr>
                <w:rFonts w:hint="eastAsia"/>
                <w:kern w:val="0"/>
                <w:szCs w:val="21"/>
                <w:vertAlign w:val="superscript"/>
              </w:rPr>
              <w:t>3</w:t>
            </w:r>
            <w:r>
              <w:rPr>
                <w:rFonts w:hint="eastAsia"/>
                <w:kern w:val="0"/>
                <w:szCs w:val="21"/>
              </w:rPr>
              <w:t>/d。制砖用水进入产品或蒸发损耗。</w:t>
            </w:r>
          </w:p>
          <w:p>
            <w:pPr>
              <w:autoSpaceDE w:val="0"/>
              <w:autoSpaceDN w:val="0"/>
              <w:adjustRightInd w:val="0"/>
              <w:snapToGrid w:val="0"/>
              <w:spacing w:line="406" w:lineRule="exact"/>
              <w:ind w:firstLine="422" w:firstLineChars="200"/>
              <w:jc w:val="left"/>
              <w:rPr>
                <w:kern w:val="0"/>
                <w:szCs w:val="21"/>
              </w:rPr>
            </w:pPr>
            <w:r>
              <w:rPr>
                <w:rFonts w:hint="eastAsia"/>
                <w:b/>
                <w:kern w:val="0"/>
                <w:szCs w:val="21"/>
              </w:rPr>
              <w:t>砖窑脱硫系统用水：</w:t>
            </w:r>
            <w:r>
              <w:rPr>
                <w:kern w:val="0"/>
                <w:szCs w:val="21"/>
              </w:rPr>
              <w:t>本项目拟依托的烧结砖生产线现有一套</w:t>
            </w:r>
            <w:r>
              <w:rPr>
                <w:rFonts w:hint="eastAsia" w:eastAsiaTheme="minorEastAsia"/>
                <w:bCs/>
                <w:szCs w:val="18"/>
              </w:rPr>
              <w:t>钠碱湿法脱硫</w:t>
            </w:r>
            <w:r>
              <w:rPr>
                <w:kern w:val="0"/>
                <w:szCs w:val="21"/>
              </w:rPr>
              <w:t>设备，根据《工业锅炉及炉窑湿法烟气脱硫工程技术规范》（HJ462-2009），脱硫液气比＞2L/m</w:t>
            </w:r>
            <w:r>
              <w:rPr>
                <w:kern w:val="0"/>
                <w:szCs w:val="21"/>
                <w:vertAlign w:val="superscript"/>
              </w:rPr>
              <w:t>3</w:t>
            </w:r>
            <w:r>
              <w:rPr>
                <w:kern w:val="0"/>
                <w:szCs w:val="21"/>
              </w:rPr>
              <w:t>，本项目烟气量约为</w:t>
            </w:r>
            <w:r>
              <w:rPr>
                <w:rFonts w:hint="eastAsia"/>
                <w:kern w:val="0"/>
                <w:szCs w:val="21"/>
              </w:rPr>
              <w:t>86317</w:t>
            </w:r>
            <w:r>
              <w:rPr>
                <w:kern w:val="0"/>
                <w:szCs w:val="21"/>
              </w:rPr>
              <w:t>m</w:t>
            </w:r>
            <w:r>
              <w:rPr>
                <w:kern w:val="0"/>
                <w:szCs w:val="21"/>
                <w:vertAlign w:val="superscript"/>
              </w:rPr>
              <w:t>3</w:t>
            </w:r>
            <w:r>
              <w:rPr>
                <w:kern w:val="0"/>
                <w:szCs w:val="21"/>
              </w:rPr>
              <w:t>/h，则烟气脱硫循环水系统循环流量约为</w:t>
            </w:r>
            <w:r>
              <w:rPr>
                <w:rFonts w:hint="eastAsia"/>
                <w:kern w:val="0"/>
                <w:szCs w:val="21"/>
              </w:rPr>
              <w:t>172.63</w:t>
            </w:r>
            <w:r>
              <w:rPr>
                <w:kern w:val="0"/>
                <w:szCs w:val="21"/>
              </w:rPr>
              <w:t>m</w:t>
            </w:r>
            <w:r>
              <w:rPr>
                <w:kern w:val="0"/>
                <w:szCs w:val="21"/>
                <w:vertAlign w:val="superscript"/>
              </w:rPr>
              <w:t>3</w:t>
            </w:r>
            <w:r>
              <w:rPr>
                <w:kern w:val="0"/>
                <w:szCs w:val="21"/>
              </w:rPr>
              <w:t>/h，水循环利用损耗量少，烟气蒸发水量一般按0.</w:t>
            </w:r>
            <w:r>
              <w:rPr>
                <w:rFonts w:hint="eastAsia"/>
                <w:kern w:val="0"/>
                <w:szCs w:val="21"/>
              </w:rPr>
              <w:t>5</w:t>
            </w:r>
            <w:r>
              <w:rPr>
                <w:kern w:val="0"/>
                <w:szCs w:val="21"/>
              </w:rPr>
              <w:t>%计算，补充水量0.</w:t>
            </w:r>
            <w:r>
              <w:rPr>
                <w:rFonts w:hint="eastAsia"/>
                <w:kern w:val="0"/>
                <w:szCs w:val="21"/>
              </w:rPr>
              <w:t>863</w:t>
            </w:r>
            <w:r>
              <w:rPr>
                <w:kern w:val="0"/>
                <w:szCs w:val="21"/>
              </w:rPr>
              <w:t>m</w:t>
            </w:r>
            <w:r>
              <w:rPr>
                <w:kern w:val="0"/>
                <w:szCs w:val="21"/>
                <w:vertAlign w:val="superscript"/>
              </w:rPr>
              <w:t>3</w:t>
            </w:r>
            <w:r>
              <w:rPr>
                <w:kern w:val="0"/>
                <w:szCs w:val="21"/>
              </w:rPr>
              <w:t>/h，每日补水量为</w:t>
            </w:r>
            <w:r>
              <w:rPr>
                <w:rFonts w:hint="eastAsia"/>
                <w:kern w:val="0"/>
                <w:szCs w:val="21"/>
              </w:rPr>
              <w:t>20.712</w:t>
            </w:r>
            <w:r>
              <w:rPr>
                <w:kern w:val="0"/>
                <w:szCs w:val="21"/>
              </w:rPr>
              <w:t>m</w:t>
            </w:r>
            <w:r>
              <w:rPr>
                <w:kern w:val="0"/>
                <w:szCs w:val="21"/>
                <w:vertAlign w:val="superscript"/>
              </w:rPr>
              <w:t>3</w:t>
            </w:r>
            <w:r>
              <w:rPr>
                <w:kern w:val="0"/>
                <w:szCs w:val="21"/>
              </w:rPr>
              <w:t>/d（</w:t>
            </w:r>
            <w:r>
              <w:rPr>
                <w:rFonts w:hint="eastAsia"/>
                <w:kern w:val="0"/>
                <w:szCs w:val="21"/>
              </w:rPr>
              <w:t>6213.6</w:t>
            </w:r>
            <w:r>
              <w:rPr>
                <w:kern w:val="0"/>
                <w:szCs w:val="21"/>
              </w:rPr>
              <w:t>m</w:t>
            </w:r>
            <w:r>
              <w:rPr>
                <w:kern w:val="0"/>
                <w:szCs w:val="21"/>
                <w:vertAlign w:val="superscript"/>
              </w:rPr>
              <w:t>3</w:t>
            </w:r>
            <w:r>
              <w:rPr>
                <w:kern w:val="0"/>
                <w:szCs w:val="21"/>
              </w:rPr>
              <w:t>/a）。</w:t>
            </w:r>
          </w:p>
          <w:p>
            <w:pPr>
              <w:autoSpaceDE w:val="0"/>
              <w:autoSpaceDN w:val="0"/>
              <w:adjustRightInd w:val="0"/>
              <w:snapToGrid w:val="0"/>
              <w:spacing w:line="406" w:lineRule="exact"/>
              <w:ind w:firstLine="422" w:firstLineChars="200"/>
              <w:jc w:val="left"/>
              <w:rPr>
                <w:kern w:val="0"/>
                <w:szCs w:val="21"/>
              </w:rPr>
            </w:pPr>
            <w:r>
              <w:rPr>
                <w:rFonts w:hint="eastAsia"/>
                <w:b/>
                <w:bCs/>
                <w:kern w:val="0"/>
                <w:szCs w:val="21"/>
              </w:rPr>
              <w:t>污泥烘干废气脱硫用水：</w:t>
            </w:r>
            <w:r>
              <w:rPr>
                <w:kern w:val="0"/>
                <w:szCs w:val="21"/>
              </w:rPr>
              <w:t>本项目</w:t>
            </w:r>
            <w:r>
              <w:rPr>
                <w:rFonts w:hint="eastAsia"/>
                <w:kern w:val="0"/>
                <w:szCs w:val="21"/>
              </w:rPr>
              <w:t>污泥烘干生产线拟新设</w:t>
            </w:r>
            <w:r>
              <w:rPr>
                <w:kern w:val="0"/>
                <w:szCs w:val="21"/>
              </w:rPr>
              <w:t>一套</w:t>
            </w:r>
            <w:r>
              <w:rPr>
                <w:rFonts w:hint="eastAsia" w:eastAsiaTheme="minorEastAsia"/>
                <w:bCs/>
                <w:szCs w:val="18"/>
              </w:rPr>
              <w:t>钠碱湿法脱硫</w:t>
            </w:r>
            <w:r>
              <w:rPr>
                <w:kern w:val="0"/>
                <w:szCs w:val="21"/>
              </w:rPr>
              <w:t>设备，根据《工业锅炉及炉窑湿法烟气脱硫工程技术规范》（HJ462-2009），脱硫液气比＞2L/m</w:t>
            </w:r>
            <w:r>
              <w:rPr>
                <w:kern w:val="0"/>
                <w:szCs w:val="21"/>
                <w:vertAlign w:val="superscript"/>
              </w:rPr>
              <w:t>3</w:t>
            </w:r>
            <w:r>
              <w:rPr>
                <w:kern w:val="0"/>
                <w:szCs w:val="21"/>
              </w:rPr>
              <w:t>，本项目烟气量约为</w:t>
            </w:r>
            <w:r>
              <w:rPr>
                <w:rFonts w:hint="eastAsia"/>
                <w:kern w:val="0"/>
                <w:szCs w:val="21"/>
              </w:rPr>
              <w:t>10000</w:t>
            </w:r>
            <w:r>
              <w:rPr>
                <w:kern w:val="0"/>
                <w:szCs w:val="21"/>
              </w:rPr>
              <w:t>m</w:t>
            </w:r>
            <w:r>
              <w:rPr>
                <w:kern w:val="0"/>
                <w:szCs w:val="21"/>
                <w:vertAlign w:val="superscript"/>
              </w:rPr>
              <w:t>3</w:t>
            </w:r>
            <w:r>
              <w:rPr>
                <w:kern w:val="0"/>
                <w:szCs w:val="21"/>
              </w:rPr>
              <w:t>/h，则烟气脱硫循环水系统循环流量约为</w:t>
            </w:r>
            <w:r>
              <w:rPr>
                <w:rFonts w:hint="eastAsia"/>
                <w:kern w:val="0"/>
                <w:szCs w:val="21"/>
              </w:rPr>
              <w:t>20</w:t>
            </w:r>
            <w:r>
              <w:rPr>
                <w:kern w:val="0"/>
                <w:szCs w:val="21"/>
              </w:rPr>
              <w:t>m</w:t>
            </w:r>
            <w:r>
              <w:rPr>
                <w:kern w:val="0"/>
                <w:szCs w:val="21"/>
                <w:vertAlign w:val="superscript"/>
              </w:rPr>
              <w:t>3</w:t>
            </w:r>
            <w:r>
              <w:rPr>
                <w:kern w:val="0"/>
                <w:szCs w:val="21"/>
              </w:rPr>
              <w:t>/h，水循环利用损耗量少，烟气蒸发水量一般按0.</w:t>
            </w:r>
            <w:r>
              <w:rPr>
                <w:rFonts w:hint="eastAsia"/>
                <w:kern w:val="0"/>
                <w:szCs w:val="21"/>
              </w:rPr>
              <w:t>5</w:t>
            </w:r>
            <w:r>
              <w:rPr>
                <w:kern w:val="0"/>
                <w:szCs w:val="21"/>
              </w:rPr>
              <w:t>%计算，补充水量0.</w:t>
            </w:r>
            <w:r>
              <w:rPr>
                <w:rFonts w:hint="eastAsia"/>
                <w:kern w:val="0"/>
                <w:szCs w:val="21"/>
              </w:rPr>
              <w:t>1</w:t>
            </w:r>
            <w:r>
              <w:rPr>
                <w:kern w:val="0"/>
                <w:szCs w:val="21"/>
              </w:rPr>
              <w:t>m</w:t>
            </w:r>
            <w:r>
              <w:rPr>
                <w:kern w:val="0"/>
                <w:szCs w:val="21"/>
                <w:vertAlign w:val="superscript"/>
              </w:rPr>
              <w:t>3</w:t>
            </w:r>
            <w:r>
              <w:rPr>
                <w:kern w:val="0"/>
                <w:szCs w:val="21"/>
              </w:rPr>
              <w:t>/h，每日补水量为</w:t>
            </w:r>
            <w:r>
              <w:rPr>
                <w:rFonts w:hint="eastAsia"/>
                <w:kern w:val="0"/>
                <w:szCs w:val="21"/>
              </w:rPr>
              <w:t>0.8</w:t>
            </w:r>
            <w:r>
              <w:rPr>
                <w:kern w:val="0"/>
                <w:szCs w:val="21"/>
              </w:rPr>
              <w:t>m</w:t>
            </w:r>
            <w:r>
              <w:rPr>
                <w:kern w:val="0"/>
                <w:szCs w:val="21"/>
                <w:vertAlign w:val="superscript"/>
              </w:rPr>
              <w:t>3</w:t>
            </w:r>
            <w:r>
              <w:rPr>
                <w:kern w:val="0"/>
                <w:szCs w:val="21"/>
              </w:rPr>
              <w:t>/d（</w:t>
            </w:r>
            <w:r>
              <w:rPr>
                <w:rFonts w:hint="eastAsia"/>
                <w:kern w:val="0"/>
                <w:szCs w:val="21"/>
              </w:rPr>
              <w:t>240</w:t>
            </w:r>
            <w:r>
              <w:rPr>
                <w:kern w:val="0"/>
                <w:szCs w:val="21"/>
              </w:rPr>
              <w:t>m</w:t>
            </w:r>
            <w:r>
              <w:rPr>
                <w:kern w:val="0"/>
                <w:szCs w:val="21"/>
                <w:vertAlign w:val="superscript"/>
              </w:rPr>
              <w:t>3</w:t>
            </w:r>
            <w:r>
              <w:rPr>
                <w:kern w:val="0"/>
                <w:szCs w:val="21"/>
              </w:rPr>
              <w:t>/a）。</w:t>
            </w:r>
          </w:p>
          <w:p>
            <w:pPr>
              <w:autoSpaceDE w:val="0"/>
              <w:autoSpaceDN w:val="0"/>
              <w:adjustRightInd w:val="0"/>
              <w:snapToGrid w:val="0"/>
              <w:spacing w:line="420" w:lineRule="exact"/>
              <w:ind w:firstLine="422" w:firstLineChars="200"/>
              <w:jc w:val="left"/>
              <w:rPr>
                <w:kern w:val="0"/>
                <w:szCs w:val="21"/>
              </w:rPr>
            </w:pPr>
            <w:r>
              <w:rPr>
                <w:rFonts w:hint="eastAsia"/>
                <w:b/>
                <w:kern w:val="0"/>
                <w:szCs w:val="21"/>
              </w:rPr>
              <w:t>车辆冲洗用水：</w:t>
            </w:r>
            <w:r>
              <w:rPr>
                <w:rFonts w:hint="eastAsia"/>
                <w:kern w:val="0"/>
                <w:szCs w:val="21"/>
              </w:rPr>
              <w:t>项目区进出口已设有车辆冲洗平台，对车辆进行冲洗。按照经验数据，每辆汽车单次冲洗用水按100L/辆·次计。经估算，污泥利用项目实施后运输车次约20次/日，则车辆冲洗用水量为2.0m</w:t>
            </w:r>
            <w:r>
              <w:rPr>
                <w:rFonts w:hint="eastAsia"/>
                <w:kern w:val="0"/>
                <w:szCs w:val="21"/>
                <w:vertAlign w:val="superscript"/>
              </w:rPr>
              <w:t>3</w:t>
            </w:r>
            <w:r>
              <w:rPr>
                <w:rFonts w:hint="eastAsia"/>
                <w:kern w:val="0"/>
                <w:szCs w:val="21"/>
              </w:rPr>
              <w:t>/d。冲洗废水产生量按用水量的80%计，则冲洗废水产生量为1.6m</w:t>
            </w:r>
            <w:r>
              <w:rPr>
                <w:rFonts w:hint="eastAsia"/>
                <w:kern w:val="0"/>
                <w:szCs w:val="21"/>
                <w:vertAlign w:val="superscript"/>
              </w:rPr>
              <w:t>3</w:t>
            </w:r>
            <w:r>
              <w:rPr>
                <w:rFonts w:hint="eastAsia"/>
                <w:kern w:val="0"/>
                <w:szCs w:val="21"/>
              </w:rPr>
              <w:t>/d。该部分废水主要污染物为SS，经沉淀池沉淀后回用于车辆冲洗，综合利用不外排。</w:t>
            </w:r>
          </w:p>
          <w:p>
            <w:pPr>
              <w:autoSpaceDE w:val="0"/>
              <w:autoSpaceDN w:val="0"/>
              <w:adjustRightInd w:val="0"/>
              <w:snapToGrid w:val="0"/>
              <w:spacing w:line="420" w:lineRule="exact"/>
              <w:ind w:firstLine="422" w:firstLineChars="200"/>
              <w:jc w:val="left"/>
              <w:rPr>
                <w:kern w:val="0"/>
                <w:szCs w:val="21"/>
              </w:rPr>
            </w:pPr>
            <w:r>
              <w:rPr>
                <w:b/>
                <w:kern w:val="0"/>
                <w:szCs w:val="21"/>
              </w:rPr>
              <w:t>厂区道路防尘洒水：</w:t>
            </w:r>
            <w:r>
              <w:rPr>
                <w:rFonts w:hint="eastAsia"/>
                <w:kern w:val="0"/>
                <w:szCs w:val="21"/>
              </w:rPr>
              <w:t>营运时需对厂内运输道路采取洒水降尘。项目厂区道路每次洒水量约1.0m</w:t>
            </w:r>
            <w:r>
              <w:rPr>
                <w:rFonts w:hint="eastAsia"/>
                <w:kern w:val="0"/>
                <w:szCs w:val="21"/>
                <w:vertAlign w:val="superscript"/>
              </w:rPr>
              <w:t>3</w:t>
            </w:r>
            <w:r>
              <w:rPr>
                <w:rFonts w:hint="eastAsia"/>
                <w:kern w:val="0"/>
                <w:szCs w:val="21"/>
              </w:rPr>
              <w:t>，洒水天数按200天/年计，则全年洒水量为200m</w:t>
            </w:r>
            <w:r>
              <w:rPr>
                <w:rFonts w:hint="eastAsia"/>
                <w:kern w:val="0"/>
                <w:szCs w:val="21"/>
                <w:vertAlign w:val="superscript"/>
              </w:rPr>
              <w:t>3</w:t>
            </w:r>
            <w:r>
              <w:rPr>
                <w:rFonts w:hint="eastAsia"/>
                <w:kern w:val="0"/>
                <w:szCs w:val="21"/>
              </w:rPr>
              <w:t>/a（</w:t>
            </w:r>
            <w:r>
              <w:rPr>
                <w:rFonts w:hint="eastAsia"/>
                <w:bCs/>
                <w:szCs w:val="28"/>
              </w:rPr>
              <w:t>0.67m</w:t>
            </w:r>
            <w:r>
              <w:rPr>
                <w:rFonts w:hint="eastAsia"/>
                <w:bCs/>
                <w:szCs w:val="28"/>
                <w:vertAlign w:val="superscript"/>
              </w:rPr>
              <w:t>3</w:t>
            </w:r>
            <w:r>
              <w:rPr>
                <w:rFonts w:hint="eastAsia"/>
                <w:bCs/>
                <w:szCs w:val="28"/>
              </w:rPr>
              <w:t>/d</w:t>
            </w:r>
            <w:r>
              <w:rPr>
                <w:bCs/>
                <w:szCs w:val="28"/>
              </w:rPr>
              <w:t>）</w:t>
            </w:r>
            <w:r>
              <w:rPr>
                <w:rFonts w:hint="eastAsia"/>
                <w:kern w:val="0"/>
                <w:szCs w:val="21"/>
              </w:rPr>
              <w:t>。道路洒水用水全部损耗，不外排。</w:t>
            </w:r>
          </w:p>
          <w:p>
            <w:pPr>
              <w:autoSpaceDE w:val="0"/>
              <w:autoSpaceDN w:val="0"/>
              <w:adjustRightInd w:val="0"/>
              <w:snapToGrid w:val="0"/>
              <w:spacing w:line="420" w:lineRule="exact"/>
              <w:ind w:firstLine="422" w:firstLineChars="200"/>
              <w:jc w:val="left"/>
              <w:rPr>
                <w:bCs/>
                <w:szCs w:val="28"/>
              </w:rPr>
            </w:pPr>
            <w:r>
              <w:rPr>
                <w:b/>
                <w:kern w:val="0"/>
                <w:szCs w:val="21"/>
              </w:rPr>
              <w:t>职工生活用水：</w:t>
            </w:r>
            <w:r>
              <w:rPr>
                <w:kern w:val="0"/>
                <w:szCs w:val="21"/>
              </w:rPr>
              <w:t>本项目</w:t>
            </w:r>
            <w:r>
              <w:rPr>
                <w:rFonts w:hint="eastAsia"/>
                <w:bCs/>
                <w:kern w:val="0"/>
                <w:szCs w:val="21"/>
              </w:rPr>
              <w:t>原料破碎、砖坯制造工序每天生产10</w:t>
            </w:r>
            <w:r>
              <w:rPr>
                <w:bCs/>
                <w:kern w:val="0"/>
                <w:szCs w:val="21"/>
              </w:rPr>
              <w:t>h/d</w:t>
            </w:r>
            <w:r>
              <w:rPr>
                <w:rFonts w:hint="eastAsia"/>
                <w:bCs/>
                <w:kern w:val="0"/>
                <w:szCs w:val="21"/>
              </w:rPr>
              <w:t>，夜间不安排生产；砖坯烘干、焙烧生产时间为24h/d。</w:t>
            </w:r>
            <w:r>
              <w:rPr>
                <w:kern w:val="0"/>
                <w:szCs w:val="21"/>
              </w:rPr>
              <w:t>职工人数为</w:t>
            </w:r>
            <w:r>
              <w:rPr>
                <w:rFonts w:hint="eastAsia"/>
                <w:kern w:val="0"/>
                <w:szCs w:val="21"/>
              </w:rPr>
              <w:t>40人，厂区不设食宿</w:t>
            </w:r>
            <w:r>
              <w:rPr>
                <w:kern w:val="0"/>
                <w:szCs w:val="21"/>
              </w:rPr>
              <w:t>。员工生活用水按</w:t>
            </w:r>
            <w:r>
              <w:rPr>
                <w:rFonts w:hint="eastAsia"/>
                <w:bCs/>
                <w:szCs w:val="28"/>
              </w:rPr>
              <w:t>50</w:t>
            </w:r>
            <w:r>
              <w:rPr>
                <w:bCs/>
                <w:szCs w:val="28"/>
              </w:rPr>
              <w:t>L/d</w:t>
            </w:r>
            <w:r>
              <w:rPr>
                <w:rFonts w:hint="eastAsia"/>
                <w:bCs/>
                <w:szCs w:val="28"/>
              </w:rPr>
              <w:t>·</w:t>
            </w:r>
            <w:r>
              <w:rPr>
                <w:bCs/>
                <w:szCs w:val="28"/>
              </w:rPr>
              <w:t>人计</w:t>
            </w:r>
            <w:r>
              <w:rPr>
                <w:rFonts w:hint="eastAsia"/>
                <w:bCs/>
                <w:szCs w:val="28"/>
              </w:rPr>
              <w:t>。经计算，</w:t>
            </w:r>
            <w:r>
              <w:rPr>
                <w:bCs/>
                <w:szCs w:val="28"/>
              </w:rPr>
              <w:t>职工生活用水量为</w:t>
            </w:r>
            <w:r>
              <w:rPr>
                <w:rFonts w:hint="eastAsia"/>
                <w:bCs/>
                <w:szCs w:val="28"/>
              </w:rPr>
              <w:t>2.0</w:t>
            </w:r>
            <w:r>
              <w:rPr>
                <w:bCs/>
                <w:szCs w:val="28"/>
              </w:rPr>
              <w:t>m</w:t>
            </w:r>
            <w:r>
              <w:rPr>
                <w:bCs/>
                <w:szCs w:val="28"/>
                <w:vertAlign w:val="superscript"/>
              </w:rPr>
              <w:t>3</w:t>
            </w:r>
            <w:r>
              <w:rPr>
                <w:bCs/>
                <w:szCs w:val="28"/>
              </w:rPr>
              <w:t>/d，</w:t>
            </w:r>
            <w:r>
              <w:rPr>
                <w:rFonts w:hint="eastAsia"/>
                <w:bCs/>
                <w:szCs w:val="28"/>
              </w:rPr>
              <w:t>产污系数按0.9计，则生活污水产生量为1.8</w:t>
            </w:r>
            <w:r>
              <w:rPr>
                <w:bCs/>
                <w:szCs w:val="28"/>
              </w:rPr>
              <w:t>m</w:t>
            </w:r>
            <w:r>
              <w:rPr>
                <w:bCs/>
                <w:szCs w:val="28"/>
                <w:vertAlign w:val="superscript"/>
              </w:rPr>
              <w:t>3</w:t>
            </w:r>
            <w:r>
              <w:rPr>
                <w:bCs/>
                <w:szCs w:val="28"/>
              </w:rPr>
              <w:t>/d。</w:t>
            </w:r>
          </w:p>
          <w:p>
            <w:pPr>
              <w:jc w:val="center"/>
            </w:pPr>
            <w:r>
              <w:drawing>
                <wp:anchor distT="0" distB="0" distL="114300" distR="114300" simplePos="0" relativeHeight="251741184" behindDoc="0" locked="0" layoutInCell="1" allowOverlap="1">
                  <wp:simplePos x="0" y="0"/>
                  <wp:positionH relativeFrom="column">
                    <wp:posOffset>815340</wp:posOffset>
                  </wp:positionH>
                  <wp:positionV relativeFrom="paragraph">
                    <wp:posOffset>4331970</wp:posOffset>
                  </wp:positionV>
                  <wp:extent cx="3887470" cy="91948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87470" cy="919480"/>
                          </a:xfrm>
                          <a:prstGeom prst="rect">
                            <a:avLst/>
                          </a:prstGeom>
                        </pic:spPr>
                      </pic:pic>
                    </a:graphicData>
                  </a:graphic>
                </wp:anchor>
              </w:drawing>
            </w:r>
            <w:r>
              <w:rPr>
                <w:rFonts w:eastAsia="黑体"/>
                <w:bCs/>
                <w:sz w:val="24"/>
              </w:rPr>
              <w:pict>
                <v:shape id="_x0000_s1163" o:spid="_x0000_s1163" o:spt="202" type="#_x0000_t202" style="position:absolute;left:0pt;margin-left:16.8pt;margin-top:222.5pt;height:16.25pt;width:48.6pt;z-index:251748352;mso-width-relative:page;mso-height-relative:page;" fillcolor="#FFFFFF" filled="t" stroked="f" coordsize="21600,21600">
                  <v:path/>
                  <v:fill on="t" focussize="0,0"/>
                  <v:stroke on="f" joinstyle="miter"/>
                  <v:imagedata o:title=""/>
                  <o:lock v:ext="edit"/>
                  <v:textbox>
                    <w:txbxContent>
                      <w:p>
                        <w:pPr>
                          <w:rPr>
                            <w:sz w:val="19"/>
                          </w:rPr>
                        </w:pPr>
                        <w:r>
                          <w:rPr>
                            <w:rFonts w:hint="eastAsia"/>
                            <w:sz w:val="19"/>
                          </w:rPr>
                          <w:t>71.582</w:t>
                        </w:r>
                      </w:p>
                    </w:txbxContent>
                  </v:textbox>
                </v:shape>
              </w:pict>
            </w:r>
            <w:r>
              <w:rPr>
                <w:rFonts w:eastAsia="黑体"/>
                <w:bCs/>
                <w:sz w:val="24"/>
              </w:rPr>
              <w:pict>
                <v:shape id="_x0000_s1162" o:spid="_x0000_s1162" o:spt="202" type="#_x0000_t202" style="position:absolute;left:0pt;margin-left:212.2pt;margin-top:42.2pt;height:15.6pt;width:33.25pt;z-index:251747328;mso-width-relative:page;mso-height-relative:page;" filled="f" stroked="f" coordsize="21600,21600">
                  <v:path/>
                  <v:fill on="f" focussize="0,0"/>
                  <v:stroke on="f" joinstyle="miter"/>
                  <v:imagedata o:title=""/>
                  <o:lock v:ext="edit"/>
                  <v:textbox>
                    <w:txbxContent>
                      <w:p>
                        <w:pPr>
                          <w:rPr>
                            <w:sz w:val="19"/>
                          </w:rPr>
                        </w:pPr>
                        <w:r>
                          <w:rPr>
                            <w:rFonts w:hint="eastAsia"/>
                            <w:sz w:val="19"/>
                          </w:rPr>
                          <w:t>32.5</w:t>
                        </w:r>
                      </w:p>
                    </w:txbxContent>
                  </v:textbox>
                </v:shape>
              </w:pict>
            </w:r>
            <w:r>
              <w:rPr>
                <w:rFonts w:eastAsia="黑体"/>
                <w:bCs/>
                <w:sz w:val="24"/>
              </w:rPr>
              <w:pict>
                <v:shape id="_x0000_s1160" o:spid="_x0000_s1160" o:spt="202" type="#_x0000_t202" style="position:absolute;left:0pt;margin-left:80pt;margin-top:44.2pt;height:17.6pt;width:36.55pt;z-index:251746304;mso-width-relative:page;mso-height-relative:page;" filled="f" stroked="f" coordsize="21600,21600">
                  <v:path/>
                  <v:fill on="f" focussize="0,0"/>
                  <v:stroke on="f" joinstyle="miter"/>
                  <v:imagedata o:title=""/>
                  <o:lock v:ext="edit"/>
                  <v:textbox>
                    <w:txbxContent>
                      <w:p>
                        <w:pPr>
                          <w:rPr>
                            <w:sz w:val="18"/>
                          </w:rPr>
                        </w:pPr>
                        <w:r>
                          <w:rPr>
                            <w:rFonts w:hint="eastAsia"/>
                            <w:sz w:val="18"/>
                          </w:rPr>
                          <w:t>32.5</w:t>
                        </w:r>
                      </w:p>
                    </w:txbxContent>
                  </v:textbox>
                </v:shape>
              </w:pict>
            </w:r>
            <w:r>
              <w:rPr>
                <w:rFonts w:eastAsia="黑体"/>
                <w:bCs/>
                <w:sz w:val="24"/>
              </w:rPr>
              <w:pict>
                <v:rect id="_x0000_s1159" o:spid="_x0000_s1159" o:spt="1" style="position:absolute;left:0pt;margin-left:214.9pt;margin-top:46.2pt;height:8.5pt;width:14pt;z-index:251745280;mso-width-relative:page;mso-height-relative:page;" stroked="f" coordsize="21600,21600">
                  <v:path/>
                  <v:fill focussize="0,0"/>
                  <v:stroke on="f"/>
                  <v:imagedata o:title=""/>
                  <o:lock v:ext="edit"/>
                </v:rect>
              </w:pict>
            </w:r>
            <w:r>
              <w:rPr>
                <w:rFonts w:eastAsia="黑体"/>
                <w:bCs/>
                <w:sz w:val="24"/>
              </w:rPr>
              <w:pict>
                <v:shape id="_x0000_s1157" o:spid="_x0000_s1157" o:spt="202" type="#_x0000_t202" style="position:absolute;left:0pt;margin-left:90.75pt;margin-top:44.2pt;height:12.4pt;width:17.3pt;z-index:251744256;mso-width-relative:page;mso-height-relative:page;" stroked="f" coordsize="21600,21600">
                  <v:path/>
                  <v:fill focussize="0,0"/>
                  <v:stroke on="f" joinstyle="miter"/>
                  <v:imagedata o:title=""/>
                  <o:lock v:ext="edit"/>
                  <v:textbox>
                    <w:txbxContent>
                      <w:p/>
                    </w:txbxContent>
                  </v:textbox>
                </v:shape>
              </w:pict>
            </w:r>
            <w:r>
              <w:drawing>
                <wp:inline distT="0" distB="0" distL="114300" distR="114300">
                  <wp:extent cx="4768215" cy="436435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rcRect b="28125"/>
                          <a:stretch>
                            <a:fillRect/>
                          </a:stretch>
                        </pic:blipFill>
                        <pic:spPr>
                          <a:xfrm>
                            <a:off x="0" y="0"/>
                            <a:ext cx="4772025" cy="4367806"/>
                          </a:xfrm>
                          <a:prstGeom prst="rect">
                            <a:avLst/>
                          </a:prstGeom>
                          <a:noFill/>
                          <a:ln>
                            <a:noFill/>
                          </a:ln>
                        </pic:spPr>
                      </pic:pic>
                    </a:graphicData>
                  </a:graphic>
                </wp:inline>
              </w:drawing>
            </w:r>
          </w:p>
          <w:p>
            <w:pPr>
              <w:adjustRightInd w:val="0"/>
              <w:snapToGrid w:val="0"/>
              <w:spacing w:line="410" w:lineRule="exact"/>
              <w:ind w:left="-53" w:leftChars="-25" w:right="-53" w:rightChars="-25"/>
              <w:jc w:val="left"/>
              <w:rPr>
                <w:rFonts w:eastAsia="黑体"/>
                <w:bCs/>
                <w:sz w:val="22"/>
                <w:szCs w:val="22"/>
              </w:rPr>
            </w:pPr>
          </w:p>
          <w:p>
            <w:pPr>
              <w:adjustRightInd w:val="0"/>
              <w:snapToGrid w:val="0"/>
              <w:spacing w:line="410" w:lineRule="exact"/>
              <w:ind w:left="-53" w:leftChars="-25" w:right="-53" w:rightChars="-25"/>
              <w:jc w:val="left"/>
              <w:rPr>
                <w:rFonts w:eastAsia="黑体"/>
                <w:bCs/>
                <w:sz w:val="22"/>
                <w:szCs w:val="22"/>
              </w:rPr>
            </w:pPr>
          </w:p>
          <w:p>
            <w:pPr>
              <w:adjustRightInd w:val="0"/>
              <w:snapToGrid w:val="0"/>
              <w:spacing w:line="410" w:lineRule="exact"/>
              <w:ind w:left="-53" w:leftChars="-25" w:right="-53" w:rightChars="-25"/>
              <w:jc w:val="left"/>
              <w:rPr>
                <w:rFonts w:eastAsia="黑体"/>
                <w:bCs/>
                <w:sz w:val="22"/>
                <w:szCs w:val="22"/>
              </w:rPr>
            </w:pPr>
            <w:r>
              <w:rPr>
                <w:rFonts w:eastAsia="黑体"/>
                <w:bCs/>
                <w:sz w:val="24"/>
              </w:rPr>
              <w:pict>
                <v:shape id="_x0000_s1072" o:spid="_x0000_s1072" o:spt="202" type="#_x0000_t202" style="position:absolute;left:0pt;margin-left:102.75pt;margin-top:20.25pt;height:21.2pt;width:193.9pt;z-index:2517432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">
                  <v:path/>
                  <v:fill on="f" focussize="0,0"/>
                  <v:stroke on="f" weight="0.5pt" joinstyle="miter"/>
                  <v:imagedata o:title=""/>
                  <o:lock v:ext="edit"/>
                  <v:textbox>
                    <w:txbxContent>
                      <w:p>
                        <w:pPr>
                          <w:jc w:val="center"/>
                          <w:rPr>
                            <w:rFonts w:eastAsia="黑体"/>
                            <w:sz w:val="20"/>
                            <w:szCs w:val="21"/>
                          </w:rPr>
                        </w:pPr>
                        <w:r>
                          <w:rPr>
                            <w:rFonts w:eastAsia="黑体"/>
                            <w:sz w:val="20"/>
                            <w:szCs w:val="21"/>
                          </w:rPr>
                          <w:t>图2-</w:t>
                        </w:r>
                        <w:r>
                          <w:rPr>
                            <w:rFonts w:hint="eastAsia" w:eastAsia="黑体"/>
                            <w:sz w:val="20"/>
                            <w:szCs w:val="21"/>
                          </w:rPr>
                          <w:t>1</w:t>
                        </w:r>
                        <w:r>
                          <w:rPr>
                            <w:rFonts w:eastAsia="黑体"/>
                            <w:sz w:val="20"/>
                            <w:szCs w:val="21"/>
                          </w:rPr>
                          <w:t>：项目水平衡图  m</w:t>
                        </w:r>
                        <w:r>
                          <w:rPr>
                            <w:rFonts w:eastAsia="黑体"/>
                            <w:sz w:val="20"/>
                            <w:szCs w:val="21"/>
                            <w:vertAlign w:val="superscript"/>
                          </w:rPr>
                          <w:t>3</w:t>
                        </w:r>
                        <w:r>
                          <w:rPr>
                            <w:rFonts w:eastAsia="黑体"/>
                            <w:sz w:val="20"/>
                            <w:szCs w:val="21"/>
                          </w:rPr>
                          <w:t>/d</w:t>
                        </w:r>
                      </w:p>
                    </w:txbxContent>
                  </v:textbox>
                </v:shape>
              </w:pict>
            </w:r>
          </w:p>
          <w:p>
            <w:pPr>
              <w:adjustRightInd w:val="0"/>
              <w:snapToGrid w:val="0"/>
              <w:spacing w:line="410" w:lineRule="exact"/>
              <w:ind w:left="-53" w:leftChars="-25" w:right="-53" w:rightChars="-25"/>
              <w:jc w:val="left"/>
              <w:rPr>
                <w:rFonts w:eastAsia="黑体"/>
                <w:bCs/>
                <w:sz w:val="22"/>
                <w:szCs w:val="22"/>
              </w:rPr>
            </w:pPr>
          </w:p>
          <w:p>
            <w:pPr>
              <w:adjustRightInd w:val="0"/>
              <w:snapToGrid w:val="0"/>
              <w:spacing w:line="410" w:lineRule="exact"/>
              <w:ind w:left="-53" w:leftChars="-25" w:right="-53" w:rightChars="-25"/>
              <w:jc w:val="left"/>
              <w:rPr>
                <w:rFonts w:eastAsia="黑体"/>
                <w:bCs/>
                <w:szCs w:val="21"/>
              </w:rPr>
            </w:pPr>
            <w:r>
              <w:rPr>
                <w:rFonts w:hint="eastAsia" w:eastAsia="黑体"/>
                <w:bCs/>
                <w:sz w:val="22"/>
                <w:szCs w:val="22"/>
              </w:rPr>
              <w:t>9</w:t>
            </w:r>
            <w:r>
              <w:rPr>
                <w:rFonts w:eastAsia="黑体"/>
                <w:bCs/>
                <w:sz w:val="22"/>
                <w:szCs w:val="22"/>
              </w:rPr>
              <w:t>、劳动</w:t>
            </w:r>
            <w:r>
              <w:rPr>
                <w:rFonts w:eastAsia="黑体"/>
                <w:bCs/>
                <w:szCs w:val="21"/>
              </w:rPr>
              <w:t>定员及工作制度</w:t>
            </w:r>
          </w:p>
          <w:p>
            <w:pPr>
              <w:autoSpaceDE w:val="0"/>
              <w:autoSpaceDN w:val="0"/>
              <w:adjustRightInd w:val="0"/>
              <w:snapToGrid w:val="0"/>
              <w:spacing w:line="410" w:lineRule="exact"/>
              <w:ind w:firstLine="422" w:firstLineChars="200"/>
              <w:jc w:val="left"/>
              <w:rPr>
                <w:bCs/>
                <w:kern w:val="0"/>
                <w:szCs w:val="21"/>
              </w:rPr>
            </w:pPr>
            <w:r>
              <w:rPr>
                <w:b/>
                <w:bCs/>
                <w:kern w:val="0"/>
                <w:szCs w:val="21"/>
              </w:rPr>
              <w:t>劳动定员：</w:t>
            </w:r>
            <w:r>
              <w:rPr>
                <w:rFonts w:hint="eastAsia"/>
                <w:bCs/>
                <w:kern w:val="0"/>
                <w:szCs w:val="21"/>
              </w:rPr>
              <w:t>本项目现有工作人员40</w:t>
            </w:r>
            <w:r>
              <w:rPr>
                <w:bCs/>
                <w:kern w:val="0"/>
                <w:szCs w:val="21"/>
              </w:rPr>
              <w:t>人</w:t>
            </w:r>
            <w:r>
              <w:rPr>
                <w:rFonts w:hint="eastAsia"/>
                <w:bCs/>
                <w:kern w:val="0"/>
                <w:szCs w:val="21"/>
              </w:rPr>
              <w:t>。其中管理人员6人，生产员工34人，厂区不设食宿</w:t>
            </w:r>
            <w:r>
              <w:rPr>
                <w:bCs/>
                <w:kern w:val="0"/>
                <w:szCs w:val="21"/>
              </w:rPr>
              <w:t>。本项目实施后，不新增员工。</w:t>
            </w:r>
          </w:p>
          <w:p>
            <w:pPr>
              <w:autoSpaceDE w:val="0"/>
              <w:autoSpaceDN w:val="0"/>
              <w:adjustRightInd w:val="0"/>
              <w:snapToGrid w:val="0"/>
              <w:spacing w:line="410" w:lineRule="exact"/>
              <w:ind w:firstLine="422" w:firstLineChars="200"/>
              <w:jc w:val="left"/>
              <w:rPr>
                <w:kern w:val="0"/>
                <w:szCs w:val="21"/>
              </w:rPr>
            </w:pPr>
            <w:r>
              <w:rPr>
                <w:b/>
                <w:bCs/>
                <w:kern w:val="0"/>
                <w:szCs w:val="21"/>
              </w:rPr>
              <w:t>工作制度：</w:t>
            </w:r>
            <w:r>
              <w:rPr>
                <w:rFonts w:hint="eastAsia"/>
                <w:bCs/>
                <w:kern w:val="0"/>
                <w:szCs w:val="21"/>
              </w:rPr>
              <w:t>项目</w:t>
            </w:r>
            <w:r>
              <w:rPr>
                <w:bCs/>
                <w:kern w:val="0"/>
                <w:szCs w:val="21"/>
              </w:rPr>
              <w:t>投产后，年</w:t>
            </w:r>
            <w:r>
              <w:rPr>
                <w:rFonts w:hint="eastAsia"/>
                <w:bCs/>
                <w:kern w:val="0"/>
                <w:szCs w:val="21"/>
              </w:rPr>
              <w:t>生产</w:t>
            </w:r>
            <w:r>
              <w:rPr>
                <w:bCs/>
                <w:kern w:val="0"/>
                <w:szCs w:val="21"/>
              </w:rPr>
              <w:t>300天</w:t>
            </w:r>
            <w:r>
              <w:rPr>
                <w:rFonts w:hint="eastAsia"/>
                <w:bCs/>
                <w:kern w:val="0"/>
                <w:szCs w:val="21"/>
              </w:rPr>
              <w:t>。原料破碎、砖坯制造工序每天生产10</w:t>
            </w:r>
            <w:r>
              <w:rPr>
                <w:bCs/>
                <w:kern w:val="0"/>
                <w:szCs w:val="21"/>
              </w:rPr>
              <w:t>h/d</w:t>
            </w:r>
            <w:r>
              <w:rPr>
                <w:rFonts w:hint="eastAsia"/>
                <w:bCs/>
                <w:kern w:val="0"/>
                <w:szCs w:val="21"/>
              </w:rPr>
              <w:t>，夜间不安排生产；污泥烘干作业时间不固定，但仅在昼间进行且不超过8小时/天；砖坯烘干、焙烧生产时间为24h/d。</w:t>
            </w:r>
          </w:p>
          <w:p>
            <w:pPr>
              <w:adjustRightInd w:val="0"/>
              <w:snapToGrid w:val="0"/>
              <w:spacing w:line="410" w:lineRule="exact"/>
              <w:ind w:left="-53" w:leftChars="-25" w:right="-53" w:rightChars="-25"/>
              <w:jc w:val="left"/>
              <w:rPr>
                <w:rFonts w:eastAsia="黑体"/>
                <w:bCs/>
                <w:szCs w:val="21"/>
              </w:rPr>
            </w:pPr>
            <w:r>
              <w:rPr>
                <w:rFonts w:hint="eastAsia" w:eastAsia="黑体"/>
                <w:bCs/>
                <w:szCs w:val="21"/>
              </w:rPr>
              <w:t>10</w:t>
            </w:r>
            <w:r>
              <w:rPr>
                <w:rFonts w:eastAsia="黑体"/>
                <w:bCs/>
                <w:szCs w:val="21"/>
              </w:rPr>
              <w:t>、平面布置情况</w:t>
            </w:r>
            <w:r>
              <w:rPr>
                <w:rFonts w:hint="eastAsia" w:eastAsia="黑体"/>
                <w:bCs/>
                <w:szCs w:val="21"/>
              </w:rPr>
              <w:t>及合理性</w:t>
            </w:r>
          </w:p>
          <w:p>
            <w:pPr>
              <w:autoSpaceDE w:val="0"/>
              <w:autoSpaceDN w:val="0"/>
              <w:adjustRightInd w:val="0"/>
              <w:snapToGrid w:val="0"/>
              <w:spacing w:line="410" w:lineRule="exact"/>
              <w:ind w:firstLine="420" w:firstLineChars="200"/>
              <w:rPr>
                <w:kern w:val="0"/>
                <w:szCs w:val="21"/>
              </w:rPr>
            </w:pPr>
            <w:r>
              <w:rPr>
                <w:rFonts w:hint="eastAsia"/>
                <w:kern w:val="0"/>
                <w:szCs w:val="21"/>
              </w:rPr>
              <w:t>本次污泥综合利用技改项目是在现有烧结砖生产线厂区内实施，</w:t>
            </w:r>
            <w:r>
              <w:rPr>
                <w:kern w:val="0"/>
                <w:szCs w:val="21"/>
              </w:rPr>
              <w:t>不对现有厂区</w:t>
            </w:r>
            <w:r>
              <w:rPr>
                <w:rFonts w:hint="eastAsia"/>
                <w:kern w:val="0"/>
                <w:szCs w:val="21"/>
              </w:rPr>
              <w:t>内</w:t>
            </w:r>
            <w:r>
              <w:rPr>
                <w:kern w:val="0"/>
                <w:szCs w:val="21"/>
              </w:rPr>
              <w:t>平面布置做出调整</w:t>
            </w:r>
            <w:r>
              <w:rPr>
                <w:rFonts w:hint="eastAsia"/>
                <w:kern w:val="0"/>
                <w:szCs w:val="21"/>
              </w:rPr>
              <w:t>。本次拟在原料堆煤旁新建一个污泥贮存间以及污泥烘干设施。</w:t>
            </w:r>
          </w:p>
          <w:p>
            <w:pPr>
              <w:autoSpaceDE w:val="0"/>
              <w:autoSpaceDN w:val="0"/>
              <w:adjustRightInd w:val="0"/>
              <w:snapToGrid w:val="0"/>
              <w:spacing w:line="410" w:lineRule="exact"/>
              <w:ind w:firstLine="420" w:firstLineChars="200"/>
              <w:jc w:val="left"/>
              <w:rPr>
                <w:kern w:val="0"/>
                <w:szCs w:val="21"/>
              </w:rPr>
            </w:pPr>
            <w:r>
              <w:rPr>
                <w:rFonts w:hint="eastAsia"/>
                <w:kern w:val="0"/>
                <w:szCs w:val="21"/>
              </w:rPr>
              <w:t>根据现场踏勘，项目厂区占地整体上呈南北走向的长方形。厂区入口位于占地北侧，此处靠近附近道路，方便运输。厂区入口处设为办公及工具房，隧道窑顺应厂区占地走向，由北向南布置，北侧为窑头南侧为窑尾，砖坯由窑尾进窑头出。隧道窑位于占地中部，西侧为成品砖堆码区及转运道路。厂区南侧地势较开阔，便于原料堆场布置。原料堆场北侧隧道窑窑尾东侧布置为原料破碎筛分、制砖车间及砖坯码放区。变压器及危废间位于隧道窑西侧转运道路旁。本次新增的污泥贮存间及污泥烘干设施均位于原料堆场内。西侧布置为污泥贮存及烘干设施。新增的设施尽量靠西面布置，远离项目东面及东南面邻近的住户，降低噪声污染影响。同时更换现有破损围挡，确保噪声不扰民。</w:t>
            </w:r>
            <w:r>
              <w:rPr>
                <w:rFonts w:hint="eastAsia"/>
                <w:bCs/>
                <w:kern w:val="0"/>
                <w:szCs w:val="21"/>
              </w:rPr>
              <w:t>本项目新增设施主要是利用现有厂区的闲置区域，不对现有生产设施布局造成影响。同时污泥贮存间靠近原料堆棚，方便生产。</w:t>
            </w:r>
            <w:r>
              <w:rPr>
                <w:kern w:val="0"/>
                <w:szCs w:val="21"/>
              </w:rPr>
              <w:t>项目生产设施布置紧凑，按照生</w:t>
            </w:r>
            <w:r>
              <w:rPr>
                <w:rFonts w:hint="eastAsia"/>
                <w:kern w:val="0"/>
                <w:szCs w:val="21"/>
              </w:rPr>
              <w:t>产</w:t>
            </w:r>
            <w:r>
              <w:rPr>
                <w:kern w:val="0"/>
                <w:szCs w:val="21"/>
              </w:rPr>
              <w:t>工艺流程依次布置，既节省运距，又最大限度的减少了搬运、制作过程中产生的污染，且产噪产尘环节尽量</w:t>
            </w:r>
            <w:r>
              <w:rPr>
                <w:rFonts w:hint="eastAsia"/>
                <w:kern w:val="0"/>
                <w:szCs w:val="21"/>
              </w:rPr>
              <w:t>远离东面住户</w:t>
            </w:r>
            <w:r>
              <w:rPr>
                <w:kern w:val="0"/>
                <w:szCs w:val="21"/>
              </w:rPr>
              <w:t>，减小了对周围环境的影响，同时使土地得到合理有效的利用；办公区和生产区分离，场区功能区明确，便于项目生产活动的管理；原料堆场</w:t>
            </w:r>
            <w:r>
              <w:rPr>
                <w:rFonts w:hint="eastAsia"/>
                <w:kern w:val="0"/>
                <w:szCs w:val="21"/>
              </w:rPr>
              <w:t>与</w:t>
            </w:r>
            <w:r>
              <w:rPr>
                <w:kern w:val="0"/>
                <w:szCs w:val="21"/>
              </w:rPr>
              <w:t>产品堆场</w:t>
            </w:r>
            <w:r>
              <w:rPr>
                <w:rFonts w:hint="eastAsia"/>
                <w:kern w:val="0"/>
                <w:szCs w:val="21"/>
              </w:rPr>
              <w:t>均有独立的道路与附近国道公路</w:t>
            </w:r>
            <w:r>
              <w:rPr>
                <w:kern w:val="0"/>
                <w:szCs w:val="21"/>
              </w:rPr>
              <w:t>连接，运输方便。</w:t>
            </w:r>
          </w:p>
          <w:p>
            <w:pPr>
              <w:autoSpaceDE w:val="0"/>
              <w:autoSpaceDN w:val="0"/>
              <w:adjustRightInd w:val="0"/>
              <w:snapToGrid w:val="0"/>
              <w:jc w:val="center"/>
              <w:rPr>
                <w:kern w:val="0"/>
                <w:szCs w:val="21"/>
              </w:rPr>
            </w:pPr>
            <w:r>
              <w:drawing>
                <wp:inline distT="0" distB="0" distL="0" distR="0">
                  <wp:extent cx="4958715" cy="33686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4958861" cy="3369041"/>
                          </a:xfrm>
                          <a:prstGeom prst="rect">
                            <a:avLst/>
                          </a:prstGeom>
                        </pic:spPr>
                      </pic:pic>
                    </a:graphicData>
                  </a:graphic>
                </wp:inline>
              </w:drawing>
            </w:r>
          </w:p>
          <w:p>
            <w:pPr>
              <w:autoSpaceDE w:val="0"/>
              <w:autoSpaceDN w:val="0"/>
              <w:adjustRightInd w:val="0"/>
              <w:snapToGrid w:val="0"/>
              <w:jc w:val="center"/>
              <w:rPr>
                <w:kern w:val="0"/>
                <w:szCs w:val="21"/>
              </w:rPr>
            </w:pPr>
            <w:r>
              <w:rPr>
                <w:rFonts w:eastAsia="黑体"/>
                <w:bCs/>
                <w:sz w:val="24"/>
              </w:rPr>
              <w:pict>
                <v:shape id="文本框 10" o:spid="_x0000_s1074" o:spt="202" type="#_x0000_t202" style="position:absolute;left:0pt;margin-left:102.7pt;margin-top:3.9pt;height:21.2pt;width:193.9pt;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">
                  <v:path/>
                  <v:fill on="f" focussize="0,0"/>
                  <v:stroke on="f" weight="0.5pt" joinstyle="miter"/>
                  <v:imagedata o:title=""/>
                  <o:lock v:ext="edit"/>
                  <v:textbox>
                    <w:txbxContent>
                      <w:p>
                        <w:pPr>
                          <w:jc w:val="center"/>
                          <w:rPr>
                            <w:rFonts w:ascii="黑体" w:hAnsi="黑体" w:eastAsia="黑体"/>
                            <w:sz w:val="20"/>
                            <w:szCs w:val="21"/>
                          </w:rPr>
                        </w:pPr>
                        <w:r>
                          <w:rPr>
                            <w:rFonts w:hint="eastAsia" w:ascii="黑体" w:hAnsi="黑体" w:eastAsia="黑体"/>
                            <w:sz w:val="20"/>
                            <w:szCs w:val="21"/>
                          </w:rPr>
                          <w:t>图2-2：项目厂区总平面布置图</w:t>
                        </w:r>
                      </w:p>
                    </w:txbxContent>
                  </v:textbox>
                </v:shape>
              </w:pict>
            </w:r>
          </w:p>
          <w:p>
            <w:pPr>
              <w:autoSpaceDE w:val="0"/>
              <w:autoSpaceDN w:val="0"/>
              <w:adjustRightInd w:val="0"/>
              <w:snapToGrid w:val="0"/>
              <w:jc w:val="center"/>
              <w:rPr>
                <w:kern w:val="0"/>
                <w:szCs w:val="21"/>
              </w:rPr>
            </w:pPr>
          </w:p>
          <w:p>
            <w:pPr>
              <w:pStyle w:val="26"/>
              <w:numPr>
                <w:ilvl w:val="0"/>
                <w:numId w:val="0"/>
              </w:numPr>
            </w:pPr>
          </w:p>
          <w:p/>
          <w:p>
            <w:pPr>
              <w:pStyle w:val="26"/>
              <w:numPr>
                <w:ilvl w:val="0"/>
                <w:numId w:val="0"/>
              </w:numPr>
              <w:spacing w:before="0" w:beforeAutospacing="0" w:after="0" w:afterAutospacing="0" w:line="100" w:lineRule="exact"/>
            </w:pPr>
          </w:p>
          <w:p/>
          <w:p/>
          <w:p/>
          <w:p>
            <w:pPr>
              <w:spacing w:line="100" w:lineRule="exact"/>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534" w:hRule="atLeast"/>
        </w:trPr>
        <w:tc>
          <w:tcPr>
            <w:tcW w:w="736" w:type="dxa"/>
            <w:tcBorders>
              <w:top w:val="single" w:color="auto" w:sz="4" w:space="0"/>
              <w:left w:val="single" w:color="auto" w:sz="8" w:space="0"/>
              <w:bottom w:val="single" w:color="auto" w:sz="4" w:space="0"/>
              <w:right w:val="single" w:color="auto" w:sz="4" w:space="0"/>
            </w:tcBorders>
            <w:vAlign w:val="center"/>
          </w:tcPr>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工艺流程和产排污环节</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工艺流程和产排污环节</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工艺流程和产排污环节</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line="100" w:lineRule="exact"/>
              <w:jc w:val="center"/>
              <w:rPr>
                <w:rFonts w:ascii="Times New Roman" w:hAnsi="Times New Roman" w:cs="Times New Roman"/>
                <w:sz w:val="21"/>
                <w:szCs w:val="21"/>
              </w:rPr>
            </w:pPr>
          </w:p>
          <w:p>
            <w:pPr>
              <w:pStyle w:val="18"/>
              <w:adjustRightInd w:val="0"/>
              <w:snapToGrid w:val="0"/>
              <w:spacing w:before="0" w:beforeAutospacing="0" w:after="0" w:afterAutospacing="0" w:line="100" w:lineRule="exact"/>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工艺流程和产排污环节</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tc>
        <w:tc>
          <w:tcPr>
            <w:tcW w:w="8142" w:type="dxa"/>
            <w:tcBorders>
              <w:top w:val="single" w:color="auto" w:sz="4" w:space="0"/>
              <w:left w:val="single" w:color="auto" w:sz="4" w:space="0"/>
              <w:bottom w:val="single" w:color="auto" w:sz="4" w:space="0"/>
              <w:right w:val="single" w:color="auto" w:sz="8" w:space="0"/>
            </w:tcBorders>
          </w:tcPr>
          <w:p>
            <w:pPr>
              <w:adjustRightInd w:val="0"/>
              <w:snapToGrid w:val="0"/>
              <w:spacing w:line="400" w:lineRule="exact"/>
              <w:ind w:left="-53" w:leftChars="-25" w:right="-53" w:rightChars="-25"/>
              <w:jc w:val="left"/>
              <w:rPr>
                <w:rFonts w:eastAsia="黑体"/>
                <w:bCs/>
                <w:sz w:val="24"/>
              </w:rPr>
            </w:pPr>
            <w:r>
              <w:rPr>
                <w:rFonts w:hint="eastAsia" w:eastAsia="黑体"/>
                <w:bCs/>
                <w:sz w:val="22"/>
                <w:szCs w:val="22"/>
              </w:rPr>
              <w:t>1</w:t>
            </w:r>
            <w:r>
              <w:rPr>
                <w:rFonts w:eastAsia="黑体"/>
                <w:bCs/>
                <w:sz w:val="22"/>
                <w:szCs w:val="22"/>
              </w:rPr>
              <w:t>、施工期工艺流程</w:t>
            </w:r>
          </w:p>
          <w:p>
            <w:pPr>
              <w:autoSpaceDE w:val="0"/>
              <w:autoSpaceDN w:val="0"/>
              <w:adjustRightInd w:val="0"/>
              <w:snapToGrid w:val="0"/>
              <w:spacing w:line="400" w:lineRule="exact"/>
              <w:ind w:firstLine="420" w:firstLineChars="200"/>
              <w:jc w:val="left"/>
              <w:rPr>
                <w:kern w:val="0"/>
                <w:szCs w:val="21"/>
              </w:rPr>
            </w:pPr>
            <w:r>
              <w:rPr>
                <w:kern w:val="0"/>
                <w:szCs w:val="21"/>
              </w:rPr>
              <w:t>（1）工艺流程</w:t>
            </w:r>
          </w:p>
          <w:p>
            <w:pPr>
              <w:autoSpaceDE w:val="0"/>
              <w:autoSpaceDN w:val="0"/>
              <w:adjustRightInd w:val="0"/>
              <w:snapToGrid w:val="0"/>
              <w:spacing w:line="400" w:lineRule="exact"/>
              <w:ind w:firstLine="420" w:firstLineChars="200"/>
              <w:jc w:val="left"/>
              <w:rPr>
                <w:kern w:val="0"/>
                <w:szCs w:val="21"/>
              </w:rPr>
            </w:pPr>
            <w:r>
              <w:rPr>
                <w:kern w:val="0"/>
                <w:szCs w:val="21"/>
              </w:rPr>
              <w:t>本项目是在现有厂区范围内进行建设，不涉及新增占地</w:t>
            </w:r>
            <w:r>
              <w:rPr>
                <w:rFonts w:hint="eastAsia"/>
                <w:kern w:val="0"/>
                <w:szCs w:val="21"/>
              </w:rPr>
              <w:t>。施工期涉及新建污泥贮存间及烘干设施，主要进行场地平整、沉淀池开挖、建构筑物建设、设备安装等。</w:t>
            </w:r>
          </w:p>
          <w:p>
            <w:pPr>
              <w:autoSpaceDE w:val="0"/>
              <w:autoSpaceDN w:val="0"/>
              <w:adjustRightInd w:val="0"/>
              <w:snapToGrid w:val="0"/>
              <w:spacing w:line="410" w:lineRule="exact"/>
              <w:ind w:firstLine="420" w:firstLineChars="200"/>
              <w:jc w:val="left"/>
              <w:rPr>
                <w:kern w:val="0"/>
                <w:szCs w:val="21"/>
              </w:rPr>
            </w:pPr>
            <w:r>
              <w:rPr>
                <w:kern w:val="0"/>
                <w:szCs w:val="21"/>
              </w:rPr>
              <w:t>施工期的产污工艺流程及产污位置如下图。</w:t>
            </w:r>
          </w:p>
          <w:p>
            <w:pPr>
              <w:autoSpaceDE w:val="0"/>
              <w:autoSpaceDN w:val="0"/>
              <w:adjustRightInd w:val="0"/>
              <w:snapToGrid w:val="0"/>
              <w:jc w:val="center"/>
              <w:rPr>
                <w:kern w:val="0"/>
                <w:szCs w:val="21"/>
              </w:rPr>
            </w:pPr>
            <w:r>
              <w:drawing>
                <wp:inline distT="0" distB="0" distL="114300" distR="114300">
                  <wp:extent cx="0" cy="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0" cy="0"/>
                          </a:xfrm>
                          <a:prstGeom prst="rect">
                            <a:avLst/>
                          </a:prstGeom>
                          <a:noFill/>
                          <a:ln>
                            <a:noFill/>
                          </a:ln>
                        </pic:spPr>
                      </pic:pic>
                    </a:graphicData>
                  </a:graphic>
                </wp:inline>
              </w:drawing>
            </w:r>
            <w:r>
              <w:drawing>
                <wp:inline distT="0" distB="0" distL="114300" distR="114300">
                  <wp:extent cx="4773295" cy="824865"/>
                  <wp:effectExtent l="0" t="0" r="825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4773295" cy="824865"/>
                          </a:xfrm>
                          <a:prstGeom prst="rect">
                            <a:avLst/>
                          </a:prstGeom>
                          <a:noFill/>
                          <a:ln>
                            <a:noFill/>
                          </a:ln>
                        </pic:spPr>
                      </pic:pic>
                    </a:graphicData>
                  </a:graphic>
                </wp:inline>
              </w:drawing>
            </w:r>
          </w:p>
          <w:p>
            <w:pPr>
              <w:autoSpaceDE w:val="0"/>
              <w:autoSpaceDN w:val="0"/>
              <w:adjustRightInd w:val="0"/>
              <w:snapToGrid w:val="0"/>
              <w:spacing w:line="410" w:lineRule="exact"/>
              <w:ind w:firstLine="420" w:firstLineChars="200"/>
              <w:jc w:val="left"/>
              <w:rPr>
                <w:kern w:val="0"/>
                <w:szCs w:val="21"/>
              </w:rPr>
            </w:pPr>
            <w:r>
              <w:rPr>
                <w:kern w:val="0"/>
                <w:szCs w:val="21"/>
              </w:rPr>
              <w:pict>
                <v:shape id="文本框 59" o:spid="_x0000_s1075" o:spt="202" type="#_x0000_t202" style="position:absolute;left:0pt;margin-left:22.1pt;margin-top:4.05pt;height:23pt;width:355.8pt;z-index:25167872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">
                  <v:path/>
                  <v:fill on="f" focussize="0,0"/>
                  <v:stroke on="f" weight="0.5pt" joinstyle="miter"/>
                  <v:imagedata o:title=""/>
                  <o:lock v:ext="edit"/>
                  <v:textbox>
                    <w:txbxContent>
                      <w:p>
                        <w:pPr>
                          <w:ind w:left="-53" w:leftChars="-25" w:right="-53" w:rightChars="-25"/>
                          <w:jc w:val="center"/>
                          <w:rPr>
                            <w:rFonts w:ascii="黑体" w:hAnsi="黑体" w:eastAsia="黑体"/>
                            <w:sz w:val="18"/>
                            <w:szCs w:val="18"/>
                          </w:rPr>
                        </w:pPr>
                        <w:r>
                          <w:rPr>
                            <w:rFonts w:hint="eastAsia" w:ascii="黑体" w:hAnsi="黑体" w:eastAsia="黑体"/>
                            <w:sz w:val="18"/>
                            <w:szCs w:val="18"/>
                          </w:rPr>
                          <w:t>图2-3：施工期工艺流程及产污环节图</w:t>
                        </w:r>
                      </w:p>
                    </w:txbxContent>
                  </v:textbox>
                </v:shape>
              </w:pict>
            </w:r>
          </w:p>
          <w:p>
            <w:pPr>
              <w:autoSpaceDE w:val="0"/>
              <w:autoSpaceDN w:val="0"/>
              <w:adjustRightInd w:val="0"/>
              <w:snapToGrid w:val="0"/>
              <w:spacing w:line="410" w:lineRule="exact"/>
              <w:ind w:firstLine="420" w:firstLineChars="200"/>
              <w:jc w:val="left"/>
              <w:rPr>
                <w:kern w:val="0"/>
                <w:szCs w:val="21"/>
              </w:rPr>
            </w:pPr>
            <w:r>
              <w:rPr>
                <w:kern w:val="0"/>
                <w:szCs w:val="21"/>
              </w:rPr>
              <w:t>（2）产污环节</w:t>
            </w:r>
          </w:p>
          <w:p>
            <w:pPr>
              <w:autoSpaceDE w:val="0"/>
              <w:autoSpaceDN w:val="0"/>
              <w:adjustRightInd w:val="0"/>
              <w:snapToGrid w:val="0"/>
              <w:spacing w:line="380" w:lineRule="exact"/>
              <w:ind w:firstLine="420" w:firstLineChars="200"/>
              <w:jc w:val="left"/>
              <w:rPr>
                <w:kern w:val="0"/>
                <w:szCs w:val="21"/>
              </w:rPr>
            </w:pPr>
            <w:r>
              <w:rPr>
                <w:rFonts w:hint="eastAsia" w:cs="宋体"/>
                <w:kern w:val="0"/>
                <w:szCs w:val="21"/>
              </w:rPr>
              <w:t>①施工扬尘与废气</w:t>
            </w:r>
          </w:p>
          <w:p>
            <w:pPr>
              <w:autoSpaceDE w:val="0"/>
              <w:autoSpaceDN w:val="0"/>
              <w:adjustRightInd w:val="0"/>
              <w:snapToGrid w:val="0"/>
              <w:spacing w:line="380" w:lineRule="exact"/>
              <w:ind w:firstLine="420" w:firstLineChars="200"/>
              <w:jc w:val="left"/>
              <w:rPr>
                <w:rFonts w:cs="宋体"/>
                <w:kern w:val="0"/>
                <w:szCs w:val="21"/>
              </w:rPr>
            </w:pPr>
            <w:r>
              <w:rPr>
                <w:rFonts w:hint="eastAsia" w:cs="宋体"/>
                <w:kern w:val="0"/>
                <w:szCs w:val="21"/>
              </w:rPr>
              <w:t>主要来源于场地平整、车辆运输、建筑材料堆放、装卸作业等过程；施工期使用机动车运输及施工机械运行会产生废气，废气中的主要污染物为</w:t>
            </w:r>
            <w:r>
              <w:rPr>
                <w:kern w:val="0"/>
                <w:szCs w:val="21"/>
              </w:rPr>
              <w:t>C</w:t>
            </w:r>
            <w:r>
              <w:rPr>
                <w:kern w:val="0"/>
                <w:szCs w:val="21"/>
                <w:vertAlign w:val="subscript"/>
              </w:rPr>
              <w:t>x</w:t>
            </w:r>
            <w:r>
              <w:rPr>
                <w:kern w:val="0"/>
                <w:szCs w:val="21"/>
              </w:rPr>
              <w:t>H</w:t>
            </w:r>
            <w:r>
              <w:rPr>
                <w:kern w:val="0"/>
                <w:szCs w:val="21"/>
                <w:vertAlign w:val="subscript"/>
              </w:rPr>
              <w:t>x</w:t>
            </w:r>
            <w:r>
              <w:rPr>
                <w:rFonts w:hint="eastAsia" w:cs="宋体"/>
                <w:kern w:val="0"/>
                <w:szCs w:val="21"/>
              </w:rPr>
              <w:t>、</w:t>
            </w:r>
            <w:r>
              <w:rPr>
                <w:kern w:val="0"/>
                <w:szCs w:val="21"/>
              </w:rPr>
              <w:t>CO</w:t>
            </w:r>
            <w:r>
              <w:rPr>
                <w:rFonts w:hint="eastAsia" w:cs="宋体"/>
                <w:kern w:val="0"/>
                <w:szCs w:val="21"/>
              </w:rPr>
              <w:t>、</w:t>
            </w:r>
            <w:r>
              <w:rPr>
                <w:kern w:val="0"/>
                <w:szCs w:val="21"/>
              </w:rPr>
              <w:t>NO</w:t>
            </w:r>
            <w:r>
              <w:rPr>
                <w:kern w:val="0"/>
                <w:szCs w:val="21"/>
                <w:vertAlign w:val="subscript"/>
              </w:rPr>
              <w:t>x</w:t>
            </w:r>
            <w:r>
              <w:rPr>
                <w:rFonts w:hint="eastAsia" w:cs="宋体"/>
                <w:kern w:val="0"/>
                <w:szCs w:val="21"/>
              </w:rPr>
              <w:t>。</w:t>
            </w:r>
          </w:p>
          <w:p>
            <w:pPr>
              <w:autoSpaceDE w:val="0"/>
              <w:autoSpaceDN w:val="0"/>
              <w:adjustRightInd w:val="0"/>
              <w:snapToGrid w:val="0"/>
              <w:spacing w:line="380" w:lineRule="exact"/>
              <w:ind w:firstLine="420" w:firstLineChars="200"/>
              <w:jc w:val="left"/>
              <w:rPr>
                <w:kern w:val="0"/>
                <w:szCs w:val="21"/>
              </w:rPr>
            </w:pPr>
            <w:r>
              <w:rPr>
                <w:rFonts w:hint="eastAsia" w:cs="宋体"/>
                <w:kern w:val="0"/>
                <w:szCs w:val="21"/>
              </w:rPr>
              <w:t>②施工废水</w:t>
            </w:r>
          </w:p>
          <w:p>
            <w:pPr>
              <w:autoSpaceDE w:val="0"/>
              <w:autoSpaceDN w:val="0"/>
              <w:adjustRightInd w:val="0"/>
              <w:snapToGrid w:val="0"/>
              <w:spacing w:line="380" w:lineRule="exact"/>
              <w:ind w:firstLine="420" w:firstLineChars="200"/>
              <w:jc w:val="left"/>
              <w:rPr>
                <w:kern w:val="0"/>
                <w:szCs w:val="21"/>
              </w:rPr>
            </w:pPr>
            <w:r>
              <w:rPr>
                <w:rFonts w:hint="eastAsia" w:cs="宋体"/>
                <w:kern w:val="0"/>
                <w:szCs w:val="21"/>
              </w:rPr>
              <w:t>主要来源于各种设备的冲洗废水，施工过程泥浆及降雨导致的散料和泥浆漫流，主要污染物为</w:t>
            </w:r>
            <w:r>
              <w:rPr>
                <w:kern w:val="0"/>
                <w:szCs w:val="21"/>
              </w:rPr>
              <w:t>SS</w:t>
            </w:r>
            <w:r>
              <w:rPr>
                <w:rFonts w:hint="eastAsia" w:cs="宋体"/>
                <w:kern w:val="0"/>
                <w:szCs w:val="21"/>
              </w:rPr>
              <w:t>。另外，施工人员会产生少量生活污水。</w:t>
            </w:r>
          </w:p>
          <w:p>
            <w:pPr>
              <w:autoSpaceDE w:val="0"/>
              <w:autoSpaceDN w:val="0"/>
              <w:adjustRightInd w:val="0"/>
              <w:snapToGrid w:val="0"/>
              <w:spacing w:line="380" w:lineRule="exact"/>
              <w:ind w:firstLine="420" w:firstLineChars="200"/>
              <w:jc w:val="left"/>
              <w:rPr>
                <w:kern w:val="0"/>
                <w:szCs w:val="21"/>
              </w:rPr>
            </w:pPr>
            <w:r>
              <w:rPr>
                <w:rFonts w:hint="eastAsia" w:cs="宋体"/>
                <w:kern w:val="0"/>
                <w:szCs w:val="21"/>
              </w:rPr>
              <w:t>③施工噪声</w:t>
            </w:r>
          </w:p>
          <w:p>
            <w:pPr>
              <w:autoSpaceDE w:val="0"/>
              <w:autoSpaceDN w:val="0"/>
              <w:adjustRightInd w:val="0"/>
              <w:snapToGrid w:val="0"/>
              <w:spacing w:line="380" w:lineRule="exact"/>
              <w:ind w:firstLine="396" w:firstLineChars="200"/>
              <w:jc w:val="left"/>
              <w:rPr>
                <w:spacing w:val="-6"/>
                <w:kern w:val="0"/>
                <w:szCs w:val="21"/>
              </w:rPr>
            </w:pPr>
            <w:r>
              <w:rPr>
                <w:rFonts w:hint="eastAsia" w:cs="宋体"/>
                <w:spacing w:val="-6"/>
                <w:kern w:val="0"/>
                <w:szCs w:val="21"/>
              </w:rPr>
              <w:t>主要来源于建筑施工阶段使用的各类机械设备的运行噪声，运输车辆的交通噪声等。</w:t>
            </w:r>
          </w:p>
          <w:p>
            <w:pPr>
              <w:autoSpaceDE w:val="0"/>
              <w:autoSpaceDN w:val="0"/>
              <w:adjustRightInd w:val="0"/>
              <w:snapToGrid w:val="0"/>
              <w:spacing w:line="380" w:lineRule="exact"/>
              <w:ind w:firstLine="420" w:firstLineChars="200"/>
              <w:jc w:val="left"/>
              <w:rPr>
                <w:kern w:val="0"/>
                <w:szCs w:val="21"/>
              </w:rPr>
            </w:pPr>
            <w:r>
              <w:rPr>
                <w:rFonts w:hint="eastAsia" w:cs="宋体"/>
                <w:kern w:val="0"/>
                <w:szCs w:val="21"/>
              </w:rPr>
              <w:t>④固体废物</w:t>
            </w:r>
          </w:p>
          <w:p>
            <w:pPr>
              <w:autoSpaceDE w:val="0"/>
              <w:autoSpaceDN w:val="0"/>
              <w:adjustRightInd w:val="0"/>
              <w:snapToGrid w:val="0"/>
              <w:spacing w:line="380" w:lineRule="exact"/>
              <w:ind w:firstLine="420" w:firstLineChars="200"/>
              <w:jc w:val="left"/>
              <w:rPr>
                <w:kern w:val="0"/>
                <w:szCs w:val="21"/>
              </w:rPr>
            </w:pPr>
            <w:r>
              <w:rPr>
                <w:rFonts w:hint="eastAsia" w:cs="宋体"/>
                <w:kern w:val="0"/>
                <w:szCs w:val="21"/>
              </w:rPr>
              <w:t>主要来源于施工过程产生的建筑垃圾、设备安装产生的废弃包装材料、施工人员的生活垃圾。</w:t>
            </w:r>
          </w:p>
          <w:p>
            <w:pPr>
              <w:adjustRightInd w:val="0"/>
              <w:snapToGrid w:val="0"/>
              <w:spacing w:line="410" w:lineRule="exact"/>
              <w:ind w:left="-53" w:leftChars="-25" w:right="-53" w:rightChars="-25"/>
              <w:jc w:val="left"/>
              <w:rPr>
                <w:rFonts w:eastAsia="黑体"/>
                <w:bCs/>
                <w:sz w:val="22"/>
                <w:szCs w:val="22"/>
              </w:rPr>
            </w:pPr>
            <w:r>
              <w:rPr>
                <w:rFonts w:hint="eastAsia" w:eastAsia="黑体"/>
                <w:bCs/>
                <w:sz w:val="22"/>
                <w:szCs w:val="22"/>
              </w:rPr>
              <w:t>2</w:t>
            </w:r>
            <w:r>
              <w:rPr>
                <w:rFonts w:eastAsia="黑体"/>
                <w:bCs/>
                <w:sz w:val="22"/>
                <w:szCs w:val="22"/>
              </w:rPr>
              <w:t>、营运期工艺流程</w:t>
            </w:r>
          </w:p>
          <w:p>
            <w:pPr>
              <w:autoSpaceDE w:val="0"/>
              <w:autoSpaceDN w:val="0"/>
              <w:adjustRightInd w:val="0"/>
              <w:snapToGrid w:val="0"/>
              <w:spacing w:line="410" w:lineRule="exact"/>
              <w:ind w:firstLine="420" w:firstLineChars="200"/>
              <w:jc w:val="left"/>
              <w:rPr>
                <w:b/>
                <w:kern w:val="0"/>
                <w:szCs w:val="21"/>
              </w:rPr>
            </w:pPr>
            <w:r>
              <w:rPr>
                <w:rFonts w:hint="eastAsia"/>
                <w:bCs/>
              </w:rPr>
              <w:t>项目主要进行污泥的综合利用，工艺流程介绍如下。</w:t>
            </w:r>
          </w:p>
          <w:p>
            <w:pPr>
              <w:autoSpaceDE w:val="0"/>
              <w:autoSpaceDN w:val="0"/>
              <w:adjustRightInd w:val="0"/>
              <w:snapToGrid w:val="0"/>
              <w:spacing w:line="410" w:lineRule="exact"/>
              <w:ind w:firstLine="422" w:firstLineChars="200"/>
              <w:jc w:val="left"/>
              <w:rPr>
                <w:b/>
                <w:kern w:val="0"/>
                <w:szCs w:val="21"/>
              </w:rPr>
            </w:pPr>
            <w:r>
              <w:rPr>
                <w:rFonts w:hint="eastAsia"/>
                <w:b/>
                <w:kern w:val="0"/>
                <w:szCs w:val="21"/>
              </w:rPr>
              <w:t>（1）工艺流程</w:t>
            </w:r>
          </w:p>
          <w:p>
            <w:pPr>
              <w:autoSpaceDE w:val="0"/>
              <w:autoSpaceDN w:val="0"/>
              <w:adjustRightInd w:val="0"/>
              <w:snapToGrid w:val="0"/>
              <w:spacing w:line="410" w:lineRule="exact"/>
              <w:ind w:firstLine="420" w:firstLineChars="200"/>
              <w:jc w:val="left"/>
              <w:rPr>
                <w:kern w:val="0"/>
                <w:szCs w:val="21"/>
              </w:rPr>
            </w:pPr>
            <w:r>
              <w:rPr>
                <w:rFonts w:hint="eastAsia"/>
                <w:kern w:val="0"/>
                <w:szCs w:val="21"/>
              </w:rPr>
              <w:t>①污泥烘干工艺流程</w:t>
            </w:r>
          </w:p>
          <w:p>
            <w:pPr>
              <w:autoSpaceDE w:val="0"/>
              <w:autoSpaceDN w:val="0"/>
              <w:adjustRightInd w:val="0"/>
              <w:snapToGrid w:val="0"/>
              <w:spacing w:line="410" w:lineRule="exact"/>
              <w:ind w:firstLine="420" w:firstLineChars="200"/>
              <w:jc w:val="left"/>
              <w:rPr>
                <w:kern w:val="0"/>
                <w:szCs w:val="21"/>
              </w:rPr>
            </w:pPr>
            <w:r>
              <w:pict>
                <v:shape id="_x0000_s1064" o:spid="_x0000_s1064" o:spt="202" type="#_x0000_t202" style="position:absolute;left:0pt;margin-left:228.35pt;margin-top:10.75pt;height:19.45pt;width:101.8pt;z-index:251732992;mso-width-relative:page;mso-height-relative:page;" filled="f" stroked="f" coordsize="21600,21600">
                  <v:path/>
                  <v:fill on="f" focussize="0,0"/>
                  <v:stroke on="f" joinstyle="miter"/>
                  <v:imagedata o:title=""/>
                  <o:lock v:ext="edit"/>
                  <v:textbox>
                    <w:txbxContent>
                      <w:p>
                        <w:pPr>
                          <w:spacing w:line="240" w:lineRule="exact"/>
                          <w:ind w:left="-53" w:leftChars="-25" w:right="-53" w:rightChars="-25"/>
                          <w:jc w:val="center"/>
                          <w:rPr>
                            <w:sz w:val="20"/>
                          </w:rPr>
                        </w:pPr>
                        <w:r>
                          <w:rPr>
                            <w:rFonts w:hint="eastAsia"/>
                            <w:sz w:val="20"/>
                          </w:rPr>
                          <w:t>干污泥（含水20%）</w:t>
                        </w:r>
                      </w:p>
                    </w:txbxContent>
                  </v:textbox>
                </v:shape>
              </w:pict>
            </w:r>
            <w:r>
              <w:pict>
                <v:shape id="_x0000_s1069" o:spid="_x0000_s1069" o:spt="202" type="#_x0000_t202" style="position:absolute;left:0pt;margin-left:158.65pt;margin-top:17.15pt;height:19.1pt;width:34.15pt;z-index:251737088;mso-width-relative:page;mso-height-relative:page;" filled="f" stroked="f" coordsize="21600,21600">
                  <v:path/>
                  <v:fill on="f" focussize="0,0"/>
                  <v:stroke on="f" joinstyle="miter"/>
                  <v:imagedata o:title=""/>
                  <o:lock v:ext="edit"/>
                  <v:textbox>
                    <w:txbxContent>
                      <w:p>
                        <w:pPr>
                          <w:spacing w:line="240" w:lineRule="exact"/>
                          <w:ind w:left="-53" w:leftChars="-25" w:right="-53" w:rightChars="-25"/>
                          <w:jc w:val="center"/>
                          <w:rPr>
                            <w:sz w:val="20"/>
                          </w:rPr>
                        </w:pPr>
                        <w:r>
                          <w:rPr>
                            <w:rFonts w:hint="eastAsia"/>
                            <w:sz w:val="20"/>
                          </w:rPr>
                          <w:t>噪声</w:t>
                        </w:r>
                      </w:p>
                    </w:txbxContent>
                  </v:textbox>
                </v:shape>
              </w:pict>
            </w:r>
            <w:r>
              <w:rPr>
                <w:rFonts w:hint="eastAsia"/>
                <w:kern w:val="0"/>
                <w:szCs w:val="21"/>
              </w:rPr>
              <w:t>工艺流程图如下：</w:t>
            </w:r>
          </w:p>
          <w:p>
            <w:pPr>
              <w:autoSpaceDE w:val="0"/>
              <w:autoSpaceDN w:val="0"/>
              <w:adjustRightInd w:val="0"/>
              <w:snapToGrid w:val="0"/>
              <w:spacing w:line="410" w:lineRule="exact"/>
              <w:ind w:firstLine="420" w:firstLineChars="200"/>
              <w:jc w:val="left"/>
              <w:rPr>
                <w:kern w:val="0"/>
                <w:szCs w:val="21"/>
              </w:rPr>
            </w:pPr>
            <w:r>
              <w:pict>
                <v:line id="_x0000_s1063" o:spid="_x0000_s1063" o:spt="20" style="position:absolute;left:0pt;margin-left:258.85pt;margin-top:5.2pt;height:25.5pt;width:0.05pt;z-index:251731968;mso-width-relative:page;mso-height-relative:page;" coordsize="21600,21600">
                  <v:path arrowok="t"/>
                  <v:fill focussize="0,0"/>
                  <v:stroke startarrow="block"/>
                  <v:imagedata o:title=""/>
                  <o:lock v:ext="edit"/>
                </v:line>
              </w:pict>
            </w:r>
            <w:r>
              <w:pict>
                <v:line id="_x0000_s1068" o:spid="_x0000_s1068" o:spt="20" style="position:absolute;left:0pt;margin-left:174.75pt;margin-top:12.75pt;height:17pt;width:0.05pt;z-index:251736064;mso-width-relative:page;mso-height-relative:page;" coordsize="21600,21600">
                  <v:path arrowok="t"/>
                  <v:fill focussize="0,0"/>
                  <v:stroke dashstyle="dash" startarrow="block"/>
                  <v:imagedata o:title=""/>
                  <o:lock v:ext="edit"/>
                </v:line>
              </w:pict>
            </w:r>
          </w:p>
          <w:p>
            <w:pPr>
              <w:autoSpaceDE w:val="0"/>
              <w:autoSpaceDN w:val="0"/>
              <w:adjustRightInd w:val="0"/>
              <w:snapToGrid w:val="0"/>
              <w:spacing w:line="410" w:lineRule="exact"/>
              <w:ind w:firstLine="420" w:firstLineChars="200"/>
              <w:jc w:val="left"/>
              <w:rPr>
                <w:kern w:val="0"/>
                <w:szCs w:val="21"/>
              </w:rPr>
            </w:pPr>
            <w:r>
              <w:pict>
                <v:shape id="_x0000_s1037" o:spid="_x0000_s1037" o:spt="202" type="#_x0000_t202" style="position:absolute;left:0pt;margin-left:310.55pt;margin-top:4.2pt;height:29.75pt;width:75.25pt;z-index:251726848;mso-width-relative:page;mso-height-relative:page;" filled="f" stroked="f" coordsize="21600,21600">
                  <v:path/>
                  <v:fill on="f" focussize="0,0"/>
                  <v:stroke on="f" joinstyle="miter"/>
                  <v:imagedata o:title=""/>
                  <o:lock v:ext="edit"/>
                  <v:textbox>
                    <w:txbxContent>
                      <w:p>
                        <w:pPr>
                          <w:spacing w:line="240" w:lineRule="exact"/>
                          <w:ind w:left="-53" w:leftChars="-25" w:right="-53" w:rightChars="-25"/>
                          <w:jc w:val="center"/>
                          <w:rPr>
                            <w:sz w:val="20"/>
                          </w:rPr>
                        </w:pPr>
                        <w:r>
                          <w:rPr>
                            <w:rFonts w:hint="eastAsia"/>
                            <w:sz w:val="20"/>
                          </w:rPr>
                          <w:t>废气、水蒸气、噪声</w:t>
                        </w:r>
                      </w:p>
                    </w:txbxContent>
                  </v:textbox>
                </v:shape>
              </w:pict>
            </w:r>
            <w:r>
              <w:pict>
                <v:line id="_x0000_s1049" o:spid="_x0000_s1049" o:spt="20" style="position:absolute;left:0pt;flip:x;margin-left:291.75pt;margin-top:19pt;height:0.05pt;width:18.8pt;z-index:251719680;mso-width-relative:page;mso-height-relative:page;" coordsize="21600,21600">
                  <v:path arrowok="t"/>
                  <v:fill focussize="0,0"/>
                  <v:stroke dashstyle="dash" startarrow="block"/>
                  <v:imagedata o:title=""/>
                  <o:lock v:ext="edit"/>
                </v:line>
              </w:pict>
            </w:r>
            <w:r>
              <w:pict>
                <v:shape id="_x0000_s1054" o:spid="_x0000_s1054" o:spt="202" type="#_x0000_t202" style="position:absolute;left:0pt;margin-left:223pt;margin-top:9.55pt;height:20.05pt;width:68.85pt;z-index:251728896;mso-width-relative:page;mso-height-relative:page;" coordsize="21600,21600">
                  <v:path/>
                  <v:fill focussize="0,0"/>
                  <v:stroke joinstyle="miter"/>
                  <v:imagedata o:title=""/>
                  <o:lock v:ext="edit"/>
                  <v:textbox>
                    <w:txbxContent>
                      <w:p>
                        <w:pPr>
                          <w:spacing w:line="240" w:lineRule="exact"/>
                          <w:ind w:left="-53" w:leftChars="-25" w:right="-53" w:rightChars="-25"/>
                          <w:jc w:val="center"/>
                        </w:pPr>
                        <w:r>
                          <w:rPr>
                            <w:rFonts w:hint="eastAsia"/>
                          </w:rPr>
                          <w:t>滚筒烘干机</w:t>
                        </w:r>
                      </w:p>
                    </w:txbxContent>
                  </v:textbox>
                </v:shape>
              </w:pict>
            </w:r>
            <w:r>
              <w:pict>
                <v:shape id="_x0000_s1043" o:spid="_x0000_s1043" o:spt="202" type="#_x0000_t202" style="position:absolute;left:0pt;margin-left:186.5pt;margin-top:2.4pt;height:19.1pt;width:34.15pt;z-index:251727872;mso-width-relative:page;mso-height-relative:page;" filled="f" stroked="f" coordsize="21600,21600">
                  <v:path/>
                  <v:fill on="f" focussize="0,0"/>
                  <v:stroke on="f" joinstyle="miter"/>
                  <v:imagedata o:title=""/>
                  <o:lock v:ext="edit"/>
                  <v:textbox>
                    <w:txbxContent>
                      <w:p>
                        <w:pPr>
                          <w:spacing w:line="240" w:lineRule="exact"/>
                          <w:ind w:left="-53" w:leftChars="-25" w:right="-53" w:rightChars="-25"/>
                          <w:jc w:val="center"/>
                        </w:pPr>
                        <w:r>
                          <w:rPr>
                            <w:rFonts w:hint="eastAsia"/>
                          </w:rPr>
                          <w:t>热源</w:t>
                        </w:r>
                      </w:p>
                    </w:txbxContent>
                  </v:textbox>
                </v:shape>
              </w:pict>
            </w:r>
            <w:r>
              <w:pict>
                <v:line id="_x0000_s1056" o:spid="_x0000_s1056" o:spt="20" style="position:absolute;left:0pt;flip:x y;margin-left:189.6pt;margin-top:19.05pt;height:0.05pt;width:34pt;z-index:251729920;mso-width-relative:page;mso-height-relative:page;" coordsize="21600,21600">
                  <v:path arrowok="t"/>
                  <v:fill focussize="0,0"/>
                  <v:stroke startarrow="block"/>
                  <v:imagedata o:title=""/>
                  <o:lock v:ext="edit"/>
                </v:line>
              </w:pict>
            </w:r>
            <w:r>
              <w:pict>
                <v:shape id="_x0000_s1048" o:spid="_x0000_s1048" o:spt="202" type="#_x0000_t202" style="position:absolute;left:0pt;margin-left:113.6pt;margin-top:9.65pt;height:20.05pt;width:75pt;z-index:251718656;mso-width-relative:page;mso-height-relative:page;" coordsize="21600,21600">
                  <v:path/>
                  <v:fill focussize="0,0"/>
                  <v:stroke joinstyle="miter"/>
                  <v:imagedata o:title=""/>
                  <o:lock v:ext="edit"/>
                  <v:textbox>
                    <w:txbxContent>
                      <w:p>
                        <w:pPr>
                          <w:spacing w:line="240" w:lineRule="exact"/>
                          <w:ind w:left="-53" w:leftChars="-25" w:right="-53" w:rightChars="-25"/>
                          <w:jc w:val="center"/>
                        </w:pPr>
                        <w:r>
                          <w:rPr>
                            <w:rFonts w:hint="eastAsia"/>
                          </w:rPr>
                          <w:t>生物质燃烧机</w:t>
                        </w:r>
                      </w:p>
                    </w:txbxContent>
                  </v:textbox>
                </v:shape>
              </w:pict>
            </w:r>
            <w:r>
              <w:pict>
                <v:line id="_x0000_s1051" o:spid="_x0000_s1051" o:spt="20" style="position:absolute;left:0pt;flip:x y;margin-left:93.85pt;margin-top:18.2pt;height:0.05pt;width:19.6pt;z-index:251720704;mso-width-relative:page;mso-height-relative:page;" coordsize="21600,21600">
                  <v:path arrowok="t"/>
                  <v:fill focussize="0,0"/>
                  <v:stroke startarrow="block"/>
                  <v:imagedata o:title=""/>
                  <o:lock v:ext="edit"/>
                </v:line>
              </w:pict>
            </w:r>
            <w:r>
              <w:pict>
                <v:shape id="_x0000_s1052" o:spid="_x0000_s1052" o:spt="202" type="#_x0000_t202" style="position:absolute;left:0pt;margin-left:31.55pt;margin-top:2.4pt;height:31.55pt;width:66.45pt;z-index:251721728;mso-width-relative:page;mso-height-relative:page;" filled="f" stroked="f" coordsize="21600,21600">
                  <v:path/>
                  <v:fill on="f" focussize="0,0"/>
                  <v:stroke on="f" joinstyle="miter"/>
                  <v:imagedata o:title=""/>
                  <o:lock v:ext="edit"/>
                  <v:textbox>
                    <w:txbxContent>
                      <w:p>
                        <w:pPr>
                          <w:spacing w:line="240" w:lineRule="exact"/>
                          <w:ind w:left="-53" w:leftChars="-25" w:right="-53" w:rightChars="-25"/>
                          <w:jc w:val="center"/>
                        </w:pPr>
                        <w:r>
                          <w:rPr>
                            <w:rFonts w:hint="eastAsia"/>
                          </w:rPr>
                          <w:t>生物质成型燃料</w:t>
                        </w:r>
                      </w:p>
                    </w:txbxContent>
                  </v:textbox>
                </v:shape>
              </w:pict>
            </w:r>
          </w:p>
          <w:p>
            <w:pPr>
              <w:autoSpaceDE w:val="0"/>
              <w:autoSpaceDN w:val="0"/>
              <w:adjustRightInd w:val="0"/>
              <w:snapToGrid w:val="0"/>
              <w:spacing w:line="410" w:lineRule="exact"/>
              <w:ind w:firstLine="420" w:firstLineChars="200"/>
              <w:jc w:val="left"/>
              <w:rPr>
                <w:kern w:val="0"/>
                <w:szCs w:val="21"/>
              </w:rPr>
            </w:pPr>
            <w:r>
              <w:pict>
                <v:line id="_x0000_s1061" o:spid="_x0000_s1061" o:spt="20" style="position:absolute;left:0pt;margin-left:255.95pt;margin-top:10.05pt;height:17pt;width:0.05pt;z-index:251730944;mso-width-relative:page;mso-height-relative:page;" coordsize="21600,21600">
                  <v:path arrowok="t"/>
                  <v:fill focussize="0,0"/>
                  <v:stroke startarrow="block"/>
                  <v:imagedata o:title=""/>
                  <o:lock v:ext="edit"/>
                </v:line>
              </w:pict>
            </w:r>
          </w:p>
          <w:p>
            <w:pPr>
              <w:autoSpaceDE w:val="0"/>
              <w:autoSpaceDN w:val="0"/>
              <w:adjustRightInd w:val="0"/>
              <w:snapToGrid w:val="0"/>
              <w:spacing w:line="410" w:lineRule="exact"/>
              <w:ind w:firstLine="420" w:firstLineChars="200"/>
              <w:jc w:val="left"/>
              <w:rPr>
                <w:kern w:val="0"/>
                <w:szCs w:val="21"/>
              </w:rPr>
            </w:pPr>
            <w:r>
              <w:pict>
                <v:shape id="_x0000_s1065" o:spid="_x0000_s1065" o:spt="202" type="#_x0000_t202" style="position:absolute;left:0pt;margin-left:196.7pt;margin-top:5.1pt;height:19.45pt;width:137pt;z-index:251734016;mso-width-relative:page;mso-height-relative:page;" filled="f" stroked="f" coordsize="21600,21600">
                  <v:path/>
                  <v:fill on="f" focussize="0,0"/>
                  <v:stroke on="f" joinstyle="miter"/>
                  <v:imagedata o:title=""/>
                  <o:lock v:ext="edit"/>
                  <v:textbox>
                    <w:txbxContent>
                      <w:p>
                        <w:pPr>
                          <w:spacing w:line="240" w:lineRule="exact"/>
                          <w:ind w:left="-53" w:leftChars="-25" w:right="-53" w:rightChars="-25"/>
                          <w:jc w:val="center"/>
                          <w:rPr>
                            <w:sz w:val="20"/>
                          </w:rPr>
                        </w:pPr>
                        <w:r>
                          <w:rPr>
                            <w:rFonts w:hint="eastAsia"/>
                            <w:sz w:val="20"/>
                          </w:rPr>
                          <w:t>干化污泥（含水80%）</w:t>
                        </w:r>
                      </w:p>
                    </w:txbxContent>
                  </v:textbox>
                </v:shape>
              </w:pict>
            </w:r>
          </w:p>
          <w:p>
            <w:pPr>
              <w:autoSpaceDE w:val="0"/>
              <w:autoSpaceDN w:val="0"/>
              <w:adjustRightInd w:val="0"/>
              <w:snapToGrid w:val="0"/>
              <w:spacing w:line="410" w:lineRule="exact"/>
              <w:ind w:firstLine="440" w:firstLineChars="200"/>
              <w:jc w:val="left"/>
              <w:rPr>
                <w:kern w:val="0"/>
                <w:szCs w:val="21"/>
              </w:rPr>
            </w:pPr>
            <w:r>
              <w:rPr>
                <w:rFonts w:eastAsia="黑体"/>
                <w:bCs/>
                <w:sz w:val="22"/>
                <w:szCs w:val="22"/>
              </w:rPr>
              <w:pict>
                <v:shape id="_x0000_s1067" o:spid="_x0000_s1067" o:spt="202" type="#_x0000_t202" style="position:absolute;left:0pt;margin-left:81.9pt;margin-top:1.25pt;height:18.8pt;width:213.65pt;z-index:2517350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">
                  <v:path/>
                  <v:fill on="f" focussize="0,0"/>
                  <v:stroke on="f" weight="0.5pt" joinstyle="miter"/>
                  <v:imagedata o:title=""/>
                  <o:lock v:ext="edit"/>
                  <v:textbox>
                    <w:txbxContent>
                      <w:p>
                        <w:pPr>
                          <w:ind w:left="-53" w:leftChars="-25" w:right="-53" w:rightChars="-25"/>
                          <w:jc w:val="center"/>
                          <w:rPr>
                            <w:b/>
                            <w:sz w:val="19"/>
                          </w:rPr>
                        </w:pPr>
                        <w:r>
                          <w:rPr>
                            <w:rFonts w:hint="eastAsia"/>
                            <w:b/>
                            <w:sz w:val="19"/>
                          </w:rPr>
                          <w:t>图2-5：污泥烘干工艺流程及产污环节图</w:t>
                        </w:r>
                      </w:p>
                    </w:txbxContent>
                  </v:textbox>
                </v:shape>
              </w:pict>
            </w:r>
          </w:p>
          <w:p>
            <w:pPr>
              <w:autoSpaceDE w:val="0"/>
              <w:autoSpaceDN w:val="0"/>
              <w:adjustRightInd w:val="0"/>
              <w:snapToGrid w:val="0"/>
              <w:spacing w:line="410" w:lineRule="exact"/>
              <w:ind w:firstLine="422" w:firstLineChars="200"/>
              <w:jc w:val="left"/>
              <w:rPr>
                <w:b/>
                <w:kern w:val="0"/>
                <w:szCs w:val="21"/>
              </w:rPr>
            </w:pPr>
            <w:r>
              <w:rPr>
                <w:rFonts w:hint="eastAsia"/>
                <w:b/>
                <w:kern w:val="0"/>
                <w:szCs w:val="21"/>
              </w:rPr>
              <w:t>工艺介绍：</w:t>
            </w:r>
          </w:p>
          <w:p>
            <w:pPr>
              <w:autoSpaceDE w:val="0"/>
              <w:autoSpaceDN w:val="0"/>
              <w:adjustRightInd w:val="0"/>
              <w:snapToGrid w:val="0"/>
              <w:spacing w:line="410" w:lineRule="exact"/>
              <w:ind w:firstLine="420" w:firstLineChars="200"/>
              <w:jc w:val="left"/>
              <w:rPr>
                <w:kern w:val="0"/>
                <w:szCs w:val="21"/>
              </w:rPr>
            </w:pPr>
            <w:r>
              <w:rPr>
                <w:rFonts w:hint="eastAsia"/>
                <w:kern w:val="0"/>
                <w:szCs w:val="21"/>
              </w:rPr>
              <w:t>本项目拟对利用的污泥进行烘干处理，再用于烧结砖制砖。烘干采用滚筒烘干机，热源为生物质成型颗粒燃料燃烧机。</w:t>
            </w:r>
          </w:p>
          <w:p>
            <w:pPr>
              <w:autoSpaceDE w:val="0"/>
              <w:autoSpaceDN w:val="0"/>
              <w:adjustRightInd w:val="0"/>
              <w:snapToGrid w:val="0"/>
              <w:spacing w:line="410" w:lineRule="exact"/>
              <w:ind w:firstLine="420" w:firstLineChars="200"/>
              <w:jc w:val="left"/>
              <w:rPr>
                <w:kern w:val="0"/>
                <w:szCs w:val="21"/>
              </w:rPr>
            </w:pPr>
            <w:r>
              <w:rPr>
                <w:rFonts w:hint="eastAsia"/>
                <w:kern w:val="0"/>
                <w:szCs w:val="21"/>
              </w:rPr>
              <w:t>项目滚筒烘干机长约18m，滚筒直径1.8m，一小时可出8吨干污泥（含水约20%）。污泥由输送带输送至滚筒烘干机进料口，落料进入烘干机。运行时，滚筒烘干机由电动机、减速机等提供旋转动力，滚筒匀速转动，使内部物料不断翻滚，并通过内部刮板不断抛起。生物质燃料燃烧机产生的热烟气（温度约200~240℃），温度低于300℃。污泥烘干环节对温度的控制，可有效降低二噁英的生成机会。二噁英主要由污泥中氯，与氢在400℃以上极易产生氯化氢形成二噁英类的前驱物，再反应生产二噁英。本项目烘干温度不超过300℃。</w:t>
            </w:r>
          </w:p>
          <w:p>
            <w:pPr>
              <w:autoSpaceDE w:val="0"/>
              <w:autoSpaceDN w:val="0"/>
              <w:adjustRightInd w:val="0"/>
              <w:snapToGrid w:val="0"/>
              <w:spacing w:line="410" w:lineRule="exact"/>
              <w:ind w:firstLine="420" w:firstLineChars="200"/>
              <w:jc w:val="left"/>
              <w:rPr>
                <w:kern w:val="0"/>
                <w:szCs w:val="21"/>
              </w:rPr>
            </w:pPr>
            <w:r>
              <w:rPr>
                <w:rFonts w:hint="eastAsia"/>
                <w:kern w:val="0"/>
                <w:szCs w:val="21"/>
              </w:rPr>
              <w:t>通过风机引入滚筒烘干机，热烟气与抛起的污泥接触，达到烘干的目的。根据建设单位介绍，本项目拟处置的污泥含水率约为80%，经滚筒烘干机烘干后含水率约20%。根据建设单位介绍，本项目滚筒烘干机设计一小时可出8吨干污泥（含水约20%）。项目年利用污水15000t/a（80%含水），烘干后污泥约3750t/a（20%含水），则滚筒烘干机年运行时间468.75小时。生物质燃料燃烧机一小时消耗生物质成型燃料约600公斤，则年消耗生物质成型燃料282t/a。</w:t>
            </w:r>
          </w:p>
          <w:p>
            <w:pPr>
              <w:pStyle w:val="14"/>
              <w:spacing w:after="0" w:line="400" w:lineRule="exact"/>
              <w:rPr>
                <w:rFonts w:ascii="宋体" w:hAnsi="宋体" w:cs="宋体"/>
              </w:rPr>
            </w:pPr>
            <w:r>
              <w:rPr>
                <w:rFonts w:hint="eastAsia" w:ascii="宋体" w:hAnsi="宋体" w:cs="宋体"/>
              </w:rPr>
              <w:t>②污泥做原料制砖综合利用的工艺流程及产污环节图：</w:t>
            </w: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400" w:lineRule="exact"/>
              <w:rPr>
                <w:rFonts w:ascii="宋体" w:hAnsi="宋体" w:cs="宋体"/>
              </w:rPr>
            </w:pPr>
          </w:p>
          <w:p>
            <w:pPr>
              <w:pStyle w:val="14"/>
              <w:spacing w:after="0" w:line="240" w:lineRule="auto"/>
              <w:ind w:left="0" w:leftChars="0"/>
              <w:jc w:val="center"/>
              <w:rPr>
                <w:rFonts w:ascii="宋体" w:hAnsi="宋体" w:cs="宋体"/>
              </w:rPr>
            </w:pPr>
            <w:r>
              <w:pict>
                <v:shape id="_x0000_s1057" o:spid="_x0000_s1057" o:spt="202" type="#_x0000_t202" style="position:absolute;left:0pt;margin-left:107.4pt;margin-top:6.85pt;height:29.85pt;width:50.1pt;z-index:251749376;mso-width-relative:page;mso-height-relative:page;" filled="f" stroked="f" coordsize="21600,21600">
                  <v:path/>
                  <v:fill on="f" focussize="0,0"/>
                  <v:stroke on="f" joinstyle="miter"/>
                  <v:imagedata o:title=""/>
                  <o:lock v:ext="edit"/>
                  <v:textbox>
                    <w:txbxContent>
                      <w:p>
                        <w:pPr>
                          <w:spacing w:line="240" w:lineRule="exact"/>
                          <w:ind w:left="-53" w:leftChars="-25" w:right="-53" w:rightChars="-25"/>
                          <w:jc w:val="center"/>
                          <w:rPr>
                            <w:sz w:val="18"/>
                            <w:szCs w:val="21"/>
                          </w:rPr>
                        </w:pPr>
                        <w:r>
                          <w:rPr>
                            <w:rFonts w:hint="eastAsia"/>
                            <w:sz w:val="18"/>
                            <w:szCs w:val="21"/>
                          </w:rPr>
                          <w:t>污泥(20%含水)</w:t>
                        </w:r>
                      </w:p>
                    </w:txbxContent>
                  </v:textbox>
                </v:shape>
              </w:pict>
            </w:r>
            <w:r>
              <w:rPr>
                <w:rFonts w:ascii="宋体" w:hAnsi="宋体" w:cs="宋体"/>
              </w:rPr>
              <w:drawing>
                <wp:inline distT="0" distB="0" distL="0" distR="0">
                  <wp:extent cx="5029200" cy="6141720"/>
                  <wp:effectExtent l="0" t="0" r="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srcRect/>
                          <a:stretch>
                            <a:fillRect/>
                          </a:stretch>
                        </pic:blipFill>
                        <pic:spPr>
                          <a:xfrm>
                            <a:off x="0" y="0"/>
                            <a:ext cx="5029200" cy="6141720"/>
                          </a:xfrm>
                          <a:prstGeom prst="rect">
                            <a:avLst/>
                          </a:prstGeom>
                          <a:noFill/>
                          <a:ln w="9525">
                            <a:noFill/>
                            <a:miter lim="800000"/>
                            <a:headEnd/>
                            <a:tailEnd/>
                          </a:ln>
                        </pic:spPr>
                      </pic:pic>
                    </a:graphicData>
                  </a:graphic>
                </wp:inline>
              </w:drawing>
            </w:r>
            <w:r>
              <w:pict>
                <v:rect id="_x0000_s1055" o:spid="_x0000_s1055" o:spt="1" style="position:absolute;left:0pt;margin-left:100pt;margin-top:3.55pt;height:28.75pt;width:57.5pt;z-index:251722752;mso-width-relative:page;mso-height-relative:page;" stroked="f" coordsize="21600,21600">
                  <v:path/>
                  <v:fill focussize="0,0"/>
                  <v:stroke on="f"/>
                  <v:imagedata o:title=""/>
                  <o:lock v:ext="edit"/>
                </v:rect>
              </w:pict>
            </w:r>
          </w:p>
          <w:p>
            <w:pPr>
              <w:pStyle w:val="14"/>
              <w:spacing w:after="0" w:line="420" w:lineRule="exact"/>
              <w:ind w:left="0" w:leftChars="0" w:firstLine="440" w:firstLineChars="200"/>
              <w:rPr>
                <w:b/>
                <w:bCs/>
              </w:rPr>
            </w:pPr>
            <w:r>
              <w:rPr>
                <w:rFonts w:eastAsia="黑体"/>
                <w:bCs/>
                <w:sz w:val="22"/>
                <w:szCs w:val="22"/>
              </w:rPr>
              <w:pict>
                <v:shape id="_x0000_s1042" o:spid="_x0000_s1042" o:spt="202" type="#_x0000_t202" style="position:absolute;left:0pt;margin-left:99.55pt;margin-top:-0.15pt;height:18.8pt;width:213.65pt;z-index:2516879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">
                  <v:path/>
                  <v:fill on="f" focussize="0,0"/>
                  <v:stroke on="f" weight="0.5pt" joinstyle="miter"/>
                  <v:imagedata o:title=""/>
                  <o:lock v:ext="edit"/>
                  <v:textbox>
                    <w:txbxContent>
                      <w:p>
                        <w:pPr>
                          <w:ind w:left="-53" w:leftChars="-25" w:right="-53" w:rightChars="-25"/>
                          <w:jc w:val="center"/>
                          <w:rPr>
                            <w:b/>
                            <w:sz w:val="19"/>
                          </w:rPr>
                        </w:pPr>
                        <w:r>
                          <w:rPr>
                            <w:rFonts w:hint="eastAsia"/>
                            <w:b/>
                            <w:sz w:val="19"/>
                          </w:rPr>
                          <w:t>图2-6：项目烧结砖生产工艺流程及产污环节图</w:t>
                        </w:r>
                      </w:p>
                    </w:txbxContent>
                  </v:textbox>
                </v:shape>
              </w:pict>
            </w:r>
          </w:p>
          <w:p>
            <w:pPr>
              <w:pStyle w:val="14"/>
              <w:spacing w:after="0" w:line="400" w:lineRule="exact"/>
              <w:ind w:left="0" w:leftChars="0" w:firstLine="422" w:firstLineChars="200"/>
              <w:rPr>
                <w:b/>
                <w:bCs/>
              </w:rPr>
            </w:pPr>
            <w:r>
              <w:rPr>
                <w:b/>
                <w:bCs/>
              </w:rPr>
              <w:t>工艺流程简述：</w:t>
            </w:r>
          </w:p>
          <w:p>
            <w:pPr>
              <w:pStyle w:val="14"/>
              <w:spacing w:after="0" w:line="400" w:lineRule="exact"/>
              <w:ind w:left="0" w:leftChars="0" w:firstLine="420" w:firstLineChars="200"/>
            </w:pPr>
            <w:r>
              <w:t>本项目利用</w:t>
            </w:r>
            <w:r>
              <w:rPr>
                <w:rFonts w:hint="eastAsia"/>
              </w:rPr>
              <w:t>建筑渣土、</w:t>
            </w:r>
            <w:r>
              <w:t>煤矸石、污泥</w:t>
            </w:r>
            <w:r>
              <w:rPr>
                <w:rFonts w:hint="eastAsia"/>
              </w:rPr>
              <w:t>等，</w:t>
            </w:r>
            <w:r>
              <w:t>生产</w:t>
            </w:r>
            <w:r>
              <w:rPr>
                <w:rFonts w:hint="eastAsia"/>
              </w:rPr>
              <w:t>烧结普通砖，是在现有工程基础上仅对原料种类和配比做了一些调整，不改变现有烧结砖主体工艺，仍采用隧道窑</w:t>
            </w:r>
            <w:r>
              <w:t>，工艺流程主要包括原料制备、砖坯成型、砖坯干燥、焙烧四段工序。</w:t>
            </w:r>
          </w:p>
          <w:p>
            <w:pPr>
              <w:pStyle w:val="14"/>
              <w:spacing w:after="0" w:line="400" w:lineRule="exact"/>
              <w:ind w:left="0" w:leftChars="0" w:firstLine="422" w:firstLineChars="200"/>
            </w:pPr>
            <w:r>
              <w:rPr>
                <w:b/>
                <w:bCs/>
              </w:rPr>
              <w:t>原料制备：</w:t>
            </w:r>
            <w:r>
              <w:t>原料的处理对于制作高强度、高质量的</w:t>
            </w:r>
            <w:r>
              <w:rPr>
                <w:rFonts w:hint="eastAsia"/>
              </w:rPr>
              <w:t>烧结普通砖</w:t>
            </w:r>
            <w:r>
              <w:t>非常重要，因此需对原料进行严格的处理，以便得到充分均化、混合和破碎。</w:t>
            </w:r>
          </w:p>
          <w:p>
            <w:pPr>
              <w:pStyle w:val="14"/>
              <w:spacing w:after="0" w:line="406" w:lineRule="exact"/>
              <w:ind w:left="0" w:leftChars="0" w:firstLine="420" w:firstLineChars="200"/>
            </w:pPr>
            <w:r>
              <w:rPr>
                <w:rFonts w:hint="eastAsia"/>
              </w:rPr>
              <w:t>生产时</w:t>
            </w:r>
            <w:r>
              <w:t>将</w:t>
            </w:r>
            <w:r>
              <w:rPr>
                <w:rFonts w:hint="eastAsia"/>
              </w:rPr>
              <w:t>建筑渣土和煤矸石先</w:t>
            </w:r>
            <w:r>
              <w:t>经人工分选，污泥</w:t>
            </w:r>
            <w:r>
              <w:rPr>
                <w:rFonts w:hint="eastAsia"/>
              </w:rPr>
              <w:t>先经滚筒烘干机烘干。然后随建筑渣土、煤矸石</w:t>
            </w:r>
            <w:r>
              <w:t>一同经皮带送至给料机，给料通过胶带机将物料送入颚式破碎机进行粗破，破碎粒度控制到≤20mm（筛分），进料</w:t>
            </w:r>
            <w:r>
              <w:rPr>
                <w:rFonts w:hint="eastAsia"/>
              </w:rPr>
              <w:t>口</w:t>
            </w:r>
            <w:r>
              <w:t>采取喷雾晒水方式控制粉尘产生量。粗破后由槽型带式输送机送入粉碎机细碎，控制粒度≤2mm。</w:t>
            </w:r>
          </w:p>
          <w:p>
            <w:pPr>
              <w:pStyle w:val="14"/>
              <w:spacing w:after="0" w:line="406" w:lineRule="exact"/>
              <w:ind w:left="0" w:leftChars="0" w:firstLine="420" w:firstLineChars="200"/>
            </w:pPr>
            <w:r>
              <w:t>二次粉碎后的物料需经滚筒筛筛分一次，确保物料粒度满足要求。</w:t>
            </w:r>
            <w:r>
              <w:rPr>
                <w:rFonts w:hint="eastAsia"/>
              </w:rPr>
              <w:t>由于滚筒装置的倾斜与转动，使筛面上的物料翻转与滚动，使合格物料（筛下产品）经滚筒后端底部的出料口排出，不合格的物料（筛上产品）经滚筒尾部的排料口排出。筛上物由皮带再次返回粉碎机粉碎，筛下物则进入搅拌机。</w:t>
            </w:r>
          </w:p>
          <w:p>
            <w:pPr>
              <w:pStyle w:val="14"/>
              <w:spacing w:after="0" w:line="406" w:lineRule="exact"/>
              <w:ind w:left="0" w:leftChars="0" w:firstLine="420" w:firstLineChars="200"/>
            </w:pPr>
            <w:r>
              <w:t>双轴搅拌机搅拌过程配备有一台自动加水器，可根据物料的湿度情况自动控制加水量。物料加水混合搅拌后，使其成型水分达到15%</w:t>
            </w:r>
            <w:r>
              <w:rPr>
                <w:rFonts w:hint="eastAsia"/>
              </w:rPr>
              <w:t>~20%</w:t>
            </w:r>
            <w:r>
              <w:t>左右。</w:t>
            </w:r>
          </w:p>
          <w:p>
            <w:pPr>
              <w:pStyle w:val="14"/>
              <w:spacing w:after="0" w:line="406" w:lineRule="exact"/>
              <w:ind w:left="0" w:leftChars="0" w:firstLine="422" w:firstLineChars="200"/>
            </w:pPr>
            <w:r>
              <w:rPr>
                <w:b/>
                <w:bCs/>
              </w:rPr>
              <w:t>砖坯成型：</w:t>
            </w:r>
            <w:r>
              <w:t>经过二次加水搅拌后的原料再由箱式给料机送入双级真空挤砖机挤出成型，成型后的泥条经表面处理后，经自动切条机、自动切坯机切割成所要求尺寸的砖坯，</w:t>
            </w:r>
            <w:r>
              <w:rPr>
                <w:rFonts w:hint="eastAsia"/>
              </w:rPr>
              <w:t>然后由堆码至运输轨道</w:t>
            </w:r>
            <w:r>
              <w:t>。</w:t>
            </w:r>
          </w:p>
          <w:p>
            <w:pPr>
              <w:pStyle w:val="14"/>
              <w:spacing w:after="0" w:line="406" w:lineRule="exact"/>
              <w:ind w:left="0" w:leftChars="0" w:firstLine="422" w:firstLineChars="200"/>
              <w:rPr>
                <w:bCs/>
              </w:rPr>
            </w:pPr>
            <w:r>
              <w:rPr>
                <w:b/>
                <w:bCs/>
              </w:rPr>
              <w:t>砖坯烘干</w:t>
            </w:r>
            <w:r>
              <w:rPr>
                <w:rFonts w:hint="eastAsia"/>
                <w:b/>
                <w:bCs/>
              </w:rPr>
              <w:t>、焙烧</w:t>
            </w:r>
            <w:r>
              <w:rPr>
                <w:b/>
                <w:bCs/>
              </w:rPr>
              <w:t>：</w:t>
            </w:r>
            <w:r>
              <w:rPr>
                <w:rFonts w:hint="eastAsia"/>
                <w:bCs/>
              </w:rPr>
              <w:t>砖坯在轨道上，依次经过窑体的干燥段、预热段、焙烧段及保温冷却段依次经过砖坯，砖坯在窑体内依次完成干燥—预热—焙烧—保温—冷却—出砖的全过程。</w:t>
            </w:r>
            <w:r>
              <w:t>砖坯</w:t>
            </w:r>
            <w:r>
              <w:rPr>
                <w:rFonts w:hint="eastAsia"/>
              </w:rPr>
              <w:t>干燥</w:t>
            </w:r>
            <w:r>
              <w:t>的热源来自</w:t>
            </w:r>
            <w:r>
              <w:rPr>
                <w:rFonts w:hint="eastAsia"/>
              </w:rPr>
              <w:t>中后段</w:t>
            </w:r>
            <w:r>
              <w:t>焙烧的余热</w:t>
            </w:r>
            <w:r>
              <w:rPr>
                <w:rFonts w:hint="eastAsia"/>
              </w:rPr>
              <w:t>，</w:t>
            </w:r>
            <w:r>
              <w:t>采用引风机将焙烧产生的烟气引入砖坯烘干窑内，与砖坯进行热交换，既达到烘干砖坯的目的，又节约了能源。烘干窑内砖坯垛能够吸附过滤部分烟气中的污染物，可降低燃烧废气中污染物的排放浓度，减轻对周围环境的影响。干燥好的砖坯含水率小于6%，</w:t>
            </w:r>
            <w:r>
              <w:rPr>
                <w:rFonts w:hint="eastAsia"/>
              </w:rPr>
              <w:t>当进入窑体后段时</w:t>
            </w:r>
            <w:r>
              <w:t>，采用煤作为引燃物，利用煤矸石内燃，烧成温度为</w:t>
            </w:r>
            <w:r>
              <w:rPr>
                <w:rFonts w:hint="eastAsia"/>
              </w:rPr>
              <w:t>850</w:t>
            </w:r>
            <w:r>
              <w:t>～</w:t>
            </w:r>
            <w:r>
              <w:rPr>
                <w:rFonts w:hint="eastAsia"/>
              </w:rPr>
              <w:t>105</w:t>
            </w:r>
            <w:r>
              <w:t>0℃，烧成周期为</w:t>
            </w:r>
            <w:r>
              <w:rPr>
                <w:rFonts w:hint="eastAsia"/>
              </w:rPr>
              <w:t>27</w:t>
            </w:r>
            <w:r>
              <w:t>小时。</w:t>
            </w:r>
          </w:p>
          <w:p>
            <w:pPr>
              <w:pStyle w:val="14"/>
              <w:spacing w:after="0" w:line="406" w:lineRule="exact"/>
              <w:ind w:left="0" w:leftChars="0" w:firstLine="420" w:firstLineChars="200"/>
            </w:pPr>
            <w:r>
              <w:rPr>
                <w:rFonts w:hint="eastAsia"/>
                <w:bCs/>
              </w:rPr>
              <w:t>烧制好的成品砖由人工在设备的辅助下，将成品砖全部转移至装车区，同时完成对砖的质量检查。</w:t>
            </w:r>
            <w:r>
              <w:t>不合格的砖则返回破碎车间用于重新制砖</w:t>
            </w:r>
            <w:r>
              <w:rPr>
                <w:rFonts w:hint="eastAsia"/>
              </w:rPr>
              <w:t>。</w:t>
            </w:r>
          </w:p>
          <w:p>
            <w:pPr>
              <w:pStyle w:val="14"/>
              <w:spacing w:after="0" w:line="406" w:lineRule="exact"/>
              <w:ind w:left="0" w:leftChars="0" w:firstLine="422" w:firstLineChars="200"/>
              <w:rPr>
                <w:b/>
              </w:rPr>
            </w:pPr>
            <w:r>
              <w:rPr>
                <w:b/>
              </w:rPr>
              <w:t>（2）产污</w:t>
            </w:r>
            <w:r>
              <w:rPr>
                <w:rFonts w:hint="eastAsia"/>
                <w:b/>
              </w:rPr>
              <w:t>环节</w:t>
            </w:r>
          </w:p>
          <w:p>
            <w:pPr>
              <w:pStyle w:val="14"/>
              <w:spacing w:after="0" w:line="406" w:lineRule="exact"/>
              <w:ind w:left="0" w:leftChars="0" w:firstLine="422" w:firstLineChars="200"/>
              <w:rPr>
                <w:kern w:val="0"/>
                <w:szCs w:val="21"/>
              </w:rPr>
            </w:pPr>
            <w:r>
              <w:rPr>
                <w:rFonts w:hint="eastAsia"/>
                <w:b/>
                <w:bCs/>
              </w:rPr>
              <w:t>①</w:t>
            </w:r>
            <w:r>
              <w:rPr>
                <w:b/>
                <w:bCs/>
              </w:rPr>
              <w:t>废气：</w:t>
            </w:r>
            <w:r>
              <w:rPr>
                <w:rFonts w:hint="eastAsia"/>
              </w:rPr>
              <w:t>主要</w:t>
            </w:r>
            <w:r>
              <w:rPr>
                <w:rFonts w:hint="eastAsia"/>
                <w:kern w:val="0"/>
                <w:szCs w:val="21"/>
              </w:rPr>
              <w:t>污染物为砖窑废气、污泥烘干废气、制砖原料破碎筛分粉尘、原料卸料及运输扬尘、污泥贮存间恶臭。</w:t>
            </w:r>
          </w:p>
          <w:p>
            <w:pPr>
              <w:pStyle w:val="14"/>
              <w:spacing w:after="0" w:line="406" w:lineRule="exact"/>
              <w:ind w:left="0" w:leftChars="0" w:firstLine="420" w:firstLineChars="200"/>
              <w:rPr>
                <w:kern w:val="0"/>
                <w:szCs w:val="21"/>
              </w:rPr>
            </w:pPr>
            <w:r>
              <w:rPr>
                <w:rFonts w:hint="eastAsia"/>
                <w:kern w:val="0"/>
                <w:szCs w:val="21"/>
              </w:rPr>
              <w:t>砖窑废气：污染物主要包括两部分，一是焙烧段污泥焙烧产物，由于隧道窑正常引燃后，主要依靠原料自然进行烧制，不需另行添加其他燃料，焙烧烟气污染物主要来自于污泥以及建筑渣土等原料燃烧；二是干燥、预热段的挥发成分，干燥段烟气主要产物为水蒸气、少量异味。烟气经后续脱硫塔，其中的酸性气体基本可以全部去除，影响不大。</w:t>
            </w:r>
          </w:p>
          <w:p>
            <w:pPr>
              <w:pStyle w:val="14"/>
              <w:spacing w:after="0" w:line="406" w:lineRule="exact"/>
              <w:ind w:left="0" w:leftChars="0" w:firstLine="420" w:firstLineChars="200"/>
              <w:rPr>
                <w:kern w:val="0"/>
                <w:szCs w:val="21"/>
              </w:rPr>
            </w:pPr>
            <w:r>
              <w:rPr>
                <w:rFonts w:hint="eastAsia"/>
                <w:kern w:val="0"/>
                <w:szCs w:val="21"/>
              </w:rPr>
              <w:t>污泥焙烧过程鼓入足够空气，为有氧充分燃烧，温度1050℃，时间大于2s，由于二噁英在850℃以上瞬间分解，因此燃烧产生的高温烟气中(≥850℃)，二噁英量极少。但焙烧烟气经干燥段，烟气从1050℃逐渐降为110℃左右，这个区间反应温度涵盖了二噁英产生的区间温度段(400℃)，因此干燥段提供了二噁英产生的温度条件，烟气中少量的氯有可能重新生成二噁英。</w:t>
            </w:r>
          </w:p>
          <w:p>
            <w:pPr>
              <w:pStyle w:val="14"/>
              <w:spacing w:after="0" w:line="404" w:lineRule="exact"/>
              <w:ind w:left="0" w:leftChars="0" w:firstLine="420" w:firstLineChars="200"/>
              <w:rPr>
                <w:kern w:val="0"/>
                <w:szCs w:val="21"/>
              </w:rPr>
            </w:pPr>
            <w:r>
              <w:rPr>
                <w:rFonts w:hint="eastAsia"/>
                <w:kern w:val="0"/>
                <w:szCs w:val="21"/>
              </w:rPr>
              <w:t>经查阅文献资料，氯与氢在400℃以上极易产生氯化氢，在1500℃以上分解显著，反应可逆，焙烧产生的高温烟气温度800℃以上，因此氯元素主要以氯化氢形式存在于尾气中。根据《城镇污水处理厂污泥处置制砖用泥质》(GB/T25031-2010)、《城镇污水处理厂污泥处置单独焚烧用泥质》(GB/T24602-2009)、污泥成分、原料种类和来源及查阅相关文献资料确定，窑炉烟气成分主要为SO</w:t>
            </w:r>
            <w:r>
              <w:rPr>
                <w:rFonts w:hint="eastAsia"/>
                <w:kern w:val="0"/>
                <w:szCs w:val="21"/>
                <w:vertAlign w:val="subscript"/>
              </w:rPr>
              <w:t>2</w:t>
            </w:r>
            <w:r>
              <w:rPr>
                <w:rFonts w:hint="eastAsia"/>
                <w:kern w:val="0"/>
                <w:szCs w:val="21"/>
              </w:rPr>
              <w:t>、NO</w:t>
            </w:r>
            <w:r>
              <w:rPr>
                <w:rFonts w:hint="eastAsia"/>
                <w:kern w:val="0"/>
                <w:szCs w:val="21"/>
                <w:vertAlign w:val="subscript"/>
              </w:rPr>
              <w:t>x</w:t>
            </w:r>
            <w:r>
              <w:rPr>
                <w:rFonts w:hint="eastAsia"/>
                <w:kern w:val="0"/>
                <w:szCs w:val="21"/>
              </w:rPr>
              <w:t>、颗粒物、氟化物、氯化氢、重金属、二噁英等。</w:t>
            </w:r>
          </w:p>
          <w:p>
            <w:pPr>
              <w:pStyle w:val="14"/>
              <w:spacing w:after="0" w:line="400" w:lineRule="exact"/>
              <w:ind w:left="0" w:leftChars="0" w:firstLine="420" w:firstLineChars="200"/>
              <w:rPr>
                <w:kern w:val="0"/>
                <w:szCs w:val="21"/>
              </w:rPr>
            </w:pPr>
            <w:r>
              <w:rPr>
                <w:rFonts w:hint="eastAsia"/>
                <w:kern w:val="0"/>
                <w:szCs w:val="21"/>
              </w:rPr>
              <w:t>污泥烘干废气：主要来源于生物质燃料燃烧的废气以及污泥在烘干过程产生的恶臭，污染物主要有SO</w:t>
            </w:r>
            <w:r>
              <w:rPr>
                <w:rFonts w:hint="eastAsia"/>
                <w:kern w:val="0"/>
                <w:szCs w:val="21"/>
                <w:vertAlign w:val="subscript"/>
              </w:rPr>
              <w:t>2</w:t>
            </w:r>
            <w:r>
              <w:rPr>
                <w:rFonts w:hint="eastAsia"/>
                <w:kern w:val="0"/>
                <w:szCs w:val="21"/>
              </w:rPr>
              <w:t>、NO</w:t>
            </w:r>
            <w:r>
              <w:rPr>
                <w:rFonts w:hint="eastAsia"/>
                <w:kern w:val="0"/>
                <w:szCs w:val="21"/>
                <w:vertAlign w:val="subscript"/>
              </w:rPr>
              <w:t>x</w:t>
            </w:r>
            <w:r>
              <w:rPr>
                <w:rFonts w:hint="eastAsia"/>
                <w:kern w:val="0"/>
                <w:szCs w:val="21"/>
              </w:rPr>
              <w:t>、颗粒物、H</w:t>
            </w:r>
            <w:r>
              <w:rPr>
                <w:rFonts w:hint="eastAsia"/>
                <w:kern w:val="0"/>
                <w:szCs w:val="21"/>
                <w:vertAlign w:val="subscript"/>
              </w:rPr>
              <w:t>2</w:t>
            </w:r>
            <w:r>
              <w:rPr>
                <w:rFonts w:hint="eastAsia"/>
                <w:kern w:val="0"/>
                <w:szCs w:val="21"/>
              </w:rPr>
              <w:t>S、NH</w:t>
            </w:r>
            <w:r>
              <w:rPr>
                <w:rFonts w:hint="eastAsia"/>
                <w:kern w:val="0"/>
                <w:szCs w:val="21"/>
                <w:vertAlign w:val="subscript"/>
              </w:rPr>
              <w:t>3</w:t>
            </w:r>
            <w:r>
              <w:rPr>
                <w:rFonts w:hint="eastAsia"/>
                <w:kern w:val="0"/>
                <w:szCs w:val="21"/>
              </w:rPr>
              <w:t>。</w:t>
            </w:r>
          </w:p>
          <w:p>
            <w:pPr>
              <w:pStyle w:val="14"/>
              <w:spacing w:after="0" w:line="400" w:lineRule="exact"/>
              <w:ind w:left="0" w:leftChars="0" w:firstLine="420" w:firstLineChars="200"/>
              <w:rPr>
                <w:kern w:val="0"/>
                <w:szCs w:val="21"/>
              </w:rPr>
            </w:pPr>
            <w:r>
              <w:rPr>
                <w:rFonts w:hint="eastAsia"/>
                <w:kern w:val="0"/>
                <w:szCs w:val="21"/>
              </w:rPr>
              <w:t>粉（扬）尘：主要来自于制砖原料破碎筛分粉尘，产生源位于破碎车间；扬尘主要产生于原料运至厂区时的卸料工序、车辆道路运输扬尘。</w:t>
            </w:r>
          </w:p>
          <w:p>
            <w:pPr>
              <w:pStyle w:val="14"/>
              <w:spacing w:after="0" w:line="400" w:lineRule="exact"/>
              <w:ind w:left="0" w:leftChars="0" w:firstLine="420" w:firstLineChars="200"/>
              <w:rPr>
                <w:kern w:val="0"/>
                <w:szCs w:val="21"/>
              </w:rPr>
            </w:pPr>
            <w:r>
              <w:rPr>
                <w:rFonts w:hint="eastAsia"/>
                <w:kern w:val="0"/>
                <w:szCs w:val="21"/>
              </w:rPr>
              <w:t>原料堆场扬尘主要因风力扰动而产生，本项目技改后原料堆场为封闭式堆场，基本无风力扰动起尘，因此本次评价不考虑原料堆场扬尘。</w:t>
            </w:r>
          </w:p>
          <w:p>
            <w:pPr>
              <w:pStyle w:val="14"/>
              <w:spacing w:after="0" w:line="400" w:lineRule="exact"/>
              <w:ind w:left="0" w:leftChars="0" w:firstLine="420" w:firstLineChars="200"/>
              <w:rPr>
                <w:kern w:val="0"/>
                <w:szCs w:val="21"/>
              </w:rPr>
            </w:pPr>
            <w:r>
              <w:rPr>
                <w:rFonts w:hint="eastAsia"/>
                <w:kern w:val="0"/>
                <w:szCs w:val="21"/>
              </w:rPr>
              <w:t>污泥贮存间恶臭：污泥在贮存间堆存和搅拌时，会有一定的恶臭气体产生，主要污染物为H</w:t>
            </w:r>
            <w:r>
              <w:rPr>
                <w:rFonts w:hint="eastAsia"/>
                <w:kern w:val="0"/>
                <w:szCs w:val="21"/>
                <w:vertAlign w:val="subscript"/>
              </w:rPr>
              <w:t>2</w:t>
            </w:r>
            <w:r>
              <w:rPr>
                <w:rFonts w:hint="eastAsia"/>
                <w:kern w:val="0"/>
                <w:szCs w:val="21"/>
              </w:rPr>
              <w:t>S、NH</w:t>
            </w:r>
            <w:r>
              <w:rPr>
                <w:rFonts w:hint="eastAsia"/>
                <w:kern w:val="0"/>
                <w:szCs w:val="21"/>
                <w:vertAlign w:val="subscript"/>
              </w:rPr>
              <w:t>3</w:t>
            </w:r>
            <w:r>
              <w:rPr>
                <w:rFonts w:hint="eastAsia"/>
                <w:kern w:val="0"/>
                <w:szCs w:val="21"/>
              </w:rPr>
              <w:t>。</w:t>
            </w:r>
          </w:p>
          <w:p>
            <w:pPr>
              <w:autoSpaceDE w:val="0"/>
              <w:autoSpaceDN w:val="0"/>
              <w:adjustRightInd w:val="0"/>
              <w:snapToGrid w:val="0"/>
              <w:spacing w:line="400" w:lineRule="exact"/>
              <w:ind w:firstLine="422" w:firstLineChars="200"/>
              <w:jc w:val="left"/>
              <w:rPr>
                <w:bCs/>
                <w:kern w:val="0"/>
                <w:szCs w:val="21"/>
              </w:rPr>
            </w:pPr>
            <w:r>
              <w:rPr>
                <w:rFonts w:hint="eastAsia"/>
                <w:b/>
                <w:bCs/>
                <w:kern w:val="0"/>
                <w:szCs w:val="21"/>
              </w:rPr>
              <w:t>②</w:t>
            </w:r>
            <w:r>
              <w:rPr>
                <w:b/>
                <w:bCs/>
                <w:kern w:val="0"/>
                <w:szCs w:val="21"/>
              </w:rPr>
              <w:t>废水：</w:t>
            </w:r>
            <w:r>
              <w:rPr>
                <w:bCs/>
                <w:kern w:val="0"/>
                <w:szCs w:val="21"/>
              </w:rPr>
              <w:t>主要为</w:t>
            </w:r>
            <w:r>
              <w:rPr>
                <w:rFonts w:hint="eastAsia"/>
                <w:bCs/>
                <w:kern w:val="0"/>
                <w:szCs w:val="21"/>
              </w:rPr>
              <w:t>脱硫系统废液、车辆冲洗废水及场地散排废水等。</w:t>
            </w:r>
            <w:r>
              <w:rPr>
                <w:bCs/>
                <w:kern w:val="0"/>
                <w:szCs w:val="21"/>
              </w:rPr>
              <w:t>另外，员工办公生活会产生少量生活污水。</w:t>
            </w:r>
          </w:p>
          <w:p>
            <w:pPr>
              <w:autoSpaceDE w:val="0"/>
              <w:autoSpaceDN w:val="0"/>
              <w:adjustRightInd w:val="0"/>
              <w:snapToGrid w:val="0"/>
              <w:spacing w:line="400" w:lineRule="exact"/>
              <w:ind w:firstLine="422" w:firstLineChars="200"/>
              <w:jc w:val="left"/>
              <w:rPr>
                <w:bCs/>
                <w:kern w:val="0"/>
                <w:szCs w:val="21"/>
              </w:rPr>
            </w:pPr>
            <w:r>
              <w:rPr>
                <w:rFonts w:hint="eastAsia"/>
                <w:b/>
                <w:bCs/>
                <w:kern w:val="0"/>
                <w:szCs w:val="21"/>
              </w:rPr>
              <w:t>③</w:t>
            </w:r>
            <w:r>
              <w:rPr>
                <w:b/>
                <w:bCs/>
                <w:kern w:val="0"/>
                <w:szCs w:val="21"/>
              </w:rPr>
              <w:t>噪声</w:t>
            </w:r>
            <w:r>
              <w:rPr>
                <w:bCs/>
                <w:kern w:val="0"/>
                <w:szCs w:val="21"/>
              </w:rPr>
              <w:t>：主要为各类生产设备的运行噪声、运输车辆的交通噪声。</w:t>
            </w:r>
          </w:p>
          <w:p>
            <w:pPr>
              <w:autoSpaceDE w:val="0"/>
              <w:autoSpaceDN w:val="0"/>
              <w:adjustRightInd w:val="0"/>
              <w:snapToGrid w:val="0"/>
              <w:spacing w:line="400" w:lineRule="exact"/>
              <w:ind w:firstLine="422" w:firstLineChars="200"/>
              <w:jc w:val="left"/>
              <w:rPr>
                <w:kern w:val="0"/>
                <w:szCs w:val="21"/>
              </w:rPr>
            </w:pPr>
            <w:r>
              <w:rPr>
                <w:rFonts w:hint="eastAsia"/>
                <w:b/>
                <w:kern w:val="0"/>
                <w:szCs w:val="21"/>
              </w:rPr>
              <w:t>④</w:t>
            </w:r>
            <w:r>
              <w:rPr>
                <w:b/>
                <w:kern w:val="0"/>
                <w:szCs w:val="21"/>
              </w:rPr>
              <w:t>固体废物：</w:t>
            </w:r>
            <w:r>
              <w:rPr>
                <w:bCs/>
                <w:kern w:val="0"/>
                <w:szCs w:val="21"/>
              </w:rPr>
              <w:t>包</w:t>
            </w:r>
            <w:r>
              <w:rPr>
                <w:kern w:val="0"/>
                <w:szCs w:val="21"/>
              </w:rPr>
              <w:t>括一般固体废物和危险废物。其中一般固废有：</w:t>
            </w:r>
            <w:r>
              <w:rPr>
                <w:rFonts w:hint="eastAsia"/>
                <w:kern w:val="0"/>
                <w:szCs w:val="21"/>
              </w:rPr>
              <w:t>不合格砖和破损砖、除尘器收集的收尘灰、少量煤渣、脱硫废渣、办公生活产生的少量生活垃圾。</w:t>
            </w:r>
            <w:r>
              <w:rPr>
                <w:kern w:val="0"/>
                <w:szCs w:val="21"/>
              </w:rPr>
              <w:t>危险废物主要为机械维修保养产生的废机油及废油桶。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736" w:type="dxa"/>
            <w:tcBorders>
              <w:top w:val="single" w:color="auto" w:sz="4" w:space="0"/>
              <w:left w:val="single" w:color="auto" w:sz="8" w:space="0"/>
              <w:bottom w:val="single" w:color="auto" w:sz="8" w:space="0"/>
              <w:right w:val="single" w:color="auto" w:sz="4" w:space="0"/>
            </w:tcBorders>
            <w:vAlign w:val="center"/>
          </w:tcPr>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r>
              <w:rPr>
                <w:rFonts w:ascii="Times New Roman" w:hAnsi="Times New Roman" w:cs="Times New Roman"/>
                <w:bCs/>
                <w:sz w:val="21"/>
                <w:szCs w:val="21"/>
              </w:rPr>
              <w:t>与项目有关的原有环境污染问题</w:t>
            </w: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r>
              <w:rPr>
                <w:rFonts w:ascii="Times New Roman" w:hAnsi="Times New Roman" w:cs="Times New Roman"/>
                <w:bCs/>
                <w:sz w:val="21"/>
                <w:szCs w:val="21"/>
              </w:rPr>
              <w:t>与项目有关的原有环境污染问题</w:t>
            </w: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r>
              <w:rPr>
                <w:rFonts w:ascii="Times New Roman" w:hAnsi="Times New Roman" w:cs="Times New Roman"/>
                <w:bCs/>
                <w:sz w:val="21"/>
                <w:szCs w:val="21"/>
              </w:rPr>
              <w:t>与项目有关的原有环境污染问题</w:t>
            </w: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r>
              <w:rPr>
                <w:rFonts w:ascii="Times New Roman" w:hAnsi="Times New Roman" w:cs="Times New Roman"/>
                <w:bCs/>
                <w:sz w:val="21"/>
                <w:szCs w:val="21"/>
              </w:rPr>
              <w:t>与项目有关的原有环境污染问题</w:t>
            </w:r>
          </w:p>
          <w:p>
            <w:pPr>
              <w:pStyle w:val="18"/>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p>
            <w:pPr>
              <w:pStyle w:val="18"/>
              <w:adjustRightInd w:val="0"/>
              <w:snapToGrid w:val="0"/>
              <w:spacing w:before="0" w:beforeAutospacing="0" w:after="0" w:afterAutospacing="0" w:line="240" w:lineRule="exact"/>
              <w:jc w:val="center"/>
              <w:rPr>
                <w:rFonts w:ascii="Times New Roman" w:hAnsi="Times New Roman" w:cs="Times New Roman"/>
                <w:sz w:val="21"/>
                <w:szCs w:val="21"/>
              </w:rPr>
            </w:pPr>
          </w:p>
        </w:tc>
        <w:tc>
          <w:tcPr>
            <w:tcW w:w="8142" w:type="dxa"/>
            <w:tcBorders>
              <w:top w:val="single" w:color="auto" w:sz="4" w:space="0"/>
              <w:left w:val="single" w:color="auto" w:sz="4" w:space="0"/>
              <w:bottom w:val="single" w:color="auto" w:sz="8" w:space="0"/>
              <w:right w:val="single" w:color="auto" w:sz="8" w:space="0"/>
            </w:tcBorders>
            <w:vAlign w:val="center"/>
          </w:tcPr>
          <w:p>
            <w:pPr>
              <w:autoSpaceDE w:val="0"/>
              <w:autoSpaceDN w:val="0"/>
              <w:adjustRightInd w:val="0"/>
              <w:snapToGrid w:val="0"/>
              <w:spacing w:line="400" w:lineRule="exact"/>
              <w:jc w:val="left"/>
              <w:rPr>
                <w:rFonts w:ascii="黑体" w:hAnsi="黑体" w:eastAsia="黑体"/>
                <w:kern w:val="0"/>
                <w:szCs w:val="21"/>
              </w:rPr>
            </w:pPr>
            <w:r>
              <w:rPr>
                <w:rFonts w:hint="eastAsia" w:ascii="黑体" w:hAnsi="黑体" w:eastAsia="黑体"/>
                <w:kern w:val="0"/>
                <w:szCs w:val="21"/>
              </w:rPr>
              <w:t>一、现有工程概况</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大竹县同兴矸石砖厂主要从事页岩砖的生产和销售，曾用名“大竹县同心页岩砖厂”。最早成立于2001年，由大竹县明滩乡同心村与自然人童远刚联合创办。大竹县同兴矸石砖厂建设有1条隧道窑，窑体长约80m宽约15m，配套建设有原料粉碎车间、产品成型车间等；主要采用页岩（建筑渣土等）和煤矸石为原料，设计年产折标砖1000万匹/年。大竹县同兴矸石砖厂于2001年11月办理了《建设项目环境影响登记表》，2020年6月取得了《排污许可证》（证书编号：91511724775842481K001V）。</w:t>
            </w:r>
          </w:p>
          <w:p>
            <w:pPr>
              <w:autoSpaceDE w:val="0"/>
              <w:autoSpaceDN w:val="0"/>
              <w:adjustRightInd w:val="0"/>
              <w:snapToGrid w:val="0"/>
              <w:spacing w:line="400" w:lineRule="exact"/>
              <w:jc w:val="left"/>
              <w:rPr>
                <w:rFonts w:ascii="黑体" w:hAnsi="黑体" w:eastAsia="黑体"/>
                <w:kern w:val="0"/>
                <w:szCs w:val="21"/>
              </w:rPr>
            </w:pPr>
            <w:r>
              <w:rPr>
                <w:rFonts w:hint="eastAsia" w:ascii="黑体" w:hAnsi="黑体" w:eastAsia="黑体"/>
                <w:kern w:val="0"/>
                <w:szCs w:val="21"/>
              </w:rPr>
              <w:t>二、现有工程环保措施及监测达标情况</w:t>
            </w:r>
          </w:p>
          <w:p>
            <w:pPr>
              <w:pStyle w:val="14"/>
              <w:spacing w:after="0" w:line="400" w:lineRule="exact"/>
              <w:ind w:left="0" w:leftChars="0"/>
              <w:jc w:val="left"/>
              <w:rPr>
                <w:b/>
                <w:bCs/>
                <w:kern w:val="0"/>
                <w:szCs w:val="21"/>
              </w:rPr>
            </w:pPr>
            <w:r>
              <w:rPr>
                <w:rFonts w:hint="eastAsia"/>
                <w:b/>
                <w:bCs/>
                <w:kern w:val="0"/>
                <w:szCs w:val="21"/>
              </w:rPr>
              <w:t>1、废气</w:t>
            </w:r>
          </w:p>
          <w:p>
            <w:pPr>
              <w:pStyle w:val="14"/>
              <w:spacing w:after="0" w:line="400" w:lineRule="exact"/>
              <w:ind w:left="0" w:leftChars="0" w:firstLine="420" w:firstLineChars="200"/>
              <w:jc w:val="left"/>
              <w:rPr>
                <w:kern w:val="0"/>
                <w:szCs w:val="21"/>
              </w:rPr>
            </w:pPr>
            <w:r>
              <w:rPr>
                <w:rFonts w:hint="eastAsia"/>
                <w:kern w:val="0"/>
                <w:szCs w:val="21"/>
              </w:rPr>
              <w:t>（1）砖窑废气</w:t>
            </w:r>
          </w:p>
          <w:p>
            <w:pPr>
              <w:autoSpaceDE w:val="0"/>
              <w:autoSpaceDN w:val="0"/>
              <w:adjustRightInd w:val="0"/>
              <w:spacing w:line="400" w:lineRule="exact"/>
              <w:ind w:firstLine="420" w:firstLineChars="200"/>
              <w:jc w:val="left"/>
              <w:rPr>
                <w:kern w:val="0"/>
                <w:szCs w:val="21"/>
              </w:rPr>
            </w:pPr>
            <w:r>
              <w:rPr>
                <w:rFonts w:hint="eastAsia"/>
                <w:kern w:val="0"/>
                <w:szCs w:val="21"/>
              </w:rPr>
              <w:t>隧道窑砖窑废气污染物主要有颗粒物、二氧化硫、氮氧化物、氟化物等。砖窑废气经风机引至干燥、预热段利用之后，经引风机引至脱硫设施处理，采用“钠碱湿法脱硫”工艺，处理后的废气经1根15m高的排气筒高空排放。</w:t>
            </w:r>
          </w:p>
          <w:p>
            <w:pPr>
              <w:autoSpaceDE w:val="0"/>
              <w:autoSpaceDN w:val="0"/>
              <w:adjustRightInd w:val="0"/>
              <w:spacing w:line="400" w:lineRule="exact"/>
              <w:ind w:firstLine="413" w:firstLineChars="196"/>
              <w:jc w:val="left"/>
              <w:rPr>
                <w:b/>
                <w:kern w:val="0"/>
                <w:szCs w:val="21"/>
              </w:rPr>
            </w:pPr>
            <w:r>
              <w:rPr>
                <w:rFonts w:hint="eastAsia"/>
                <w:b/>
                <w:kern w:val="0"/>
                <w:szCs w:val="21"/>
              </w:rPr>
              <w:t>产排量核算：</w:t>
            </w:r>
          </w:p>
          <w:p>
            <w:pPr>
              <w:pStyle w:val="14"/>
              <w:spacing w:after="0" w:line="400" w:lineRule="exact"/>
              <w:ind w:left="0" w:leftChars="0" w:firstLine="420" w:firstLineChars="200"/>
            </w:pPr>
            <w:r>
              <w:rPr>
                <w:rFonts w:hint="eastAsia"/>
              </w:rPr>
              <w:t>废气量：</w:t>
            </w:r>
            <w:r>
              <w:rPr>
                <w:rFonts w:hint="eastAsia"/>
                <w:kern w:val="0"/>
                <w:szCs w:val="21"/>
              </w:rPr>
              <w:t>根据《排放源统计调查产排污核算方法和系数手册》（公告2021年第24号）中“303砖瓦、石材等建筑材料制造行业系数手册”。项目年产折标砖1000万匹，工业废气产污系数取48610Nm</w:t>
            </w:r>
            <w:r>
              <w:rPr>
                <w:rFonts w:hint="eastAsia"/>
                <w:kern w:val="0"/>
                <w:szCs w:val="21"/>
                <w:vertAlign w:val="superscript"/>
              </w:rPr>
              <w:t>3</w:t>
            </w:r>
            <w:r>
              <w:rPr>
                <w:rFonts w:hint="eastAsia"/>
                <w:kern w:val="0"/>
                <w:szCs w:val="21"/>
              </w:rPr>
              <w:t>/万块砖，则砖窑废气产生量</w:t>
            </w:r>
            <w:r>
              <w:rPr>
                <w:kern w:val="0"/>
                <w:szCs w:val="21"/>
              </w:rPr>
              <w:t>约1</w:t>
            </w:r>
            <w:r>
              <w:rPr>
                <w:rFonts w:hint="eastAsia"/>
                <w:kern w:val="0"/>
                <w:szCs w:val="21"/>
              </w:rPr>
              <w:t>4583万m</w:t>
            </w:r>
            <w:r>
              <w:rPr>
                <w:rFonts w:hint="eastAsia"/>
                <w:kern w:val="0"/>
                <w:szCs w:val="21"/>
                <w:vertAlign w:val="superscript"/>
              </w:rPr>
              <w:t>3</w:t>
            </w:r>
            <w:r>
              <w:rPr>
                <w:rFonts w:hint="eastAsia"/>
                <w:kern w:val="0"/>
                <w:szCs w:val="21"/>
              </w:rPr>
              <w:t>/a。</w:t>
            </w:r>
          </w:p>
          <w:p>
            <w:pPr>
              <w:pStyle w:val="14"/>
              <w:spacing w:after="0" w:line="400" w:lineRule="exact"/>
              <w:ind w:left="0" w:leftChars="0" w:firstLine="420" w:firstLineChars="200"/>
            </w:pPr>
            <w:r>
              <w:rPr>
                <w:rFonts w:hint="eastAsia"/>
                <w:kern w:val="0"/>
                <w:szCs w:val="21"/>
              </w:rPr>
              <w:t>颗粒物：项目年产折标砖1000万匹，颗粒物产污系数为</w:t>
            </w:r>
            <w:r>
              <w:rPr>
                <w:kern w:val="0"/>
                <w:szCs w:val="21"/>
              </w:rPr>
              <w:t>6.08</w:t>
            </w:r>
            <w:r>
              <w:rPr>
                <w:rFonts w:hint="eastAsia"/>
                <w:kern w:val="0"/>
                <w:szCs w:val="21"/>
              </w:rPr>
              <w:t>kg/万块标砖，则砖窑废气中的颗粒物产生量为18.24t/a，脱硫塔对颗粒物去除效率取90%，则颗粒物排放量为1.824t/a。</w:t>
            </w:r>
          </w:p>
          <w:p>
            <w:pPr>
              <w:pStyle w:val="14"/>
              <w:spacing w:after="0" w:line="400" w:lineRule="exact"/>
              <w:ind w:left="0" w:leftChars="0" w:firstLine="420" w:firstLineChars="200"/>
            </w:pPr>
            <w:r>
              <w:rPr>
                <w:rFonts w:hint="eastAsia"/>
                <w:kern w:val="0"/>
                <w:szCs w:val="21"/>
              </w:rPr>
              <w:t>NO</w:t>
            </w:r>
            <w:r>
              <w:rPr>
                <w:rFonts w:hint="eastAsia"/>
                <w:kern w:val="0"/>
                <w:szCs w:val="21"/>
                <w:vertAlign w:val="subscript"/>
              </w:rPr>
              <w:t>x</w:t>
            </w:r>
            <w:r>
              <w:rPr>
                <w:rFonts w:hint="eastAsia"/>
                <w:kern w:val="0"/>
                <w:szCs w:val="21"/>
              </w:rPr>
              <w:t>：项目年产折标砖1000万匹，NO</w:t>
            </w:r>
            <w:r>
              <w:rPr>
                <w:rFonts w:hint="eastAsia"/>
                <w:kern w:val="0"/>
                <w:szCs w:val="21"/>
                <w:vertAlign w:val="subscript"/>
              </w:rPr>
              <w:t>x</w:t>
            </w:r>
            <w:r>
              <w:rPr>
                <w:rFonts w:hint="eastAsia"/>
                <w:kern w:val="0"/>
                <w:szCs w:val="21"/>
              </w:rPr>
              <w:t>产污系数为</w:t>
            </w:r>
            <w:r>
              <w:rPr>
                <w:kern w:val="0"/>
                <w:szCs w:val="21"/>
              </w:rPr>
              <w:t>3.26</w:t>
            </w:r>
            <w:r>
              <w:rPr>
                <w:rFonts w:hint="eastAsia"/>
                <w:kern w:val="0"/>
                <w:szCs w:val="21"/>
              </w:rPr>
              <w:t>kg/万块标砖，则砖窑废气中的NO</w:t>
            </w:r>
            <w:r>
              <w:rPr>
                <w:rFonts w:hint="eastAsia"/>
                <w:kern w:val="0"/>
                <w:szCs w:val="21"/>
                <w:vertAlign w:val="subscript"/>
              </w:rPr>
              <w:t>x</w:t>
            </w:r>
            <w:r>
              <w:rPr>
                <w:rFonts w:hint="eastAsia"/>
                <w:kern w:val="0"/>
                <w:szCs w:val="21"/>
              </w:rPr>
              <w:t>产生量为9.78t/a。脱硫塔对氮氧化物无去除效果。</w:t>
            </w:r>
          </w:p>
          <w:p>
            <w:pPr>
              <w:autoSpaceDE w:val="0"/>
              <w:autoSpaceDN w:val="0"/>
              <w:adjustRightInd w:val="0"/>
              <w:spacing w:line="400" w:lineRule="exact"/>
              <w:ind w:firstLine="420" w:firstLineChars="200"/>
              <w:jc w:val="left"/>
              <w:rPr>
                <w:kern w:val="0"/>
                <w:szCs w:val="21"/>
              </w:rPr>
            </w:pPr>
            <w:r>
              <w:rPr>
                <w:rFonts w:hint="eastAsia"/>
                <w:kern w:val="0"/>
                <w:szCs w:val="21"/>
              </w:rPr>
              <w:t>SO</w:t>
            </w:r>
            <w:r>
              <w:rPr>
                <w:rFonts w:hint="eastAsia"/>
                <w:kern w:val="0"/>
                <w:szCs w:val="21"/>
                <w:vertAlign w:val="subscript"/>
              </w:rPr>
              <w:t>2</w:t>
            </w:r>
            <w:r>
              <w:rPr>
                <w:rFonts w:hint="eastAsia"/>
                <w:kern w:val="0"/>
                <w:szCs w:val="21"/>
              </w:rPr>
              <w:t>：</w:t>
            </w:r>
            <w:r>
              <w:rPr>
                <w:rFonts w:hint="eastAsia"/>
                <w:bCs/>
                <w:kern w:val="0"/>
                <w:szCs w:val="21"/>
              </w:rPr>
              <w:t>项目所用</w:t>
            </w:r>
            <w:r>
              <w:rPr>
                <w:bCs/>
                <w:kern w:val="0"/>
                <w:szCs w:val="21"/>
              </w:rPr>
              <w:t>煤矸石全硫量</w:t>
            </w:r>
            <w:r>
              <w:rPr>
                <w:rFonts w:hint="eastAsia"/>
                <w:bCs/>
                <w:kern w:val="0"/>
                <w:szCs w:val="21"/>
              </w:rPr>
              <w:t>占比</w:t>
            </w:r>
            <w:r>
              <w:rPr>
                <w:bCs/>
                <w:kern w:val="0"/>
                <w:szCs w:val="21"/>
              </w:rPr>
              <w:t>为0.85%。根据前文核算方法，</w:t>
            </w:r>
            <w:r>
              <w:rPr>
                <w:kern w:val="0"/>
                <w:szCs w:val="21"/>
              </w:rPr>
              <w:t>本项目煤矸石用量</w:t>
            </w:r>
            <w:r>
              <w:rPr>
                <w:rFonts w:hint="eastAsia"/>
                <w:kern w:val="0"/>
                <w:szCs w:val="21"/>
              </w:rPr>
              <w:t>9600t/a</w:t>
            </w:r>
            <w:r>
              <w:rPr>
                <w:kern w:val="0"/>
                <w:szCs w:val="21"/>
              </w:rPr>
              <w:t>，</w:t>
            </w:r>
            <w:r>
              <w:rPr>
                <w:bCs/>
                <w:kern w:val="0"/>
                <w:szCs w:val="21"/>
              </w:rPr>
              <w:t>SO</w:t>
            </w:r>
            <w:r>
              <w:rPr>
                <w:bCs/>
                <w:kern w:val="0"/>
                <w:szCs w:val="21"/>
                <w:vertAlign w:val="subscript"/>
              </w:rPr>
              <w:t>2</w:t>
            </w:r>
            <w:r>
              <w:rPr>
                <w:bCs/>
                <w:kern w:val="0"/>
                <w:szCs w:val="21"/>
              </w:rPr>
              <w:t>的产生量为</w:t>
            </w:r>
            <w:r>
              <w:rPr>
                <w:rFonts w:hint="eastAsia"/>
                <w:bCs/>
                <w:kern w:val="0"/>
                <w:szCs w:val="21"/>
              </w:rPr>
              <w:t>39.17</w:t>
            </w:r>
            <w:r>
              <w:rPr>
                <w:kern w:val="0"/>
                <w:szCs w:val="21"/>
              </w:rPr>
              <w:t>t/a</w:t>
            </w:r>
            <w:r>
              <w:rPr>
                <w:rFonts w:hint="eastAsia"/>
                <w:kern w:val="0"/>
                <w:szCs w:val="21"/>
              </w:rPr>
              <w:t>；脱硫塔脱硫效率取80%，则</w:t>
            </w:r>
            <w:r>
              <w:rPr>
                <w:bCs/>
                <w:kern w:val="0"/>
                <w:szCs w:val="21"/>
              </w:rPr>
              <w:t>SO</w:t>
            </w:r>
            <w:r>
              <w:rPr>
                <w:bCs/>
                <w:kern w:val="0"/>
                <w:szCs w:val="21"/>
                <w:vertAlign w:val="subscript"/>
              </w:rPr>
              <w:t>2</w:t>
            </w:r>
            <w:r>
              <w:rPr>
                <w:rFonts w:hint="eastAsia"/>
                <w:kern w:val="0"/>
                <w:szCs w:val="21"/>
              </w:rPr>
              <w:t>排放量为7.834t/a。</w:t>
            </w:r>
          </w:p>
          <w:p>
            <w:pPr>
              <w:autoSpaceDE w:val="0"/>
              <w:autoSpaceDN w:val="0"/>
              <w:adjustRightInd w:val="0"/>
              <w:spacing w:line="400" w:lineRule="exact"/>
              <w:ind w:firstLine="420" w:firstLineChars="200"/>
              <w:jc w:val="left"/>
              <w:rPr>
                <w:kern w:val="0"/>
                <w:szCs w:val="21"/>
              </w:rPr>
            </w:pPr>
            <w:r>
              <w:rPr>
                <w:rFonts w:hint="eastAsia"/>
                <w:kern w:val="0"/>
                <w:szCs w:val="21"/>
              </w:rPr>
              <w:t>氟化物：项目</w:t>
            </w:r>
            <w:r>
              <w:rPr>
                <w:kern w:val="0"/>
                <w:szCs w:val="21"/>
              </w:rPr>
              <w:t>页岩</w:t>
            </w:r>
            <w:r>
              <w:rPr>
                <w:rFonts w:hint="eastAsia"/>
                <w:kern w:val="0"/>
                <w:szCs w:val="21"/>
              </w:rPr>
              <w:t>中的</w:t>
            </w:r>
            <w:r>
              <w:rPr>
                <w:kern w:val="0"/>
                <w:szCs w:val="21"/>
              </w:rPr>
              <w:t>含氟量</w:t>
            </w:r>
            <w:r>
              <w:rPr>
                <w:rFonts w:hint="eastAsia"/>
                <w:kern w:val="0"/>
                <w:szCs w:val="21"/>
              </w:rPr>
              <w:t>按</w:t>
            </w:r>
            <w:r>
              <w:rPr>
                <w:kern w:val="0"/>
                <w:szCs w:val="21"/>
              </w:rPr>
              <w:t>0.00</w:t>
            </w:r>
            <w:r>
              <w:rPr>
                <w:rFonts w:hint="eastAsia"/>
                <w:kern w:val="0"/>
                <w:szCs w:val="21"/>
              </w:rPr>
              <w:t>1</w:t>
            </w:r>
            <w:r>
              <w:rPr>
                <w:kern w:val="0"/>
                <w:szCs w:val="21"/>
              </w:rPr>
              <w:t>%</w:t>
            </w:r>
            <w:r>
              <w:rPr>
                <w:rFonts w:hint="eastAsia"/>
                <w:kern w:val="0"/>
                <w:szCs w:val="21"/>
              </w:rPr>
              <w:t>计算。</w:t>
            </w:r>
            <w:r>
              <w:rPr>
                <w:bCs/>
                <w:kern w:val="0"/>
                <w:szCs w:val="21"/>
              </w:rPr>
              <w:t>根据前文核算方法，本项目建筑渣土用量为</w:t>
            </w:r>
            <w:r>
              <w:rPr>
                <w:rFonts w:hint="eastAsia"/>
                <w:bCs/>
                <w:kern w:val="0"/>
                <w:szCs w:val="21"/>
              </w:rPr>
              <w:t>22400t/a，</w:t>
            </w:r>
            <w:r>
              <w:rPr>
                <w:kern w:val="0"/>
                <w:szCs w:val="21"/>
              </w:rPr>
              <w:t>则氟化物产生量为</w:t>
            </w:r>
            <w:r>
              <w:rPr>
                <w:rFonts w:hint="eastAsia"/>
                <w:kern w:val="0"/>
                <w:szCs w:val="21"/>
              </w:rPr>
              <w:t>0.224</w:t>
            </w:r>
            <w:r>
              <w:rPr>
                <w:kern w:val="0"/>
                <w:szCs w:val="21"/>
              </w:rPr>
              <w:t>t/a。</w:t>
            </w:r>
            <w:r>
              <w:rPr>
                <w:rFonts w:hint="eastAsia"/>
              </w:rPr>
              <w:t>氟化物释放率取50%，</w:t>
            </w:r>
            <w:r>
              <w:rPr>
                <w:rFonts w:hint="eastAsia"/>
                <w:kern w:val="0"/>
                <w:szCs w:val="21"/>
              </w:rPr>
              <w:t>湿法脱硫对氟化物的去除率取60%，则氟化物排放量为0.09t/a</w:t>
            </w:r>
            <w:r>
              <w:rPr>
                <w:rFonts w:hint="eastAsia"/>
              </w:rPr>
              <w:t>。</w:t>
            </w:r>
          </w:p>
          <w:p>
            <w:pPr>
              <w:autoSpaceDE w:val="0"/>
              <w:autoSpaceDN w:val="0"/>
              <w:adjustRightInd w:val="0"/>
              <w:spacing w:line="400" w:lineRule="exact"/>
              <w:ind w:firstLine="422" w:firstLineChars="200"/>
              <w:jc w:val="left"/>
              <w:rPr>
                <w:b/>
                <w:kern w:val="0"/>
                <w:szCs w:val="21"/>
              </w:rPr>
            </w:pPr>
            <w:r>
              <w:rPr>
                <w:rFonts w:hint="eastAsia"/>
                <w:b/>
                <w:kern w:val="0"/>
                <w:szCs w:val="21"/>
              </w:rPr>
              <w:t>达标情况：</w:t>
            </w:r>
            <w:r>
              <w:rPr>
                <w:rFonts w:hint="eastAsia"/>
                <w:kern w:val="0"/>
                <w:szCs w:val="21"/>
              </w:rPr>
              <w:t>根据建设单位提供的排污监测报告（竹环监字（2022）第2038号）。监测结果如下：</w:t>
            </w:r>
          </w:p>
          <w:p>
            <w:pPr>
              <w:pStyle w:val="14"/>
              <w:spacing w:after="0" w:line="400" w:lineRule="exact"/>
              <w:jc w:val="center"/>
              <w:rPr>
                <w:rFonts w:ascii="黑体" w:hAnsi="黑体" w:eastAsia="黑体"/>
                <w:kern w:val="0"/>
                <w:sz w:val="18"/>
                <w:szCs w:val="18"/>
              </w:rPr>
            </w:pPr>
            <w:r>
              <w:rPr>
                <w:rFonts w:hint="eastAsia" w:ascii="黑体" w:hAnsi="黑体" w:eastAsia="黑体"/>
                <w:kern w:val="0"/>
                <w:sz w:val="18"/>
                <w:szCs w:val="18"/>
              </w:rPr>
              <w:t>表2-17   砖窑废气监测结果</w:t>
            </w:r>
          </w:p>
          <w:tbl>
            <w:tblPr>
              <w:tblStyle w:val="21"/>
              <w:tblW w:w="78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2091"/>
              <w:gridCol w:w="1368"/>
              <w:gridCol w:w="797"/>
              <w:gridCol w:w="881"/>
              <w:gridCol w:w="825"/>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jc w:val="center"/>
              </w:trPr>
              <w:tc>
                <w:tcPr>
                  <w:tcW w:w="3028" w:type="dxa"/>
                  <w:gridSpan w:val="2"/>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监测时间及点位</w:t>
                  </w:r>
                </w:p>
              </w:tc>
              <w:tc>
                <w:tcPr>
                  <w:tcW w:w="4860" w:type="dxa"/>
                  <w:gridSpan w:val="5"/>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2022年11月11日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3028" w:type="dxa"/>
                  <w:gridSpan w:val="2"/>
                  <w:tcBorders>
                    <w:tl2br w:val="single" w:color="auto" w:sz="4" w:space="0"/>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 xml:space="preserve">              样品编号</w:t>
                  </w:r>
                </w:p>
                <w:p>
                  <w:pPr>
                    <w:pStyle w:val="14"/>
                    <w:spacing w:after="0" w:line="320" w:lineRule="exact"/>
                    <w:ind w:left="0" w:leftChars="0"/>
                    <w:rPr>
                      <w:rFonts w:cs="宋体"/>
                      <w:kern w:val="0"/>
                      <w:sz w:val="18"/>
                      <w:szCs w:val="18"/>
                    </w:rPr>
                  </w:pPr>
                  <w:r>
                    <w:rPr>
                      <w:rFonts w:hint="eastAsia" w:cs="宋体"/>
                      <w:kern w:val="0"/>
                      <w:sz w:val="18"/>
                      <w:szCs w:val="18"/>
                    </w:rPr>
                    <w:t>监测项目</w:t>
                  </w:r>
                </w:p>
              </w:tc>
              <w:tc>
                <w:tcPr>
                  <w:tcW w:w="1368"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第一次</w:t>
                  </w:r>
                </w:p>
              </w:tc>
              <w:tc>
                <w:tcPr>
                  <w:tcW w:w="797"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第二次</w:t>
                  </w:r>
                </w:p>
              </w:tc>
              <w:tc>
                <w:tcPr>
                  <w:tcW w:w="881"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第三次</w:t>
                  </w:r>
                </w:p>
              </w:tc>
              <w:tc>
                <w:tcPr>
                  <w:tcW w:w="825"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平均值</w:t>
                  </w:r>
                </w:p>
              </w:tc>
              <w:tc>
                <w:tcPr>
                  <w:tcW w:w="989"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jc w:val="center"/>
              </w:trPr>
              <w:tc>
                <w:tcPr>
                  <w:tcW w:w="937" w:type="dxa"/>
                  <w:vMerge w:val="restart"/>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烟气参数</w:t>
                  </w:r>
                </w:p>
              </w:tc>
              <w:tc>
                <w:tcPr>
                  <w:tcW w:w="2091"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流量（N,d,m</w:t>
                  </w:r>
                  <w:r>
                    <w:rPr>
                      <w:rFonts w:hint="eastAsia" w:cs="宋体"/>
                      <w:kern w:val="0"/>
                      <w:sz w:val="18"/>
                      <w:szCs w:val="18"/>
                      <w:vertAlign w:val="superscript"/>
                    </w:rPr>
                    <w:t>3</w:t>
                  </w:r>
                  <w:r>
                    <w:rPr>
                      <w:rFonts w:hint="eastAsia" w:cs="宋体"/>
                      <w:kern w:val="0"/>
                      <w:sz w:val="18"/>
                      <w:szCs w:val="18"/>
                    </w:rPr>
                    <w:t>/h）</w:t>
                  </w:r>
                </w:p>
              </w:tc>
              <w:tc>
                <w:tcPr>
                  <w:tcW w:w="1368"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86564</w:t>
                  </w:r>
                </w:p>
              </w:tc>
              <w:tc>
                <w:tcPr>
                  <w:tcW w:w="797"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84178</w:t>
                  </w:r>
                </w:p>
              </w:tc>
              <w:tc>
                <w:tcPr>
                  <w:tcW w:w="881"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88210</w:t>
                  </w:r>
                </w:p>
              </w:tc>
              <w:tc>
                <w:tcPr>
                  <w:tcW w:w="825"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86317</w:t>
                  </w:r>
                </w:p>
              </w:tc>
              <w:tc>
                <w:tcPr>
                  <w:tcW w:w="989"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jc w:val="center"/>
              </w:trPr>
              <w:tc>
                <w:tcPr>
                  <w:tcW w:w="937" w:type="dxa"/>
                  <w:vMerge w:val="continue"/>
                  <w:tcBorders>
                    <w:tl2br w:val="nil"/>
                    <w:tr2bl w:val="nil"/>
                  </w:tcBorders>
                  <w:vAlign w:val="center"/>
                </w:tcPr>
                <w:p>
                  <w:pPr>
                    <w:pStyle w:val="14"/>
                    <w:spacing w:after="0" w:line="320" w:lineRule="exact"/>
                    <w:ind w:left="0" w:leftChars="0"/>
                    <w:jc w:val="center"/>
                    <w:rPr>
                      <w:rFonts w:cs="宋体"/>
                      <w:kern w:val="0"/>
                      <w:sz w:val="18"/>
                      <w:szCs w:val="18"/>
                    </w:rPr>
                  </w:pPr>
                </w:p>
              </w:tc>
              <w:tc>
                <w:tcPr>
                  <w:tcW w:w="2091"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含氧量（%）</w:t>
                  </w:r>
                </w:p>
              </w:tc>
              <w:tc>
                <w:tcPr>
                  <w:tcW w:w="1368"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19.8</w:t>
                  </w:r>
                </w:p>
              </w:tc>
              <w:tc>
                <w:tcPr>
                  <w:tcW w:w="797"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19.8</w:t>
                  </w:r>
                </w:p>
              </w:tc>
              <w:tc>
                <w:tcPr>
                  <w:tcW w:w="881"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19.8</w:t>
                  </w:r>
                </w:p>
              </w:tc>
              <w:tc>
                <w:tcPr>
                  <w:tcW w:w="825"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w:t>
                  </w:r>
                </w:p>
              </w:tc>
              <w:tc>
                <w:tcPr>
                  <w:tcW w:w="989"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jc w:val="center"/>
              </w:trPr>
              <w:tc>
                <w:tcPr>
                  <w:tcW w:w="937" w:type="dxa"/>
                  <w:vMerge w:val="restart"/>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二氧化硫</w:t>
                  </w:r>
                </w:p>
              </w:tc>
              <w:tc>
                <w:tcPr>
                  <w:tcW w:w="2091"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实测浓度（mg/N,d,m</w:t>
                  </w:r>
                  <w:r>
                    <w:rPr>
                      <w:rFonts w:hint="eastAsia" w:cs="宋体"/>
                      <w:kern w:val="0"/>
                      <w:sz w:val="18"/>
                      <w:szCs w:val="18"/>
                      <w:vertAlign w:val="superscript"/>
                    </w:rPr>
                    <w:t>3</w:t>
                  </w:r>
                  <w:r>
                    <w:rPr>
                      <w:rFonts w:hint="eastAsia" w:cs="宋体"/>
                      <w:kern w:val="0"/>
                      <w:sz w:val="18"/>
                      <w:szCs w:val="18"/>
                    </w:rPr>
                    <w:t>）</w:t>
                  </w:r>
                </w:p>
              </w:tc>
              <w:tc>
                <w:tcPr>
                  <w:tcW w:w="1368"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40</w:t>
                  </w:r>
                </w:p>
              </w:tc>
              <w:tc>
                <w:tcPr>
                  <w:tcW w:w="797"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41</w:t>
                  </w:r>
                </w:p>
              </w:tc>
              <w:tc>
                <w:tcPr>
                  <w:tcW w:w="881"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42</w:t>
                  </w:r>
                </w:p>
              </w:tc>
              <w:tc>
                <w:tcPr>
                  <w:tcW w:w="825"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41</w:t>
                  </w:r>
                </w:p>
              </w:tc>
              <w:tc>
                <w:tcPr>
                  <w:tcW w:w="989" w:type="dxa"/>
                  <w:tcBorders>
                    <w:tl2br w:val="nil"/>
                    <w:tr2bl w:val="nil"/>
                  </w:tcBorders>
                  <w:vAlign w:val="center"/>
                </w:tcPr>
                <w:p>
                  <w:pPr>
                    <w:pStyle w:val="14"/>
                    <w:spacing w:after="0" w:line="320" w:lineRule="exact"/>
                    <w:ind w:left="0" w:leftChars="0"/>
                    <w:jc w:val="center"/>
                    <w:rPr>
                      <w:rFonts w:cs="宋体"/>
                      <w:kern w:val="0"/>
                      <w:sz w:val="18"/>
                      <w:szCs w:val="18"/>
                      <w:vertAlign w:val="superscript"/>
                    </w:rPr>
                  </w:pPr>
                  <w:r>
                    <w:rPr>
                      <w:rFonts w:hint="eastAsia"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jc w:val="center"/>
              </w:trPr>
              <w:tc>
                <w:tcPr>
                  <w:tcW w:w="937" w:type="dxa"/>
                  <w:vMerge w:val="continue"/>
                  <w:tcBorders>
                    <w:tl2br w:val="nil"/>
                    <w:tr2bl w:val="nil"/>
                  </w:tcBorders>
                  <w:vAlign w:val="center"/>
                </w:tcPr>
                <w:p>
                  <w:pPr>
                    <w:pStyle w:val="14"/>
                    <w:spacing w:after="0" w:line="320" w:lineRule="exact"/>
                    <w:ind w:left="0" w:leftChars="0"/>
                    <w:jc w:val="center"/>
                    <w:rPr>
                      <w:rFonts w:cs="宋体"/>
                      <w:kern w:val="0"/>
                      <w:sz w:val="18"/>
                      <w:szCs w:val="18"/>
                    </w:rPr>
                  </w:pPr>
                </w:p>
              </w:tc>
              <w:tc>
                <w:tcPr>
                  <w:tcW w:w="2091"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排放浓度（mg/N,d,m</w:t>
                  </w:r>
                  <w:r>
                    <w:rPr>
                      <w:rFonts w:hint="eastAsia" w:cs="宋体"/>
                      <w:kern w:val="0"/>
                      <w:sz w:val="18"/>
                      <w:szCs w:val="18"/>
                      <w:vertAlign w:val="superscript"/>
                    </w:rPr>
                    <w:t>3</w:t>
                  </w:r>
                  <w:r>
                    <w:rPr>
                      <w:rFonts w:hint="eastAsia" w:cs="宋体"/>
                      <w:kern w:val="0"/>
                      <w:sz w:val="18"/>
                      <w:szCs w:val="18"/>
                    </w:rPr>
                    <w:t>）</w:t>
                  </w:r>
                </w:p>
              </w:tc>
              <w:tc>
                <w:tcPr>
                  <w:tcW w:w="1368"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100</w:t>
                  </w:r>
                </w:p>
              </w:tc>
              <w:tc>
                <w:tcPr>
                  <w:tcW w:w="797"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102</w:t>
                  </w:r>
                </w:p>
              </w:tc>
              <w:tc>
                <w:tcPr>
                  <w:tcW w:w="881"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105</w:t>
                  </w:r>
                </w:p>
              </w:tc>
              <w:tc>
                <w:tcPr>
                  <w:tcW w:w="825"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102</w:t>
                  </w:r>
                </w:p>
              </w:tc>
              <w:tc>
                <w:tcPr>
                  <w:tcW w:w="989"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jc w:val="center"/>
              </w:trPr>
              <w:tc>
                <w:tcPr>
                  <w:tcW w:w="937" w:type="dxa"/>
                  <w:vMerge w:val="restart"/>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氮氧化物</w:t>
                  </w:r>
                </w:p>
              </w:tc>
              <w:tc>
                <w:tcPr>
                  <w:tcW w:w="2091"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实测浓度（mg/N,d,m</w:t>
                  </w:r>
                  <w:r>
                    <w:rPr>
                      <w:rFonts w:hint="eastAsia" w:cs="宋体"/>
                      <w:kern w:val="0"/>
                      <w:sz w:val="18"/>
                      <w:szCs w:val="18"/>
                      <w:vertAlign w:val="superscript"/>
                    </w:rPr>
                    <w:t>3</w:t>
                  </w:r>
                  <w:r>
                    <w:rPr>
                      <w:rFonts w:hint="eastAsia" w:cs="宋体"/>
                      <w:kern w:val="0"/>
                      <w:sz w:val="18"/>
                      <w:szCs w:val="18"/>
                    </w:rPr>
                    <w:t>）</w:t>
                  </w:r>
                </w:p>
              </w:tc>
              <w:tc>
                <w:tcPr>
                  <w:tcW w:w="1368"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26</w:t>
                  </w:r>
                </w:p>
              </w:tc>
              <w:tc>
                <w:tcPr>
                  <w:tcW w:w="797"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23</w:t>
                  </w:r>
                </w:p>
              </w:tc>
              <w:tc>
                <w:tcPr>
                  <w:tcW w:w="881"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26</w:t>
                  </w:r>
                </w:p>
              </w:tc>
              <w:tc>
                <w:tcPr>
                  <w:tcW w:w="825"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25</w:t>
                  </w:r>
                </w:p>
              </w:tc>
              <w:tc>
                <w:tcPr>
                  <w:tcW w:w="989" w:type="dxa"/>
                  <w:tcBorders>
                    <w:tl2br w:val="nil"/>
                    <w:tr2bl w:val="nil"/>
                  </w:tcBorders>
                  <w:vAlign w:val="center"/>
                </w:tcPr>
                <w:p>
                  <w:pPr>
                    <w:pStyle w:val="14"/>
                    <w:spacing w:after="0" w:line="320" w:lineRule="exact"/>
                    <w:ind w:left="0" w:leftChars="0"/>
                    <w:jc w:val="center"/>
                    <w:rPr>
                      <w:rFonts w:cs="宋体"/>
                      <w:kern w:val="0"/>
                      <w:sz w:val="18"/>
                      <w:szCs w:val="18"/>
                      <w:vertAlign w:val="superscript"/>
                    </w:rPr>
                  </w:pPr>
                  <w:r>
                    <w:rPr>
                      <w:rFonts w:hint="eastAsia"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jc w:val="center"/>
              </w:trPr>
              <w:tc>
                <w:tcPr>
                  <w:tcW w:w="937" w:type="dxa"/>
                  <w:vMerge w:val="continue"/>
                  <w:tcBorders>
                    <w:tl2br w:val="nil"/>
                    <w:tr2bl w:val="nil"/>
                  </w:tcBorders>
                  <w:vAlign w:val="center"/>
                </w:tcPr>
                <w:p>
                  <w:pPr>
                    <w:pStyle w:val="14"/>
                    <w:spacing w:after="0" w:line="320" w:lineRule="exact"/>
                    <w:ind w:left="0" w:leftChars="0"/>
                    <w:jc w:val="center"/>
                    <w:rPr>
                      <w:rFonts w:cs="宋体"/>
                      <w:kern w:val="0"/>
                      <w:sz w:val="18"/>
                      <w:szCs w:val="18"/>
                    </w:rPr>
                  </w:pPr>
                </w:p>
              </w:tc>
              <w:tc>
                <w:tcPr>
                  <w:tcW w:w="2091"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排放浓度（mg/N,d,m</w:t>
                  </w:r>
                  <w:r>
                    <w:rPr>
                      <w:rFonts w:hint="eastAsia" w:cs="宋体"/>
                      <w:kern w:val="0"/>
                      <w:sz w:val="18"/>
                      <w:szCs w:val="18"/>
                      <w:vertAlign w:val="superscript"/>
                    </w:rPr>
                    <w:t>3</w:t>
                  </w:r>
                  <w:r>
                    <w:rPr>
                      <w:rFonts w:hint="eastAsia" w:cs="宋体"/>
                      <w:kern w:val="0"/>
                      <w:sz w:val="18"/>
                      <w:szCs w:val="18"/>
                    </w:rPr>
                    <w:t>）</w:t>
                  </w:r>
                </w:p>
              </w:tc>
              <w:tc>
                <w:tcPr>
                  <w:tcW w:w="1368"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65</w:t>
                  </w:r>
                </w:p>
              </w:tc>
              <w:tc>
                <w:tcPr>
                  <w:tcW w:w="797"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58</w:t>
                  </w:r>
                </w:p>
              </w:tc>
              <w:tc>
                <w:tcPr>
                  <w:tcW w:w="881"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65</w:t>
                  </w:r>
                </w:p>
              </w:tc>
              <w:tc>
                <w:tcPr>
                  <w:tcW w:w="825"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62</w:t>
                  </w:r>
                </w:p>
              </w:tc>
              <w:tc>
                <w:tcPr>
                  <w:tcW w:w="989"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jc w:val="center"/>
              </w:trPr>
              <w:tc>
                <w:tcPr>
                  <w:tcW w:w="937" w:type="dxa"/>
                  <w:vMerge w:val="restart"/>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颗粒物</w:t>
                  </w:r>
                </w:p>
              </w:tc>
              <w:tc>
                <w:tcPr>
                  <w:tcW w:w="2091" w:type="dxa"/>
                  <w:tcBorders>
                    <w:tl2br w:val="nil"/>
                    <w:tr2bl w:val="nil"/>
                  </w:tcBorders>
                  <w:vAlign w:val="center"/>
                </w:tcPr>
                <w:p>
                  <w:pPr>
                    <w:pStyle w:val="14"/>
                    <w:spacing w:after="0" w:line="360" w:lineRule="exact"/>
                    <w:ind w:left="0" w:leftChars="0"/>
                    <w:jc w:val="center"/>
                    <w:rPr>
                      <w:rFonts w:cs="宋体"/>
                      <w:kern w:val="0"/>
                      <w:sz w:val="18"/>
                      <w:szCs w:val="18"/>
                    </w:rPr>
                  </w:pPr>
                  <w:r>
                    <w:rPr>
                      <w:rFonts w:hint="eastAsia" w:cs="宋体"/>
                      <w:kern w:val="0"/>
                      <w:sz w:val="18"/>
                      <w:szCs w:val="18"/>
                    </w:rPr>
                    <w:t>实测浓度（mg/N,d,m</w:t>
                  </w:r>
                  <w:r>
                    <w:rPr>
                      <w:rFonts w:hint="eastAsia" w:cs="宋体"/>
                      <w:kern w:val="0"/>
                      <w:sz w:val="18"/>
                      <w:szCs w:val="18"/>
                      <w:vertAlign w:val="superscript"/>
                    </w:rPr>
                    <w:t>3</w:t>
                  </w:r>
                  <w:r>
                    <w:rPr>
                      <w:rFonts w:hint="eastAsia" w:cs="宋体"/>
                      <w:kern w:val="0"/>
                      <w:sz w:val="18"/>
                      <w:szCs w:val="18"/>
                    </w:rPr>
                    <w:t>）</w:t>
                  </w:r>
                </w:p>
              </w:tc>
              <w:tc>
                <w:tcPr>
                  <w:tcW w:w="1368"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＜20</w:t>
                  </w:r>
                </w:p>
              </w:tc>
              <w:tc>
                <w:tcPr>
                  <w:tcW w:w="797"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＜20</w:t>
                  </w:r>
                </w:p>
              </w:tc>
              <w:tc>
                <w:tcPr>
                  <w:tcW w:w="881"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＜20</w:t>
                  </w:r>
                </w:p>
              </w:tc>
              <w:tc>
                <w:tcPr>
                  <w:tcW w:w="825"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＜20</w:t>
                  </w:r>
                </w:p>
              </w:tc>
              <w:tc>
                <w:tcPr>
                  <w:tcW w:w="989" w:type="dxa"/>
                  <w:tcBorders>
                    <w:tl2br w:val="nil"/>
                    <w:tr2bl w:val="nil"/>
                  </w:tcBorders>
                  <w:vAlign w:val="center"/>
                </w:tcPr>
                <w:p>
                  <w:pPr>
                    <w:pStyle w:val="14"/>
                    <w:spacing w:after="0" w:line="320" w:lineRule="exact"/>
                    <w:ind w:left="0" w:leftChars="0"/>
                    <w:jc w:val="center"/>
                    <w:rPr>
                      <w:rFonts w:cs="宋体"/>
                      <w:kern w:val="0"/>
                      <w:sz w:val="18"/>
                      <w:szCs w:val="18"/>
                      <w:vertAlign w:val="superscript"/>
                    </w:rPr>
                  </w:pPr>
                  <w:r>
                    <w:rPr>
                      <w:rFonts w:hint="eastAsia"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jc w:val="center"/>
              </w:trPr>
              <w:tc>
                <w:tcPr>
                  <w:tcW w:w="937" w:type="dxa"/>
                  <w:vMerge w:val="continue"/>
                  <w:tcBorders>
                    <w:tl2br w:val="nil"/>
                    <w:tr2bl w:val="nil"/>
                  </w:tcBorders>
                  <w:vAlign w:val="center"/>
                </w:tcPr>
                <w:p>
                  <w:pPr>
                    <w:pStyle w:val="14"/>
                    <w:spacing w:after="0" w:line="320" w:lineRule="exact"/>
                    <w:ind w:left="0" w:leftChars="0"/>
                    <w:jc w:val="center"/>
                    <w:rPr>
                      <w:rFonts w:cs="宋体"/>
                      <w:kern w:val="0"/>
                      <w:sz w:val="18"/>
                      <w:szCs w:val="18"/>
                    </w:rPr>
                  </w:pPr>
                </w:p>
              </w:tc>
              <w:tc>
                <w:tcPr>
                  <w:tcW w:w="2091" w:type="dxa"/>
                  <w:tcBorders>
                    <w:tl2br w:val="nil"/>
                    <w:tr2bl w:val="nil"/>
                  </w:tcBorders>
                  <w:vAlign w:val="center"/>
                </w:tcPr>
                <w:p>
                  <w:pPr>
                    <w:pStyle w:val="14"/>
                    <w:spacing w:after="0" w:line="360" w:lineRule="exact"/>
                    <w:ind w:left="0" w:leftChars="0"/>
                    <w:jc w:val="center"/>
                    <w:rPr>
                      <w:rFonts w:cs="宋体"/>
                      <w:kern w:val="0"/>
                      <w:sz w:val="18"/>
                      <w:szCs w:val="18"/>
                    </w:rPr>
                  </w:pPr>
                  <w:r>
                    <w:rPr>
                      <w:rFonts w:hint="eastAsia" w:cs="宋体"/>
                      <w:kern w:val="0"/>
                      <w:sz w:val="18"/>
                      <w:szCs w:val="18"/>
                    </w:rPr>
                    <w:t>排放浓度（mg/N,d,m</w:t>
                  </w:r>
                  <w:r>
                    <w:rPr>
                      <w:rFonts w:hint="eastAsia" w:cs="宋体"/>
                      <w:kern w:val="0"/>
                      <w:sz w:val="18"/>
                      <w:szCs w:val="18"/>
                      <w:vertAlign w:val="superscript"/>
                    </w:rPr>
                    <w:t>3</w:t>
                  </w:r>
                  <w:r>
                    <w:rPr>
                      <w:rFonts w:hint="eastAsia" w:cs="宋体"/>
                      <w:kern w:val="0"/>
                      <w:sz w:val="18"/>
                      <w:szCs w:val="18"/>
                    </w:rPr>
                    <w:t>）</w:t>
                  </w:r>
                </w:p>
              </w:tc>
              <w:tc>
                <w:tcPr>
                  <w:tcW w:w="1368"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＜50</w:t>
                  </w:r>
                </w:p>
              </w:tc>
              <w:tc>
                <w:tcPr>
                  <w:tcW w:w="797"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＜50</w:t>
                  </w:r>
                </w:p>
              </w:tc>
              <w:tc>
                <w:tcPr>
                  <w:tcW w:w="881"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＜50</w:t>
                  </w:r>
                </w:p>
              </w:tc>
              <w:tc>
                <w:tcPr>
                  <w:tcW w:w="825"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＜50</w:t>
                  </w:r>
                </w:p>
              </w:tc>
              <w:tc>
                <w:tcPr>
                  <w:tcW w:w="989" w:type="dxa"/>
                  <w:tcBorders>
                    <w:tl2br w:val="nil"/>
                    <w:tr2bl w:val="nil"/>
                  </w:tcBorders>
                  <w:vAlign w:val="center"/>
                </w:tcPr>
                <w:p>
                  <w:pPr>
                    <w:pStyle w:val="14"/>
                    <w:spacing w:after="0" w:line="320" w:lineRule="exact"/>
                    <w:ind w:left="0" w:leftChars="0"/>
                    <w:jc w:val="center"/>
                    <w:rPr>
                      <w:rFonts w:cs="宋体"/>
                      <w:kern w:val="0"/>
                      <w:sz w:val="18"/>
                      <w:szCs w:val="18"/>
                    </w:rPr>
                  </w:pPr>
                  <w:r>
                    <w:rPr>
                      <w:rFonts w:hint="eastAsia"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 w:hRule="atLeast"/>
                <w:jc w:val="center"/>
              </w:trPr>
              <w:tc>
                <w:tcPr>
                  <w:tcW w:w="7888" w:type="dxa"/>
                  <w:gridSpan w:val="7"/>
                  <w:tcBorders>
                    <w:tl2br w:val="nil"/>
                    <w:tr2bl w:val="nil"/>
                  </w:tcBorders>
                  <w:vAlign w:val="center"/>
                </w:tcPr>
                <w:p>
                  <w:pPr>
                    <w:pStyle w:val="14"/>
                    <w:spacing w:after="0" w:line="360" w:lineRule="exact"/>
                    <w:ind w:left="0" w:leftChars="0"/>
                    <w:jc w:val="center"/>
                    <w:rPr>
                      <w:rFonts w:cs="宋体"/>
                      <w:kern w:val="0"/>
                      <w:sz w:val="18"/>
                      <w:szCs w:val="18"/>
                    </w:rPr>
                  </w:pPr>
                  <w:r>
                    <w:rPr>
                      <w:rFonts w:hint="eastAsia" w:cs="宋体"/>
                      <w:kern w:val="0"/>
                      <w:sz w:val="18"/>
                      <w:szCs w:val="18"/>
                    </w:rPr>
                    <w:t>备注:排气筒高度20m，直径2.0m，有效面积3.1416m</w:t>
                  </w:r>
                  <w:r>
                    <w:rPr>
                      <w:rFonts w:hint="eastAsia" w:cs="宋体"/>
                      <w:kern w:val="0"/>
                      <w:sz w:val="18"/>
                      <w:szCs w:val="18"/>
                      <w:vertAlign w:val="superscript"/>
                    </w:rPr>
                    <w:t>2</w:t>
                  </w:r>
                  <w:r>
                    <w:rPr>
                      <w:rFonts w:hint="eastAsia" w:cs="宋体"/>
                      <w:kern w:val="0"/>
                      <w:sz w:val="18"/>
                      <w:szCs w:val="18"/>
                    </w:rPr>
                    <w:t>；</w:t>
                  </w:r>
                </w:p>
              </w:tc>
            </w:tr>
          </w:tbl>
          <w:p>
            <w:pPr>
              <w:autoSpaceDE w:val="0"/>
              <w:autoSpaceDN w:val="0"/>
              <w:adjustRightInd w:val="0"/>
              <w:spacing w:line="400" w:lineRule="exact"/>
              <w:ind w:firstLine="420" w:firstLineChars="200"/>
              <w:jc w:val="left"/>
              <w:rPr>
                <w:kern w:val="0"/>
                <w:szCs w:val="21"/>
              </w:rPr>
            </w:pPr>
            <w:r>
              <w:rPr>
                <w:rFonts w:hint="eastAsia" w:ascii="宋体" w:hAnsi="宋体" w:cs="宋体"/>
                <w:kern w:val="0"/>
                <w:szCs w:val="21"/>
              </w:rPr>
              <w:t>根据上表监测结果，项目经处理后的砖窑废气中SO</w:t>
            </w:r>
            <w:r>
              <w:rPr>
                <w:rFonts w:hint="eastAsia" w:ascii="宋体" w:hAnsi="宋体" w:cs="宋体"/>
                <w:kern w:val="0"/>
                <w:szCs w:val="21"/>
                <w:vertAlign w:val="subscript"/>
              </w:rPr>
              <w:t>2</w:t>
            </w:r>
            <w:r>
              <w:rPr>
                <w:rFonts w:hint="eastAsia" w:ascii="宋体" w:hAnsi="宋体" w:cs="宋体"/>
                <w:kern w:val="0"/>
                <w:szCs w:val="21"/>
              </w:rPr>
              <w:t>、NO</w:t>
            </w:r>
            <w:r>
              <w:rPr>
                <w:rFonts w:hint="eastAsia" w:ascii="宋体" w:hAnsi="宋体" w:cs="宋体"/>
                <w:kern w:val="0"/>
                <w:szCs w:val="21"/>
                <w:vertAlign w:val="subscript"/>
              </w:rPr>
              <w:t>x</w:t>
            </w:r>
            <w:r>
              <w:rPr>
                <w:rFonts w:hint="eastAsia" w:ascii="宋体" w:hAnsi="宋体" w:cs="宋体"/>
                <w:kern w:val="0"/>
                <w:szCs w:val="21"/>
              </w:rPr>
              <w:t>污染物排放浓度能够满足《砖瓦工业大气污染物排放标准》（GB29620-2013）中相应的排放限值要求，颗粒物无法评价。</w:t>
            </w:r>
          </w:p>
          <w:p>
            <w:pPr>
              <w:pStyle w:val="14"/>
              <w:spacing w:after="0" w:line="440" w:lineRule="exact"/>
              <w:ind w:left="0" w:leftChars="0" w:firstLine="420" w:firstLineChars="200"/>
              <w:jc w:val="left"/>
              <w:rPr>
                <w:kern w:val="0"/>
                <w:szCs w:val="21"/>
              </w:rPr>
            </w:pPr>
            <w:r>
              <w:rPr>
                <w:rFonts w:hint="eastAsia"/>
                <w:kern w:val="0"/>
                <w:szCs w:val="21"/>
              </w:rPr>
              <w:t>（2）原料破碎筛分粉尘</w:t>
            </w:r>
          </w:p>
          <w:p>
            <w:pPr>
              <w:spacing w:line="404" w:lineRule="exact"/>
              <w:ind w:firstLine="420" w:firstLineChars="200"/>
              <w:jc w:val="left"/>
              <w:rPr>
                <w:rFonts w:ascii="宋体" w:hAnsi="宋体"/>
                <w:bCs/>
              </w:rPr>
            </w:pPr>
            <w:r>
              <w:rPr>
                <w:rFonts w:hint="eastAsia" w:ascii="宋体" w:hAnsi="宋体"/>
                <w:bCs/>
              </w:rPr>
              <w:t xml:space="preserve">项目破碎车间所有设备均位于封闭车间内，颚式破碎机采取半地下式安装，设备进料口安装喷雾洒水装置，破碎机产尘点安装有袋式除尘器，粉尘废气经收尘处理后在车间内无组织排放。破碎车间原设有封闭式围挡，但因年久破损，已无法确保封闭式生产，不能满足环保要求。  </w:t>
            </w:r>
          </w:p>
          <w:p>
            <w:pPr>
              <w:spacing w:line="404" w:lineRule="exact"/>
              <w:ind w:firstLine="420" w:firstLineChars="200"/>
              <w:jc w:val="left"/>
              <w:rPr>
                <w:kern w:val="0"/>
                <w:szCs w:val="21"/>
              </w:rPr>
            </w:pPr>
            <w:r>
              <w:rPr>
                <w:rFonts w:hint="eastAsia"/>
                <w:kern w:val="0"/>
                <w:szCs w:val="21"/>
              </w:rPr>
              <w:t>根据《排放源统计调查产排污核算方法和系数手册》（公告2021年第24号）中“303砖瓦、石材等建筑材料制造行业系数手册”，破碎筛分工艺的颗粒物产污系数为1.23kg/万块标砖，则粉尘产生量为3.69t/a。</w:t>
            </w:r>
            <w:r>
              <w:rPr>
                <w:rFonts w:hint="eastAsia" w:cs="宋体"/>
                <w:kern w:val="0"/>
                <w:szCs w:val="21"/>
                <w:lang w:bidi="ar"/>
              </w:rPr>
              <w:t>布袋除尘器对粉尘的去除效率取</w:t>
            </w:r>
            <w:r>
              <w:rPr>
                <w:kern w:val="0"/>
                <w:szCs w:val="21"/>
                <w:lang w:bidi="ar"/>
              </w:rPr>
              <w:t>98%</w:t>
            </w:r>
            <w:r>
              <w:rPr>
                <w:rFonts w:hint="eastAsia" w:cs="宋体"/>
                <w:kern w:val="0"/>
                <w:szCs w:val="21"/>
                <w:lang w:bidi="ar"/>
              </w:rPr>
              <w:t>，集气罩收集效率取</w:t>
            </w:r>
            <w:r>
              <w:rPr>
                <w:kern w:val="0"/>
                <w:szCs w:val="21"/>
                <w:lang w:bidi="ar"/>
              </w:rPr>
              <w:t>90%</w:t>
            </w:r>
            <w:r>
              <w:rPr>
                <w:rFonts w:hint="eastAsia"/>
                <w:kern w:val="0"/>
                <w:szCs w:val="21"/>
                <w:lang w:bidi="ar"/>
              </w:rPr>
              <w:t>，除尘器净化处理后在车间内排放</w:t>
            </w:r>
            <w:r>
              <w:rPr>
                <w:rFonts w:hint="eastAsia" w:cs="宋体"/>
                <w:kern w:val="0"/>
                <w:szCs w:val="21"/>
                <w:lang w:bidi="ar"/>
              </w:rPr>
              <w:t>。经计算，</w:t>
            </w:r>
            <w:r>
              <w:rPr>
                <w:rFonts w:hint="eastAsia"/>
                <w:kern w:val="0"/>
                <w:szCs w:val="21"/>
              </w:rPr>
              <w:t>粉尘无组织排放量为0.435t/a。</w:t>
            </w:r>
          </w:p>
          <w:p>
            <w:pPr>
              <w:spacing w:line="404" w:lineRule="exact"/>
              <w:ind w:firstLine="420" w:firstLineChars="200"/>
              <w:jc w:val="left"/>
              <w:rPr>
                <w:bCs/>
              </w:rPr>
            </w:pPr>
            <w:r>
              <w:rPr>
                <w:rFonts w:hint="eastAsia"/>
                <w:bCs/>
              </w:rPr>
              <w:t>（3）原料堆场扬尘</w:t>
            </w:r>
          </w:p>
          <w:p>
            <w:pPr>
              <w:spacing w:line="404" w:lineRule="exact"/>
              <w:ind w:firstLine="420" w:firstLineChars="200"/>
              <w:jc w:val="left"/>
              <w:rPr>
                <w:rFonts w:ascii="宋体" w:hAnsi="宋体"/>
                <w:bCs/>
              </w:rPr>
            </w:pPr>
            <w:r>
              <w:rPr>
                <w:rFonts w:hint="eastAsia" w:ascii="宋体" w:hAnsi="宋体"/>
                <w:bCs/>
              </w:rPr>
              <w:t>原料堆场安装轻钢遮雨棚，堆场内安装喷雾洒水装置；但堆场地面未硬化处理，周围未设置封闭式围挡，堆场物料易受风力扰动，增加起尘量造成扬尘污染</w:t>
            </w:r>
            <w:r>
              <w:rPr>
                <w:rFonts w:hint="eastAsia"/>
                <w:kern w:val="0"/>
                <w:szCs w:val="21"/>
              </w:rPr>
              <w:t>，不能满足环保要求</w:t>
            </w:r>
            <w:r>
              <w:rPr>
                <w:rFonts w:hint="eastAsia" w:ascii="宋体" w:hAnsi="宋体"/>
                <w:bCs/>
              </w:rPr>
              <w:t>。</w:t>
            </w:r>
          </w:p>
          <w:p>
            <w:pPr>
              <w:spacing w:line="404" w:lineRule="exact"/>
              <w:ind w:firstLine="420" w:firstLineChars="200"/>
              <w:jc w:val="left"/>
              <w:rPr>
                <w:bCs/>
              </w:rPr>
            </w:pPr>
            <w:r>
              <w:rPr>
                <w:rFonts w:hint="eastAsia"/>
                <w:kern w:val="0"/>
                <w:szCs w:val="21"/>
              </w:rPr>
              <w:t>据《逸散性工业粉尘控制技术》中“粒料加工车间逸散尘的排放因子”的数据，卡车卸料粉尘产生系数一般取0.02kg/t-原料量。本项目易产生粉尘的原料卸料量为10.5万吨，则卸料粉尘产生量为2.1t/a。原料堆场设有防雨顶棚和喷雾装置，但未设置三面围挡，粉尘综合去除效率取60%，则堆场扬尘排放量为0.84t/a。</w:t>
            </w:r>
          </w:p>
          <w:p>
            <w:pPr>
              <w:pStyle w:val="14"/>
              <w:spacing w:after="0" w:line="404" w:lineRule="exact"/>
              <w:ind w:left="0" w:leftChars="0" w:firstLine="420" w:firstLineChars="200"/>
              <w:jc w:val="left"/>
              <w:rPr>
                <w:kern w:val="0"/>
                <w:szCs w:val="21"/>
              </w:rPr>
            </w:pPr>
            <w:r>
              <w:rPr>
                <w:rFonts w:hint="eastAsia"/>
                <w:kern w:val="0"/>
                <w:szCs w:val="21"/>
              </w:rPr>
              <w:t>（4）运输扬尘</w:t>
            </w:r>
          </w:p>
          <w:p>
            <w:pPr>
              <w:spacing w:line="404" w:lineRule="exact"/>
              <w:ind w:firstLine="420" w:firstLineChars="200"/>
            </w:pPr>
            <w:r>
              <w:rPr>
                <w:rFonts w:hint="eastAsia" w:ascii="宋体" w:hAnsi="宋体"/>
                <w:bCs/>
              </w:rPr>
              <w:t>厂内道路及产品、原料运输道路硬化处理，适时洒水抑尘，运输车辆采用篷布遮盖。但厂区进出口未设置车辆冲洗设施。</w:t>
            </w:r>
          </w:p>
          <w:p>
            <w:pPr>
              <w:pStyle w:val="14"/>
              <w:spacing w:after="0" w:line="404" w:lineRule="exact"/>
              <w:ind w:left="0" w:leftChars="0" w:firstLine="422" w:firstLineChars="200"/>
              <w:jc w:val="left"/>
              <w:rPr>
                <w:b/>
                <w:bCs/>
                <w:kern w:val="0"/>
                <w:szCs w:val="21"/>
              </w:rPr>
            </w:pPr>
            <w:r>
              <w:rPr>
                <w:rFonts w:hint="eastAsia"/>
                <w:b/>
                <w:bCs/>
                <w:kern w:val="0"/>
                <w:szCs w:val="21"/>
              </w:rPr>
              <w:t>2、废水</w:t>
            </w:r>
          </w:p>
          <w:p>
            <w:pPr>
              <w:pStyle w:val="14"/>
              <w:spacing w:after="0" w:line="404" w:lineRule="exact"/>
              <w:ind w:left="0" w:leftChars="0" w:firstLine="420" w:firstLineChars="200"/>
              <w:jc w:val="left"/>
              <w:rPr>
                <w:kern w:val="0"/>
                <w:szCs w:val="21"/>
              </w:rPr>
            </w:pPr>
            <w:r>
              <w:rPr>
                <w:rFonts w:hint="eastAsia"/>
                <w:kern w:val="0"/>
                <w:szCs w:val="21"/>
              </w:rPr>
              <w:t>（1）生产废水</w:t>
            </w:r>
          </w:p>
          <w:p>
            <w:pPr>
              <w:pStyle w:val="14"/>
              <w:spacing w:after="0" w:line="404" w:lineRule="exact"/>
              <w:ind w:left="0" w:leftChars="0" w:firstLine="420" w:firstLineChars="200"/>
              <w:jc w:val="left"/>
              <w:rPr>
                <w:kern w:val="0"/>
                <w:szCs w:val="21"/>
              </w:rPr>
            </w:pPr>
            <w:r>
              <w:rPr>
                <w:rFonts w:hint="eastAsia"/>
                <w:kern w:val="0"/>
                <w:szCs w:val="21"/>
              </w:rPr>
              <w:t>脱硫废液：脱硫系统旁修建脱硫液再生循环系统，包括“沉淀池+循环池”总容积200m</w:t>
            </w:r>
            <w:r>
              <w:rPr>
                <w:rFonts w:hint="eastAsia"/>
                <w:kern w:val="0"/>
                <w:szCs w:val="21"/>
                <w:vertAlign w:val="superscript"/>
              </w:rPr>
              <w:t>3</w:t>
            </w:r>
            <w:r>
              <w:rPr>
                <w:rFonts w:hint="eastAsia"/>
                <w:kern w:val="0"/>
                <w:szCs w:val="21"/>
              </w:rPr>
              <w:t>；再生处理后全部回用，不外排。</w:t>
            </w:r>
          </w:p>
          <w:p>
            <w:pPr>
              <w:pStyle w:val="14"/>
              <w:spacing w:after="0" w:line="404" w:lineRule="exact"/>
              <w:ind w:left="0" w:leftChars="0" w:firstLine="420" w:firstLineChars="200"/>
              <w:jc w:val="left"/>
              <w:rPr>
                <w:kern w:val="0"/>
                <w:szCs w:val="21"/>
              </w:rPr>
            </w:pPr>
            <w:r>
              <w:rPr>
                <w:rFonts w:hint="eastAsia"/>
                <w:kern w:val="0"/>
                <w:szCs w:val="21"/>
              </w:rPr>
              <w:t>（2）生活污水</w:t>
            </w:r>
          </w:p>
          <w:p>
            <w:pPr>
              <w:pStyle w:val="14"/>
              <w:spacing w:after="0" w:line="404" w:lineRule="exact"/>
              <w:ind w:left="0" w:leftChars="0" w:firstLine="420" w:firstLineChars="200"/>
              <w:jc w:val="left"/>
              <w:rPr>
                <w:kern w:val="0"/>
                <w:szCs w:val="21"/>
              </w:rPr>
            </w:pPr>
            <w:r>
              <w:rPr>
                <w:rFonts w:hint="eastAsia"/>
                <w:kern w:val="0"/>
                <w:szCs w:val="21"/>
              </w:rPr>
              <w:t>厂区设</w:t>
            </w:r>
            <w:r>
              <w:rPr>
                <w:rFonts w:hint="eastAsia"/>
                <w:szCs w:val="21"/>
              </w:rPr>
              <w:t>化粪池1个（容积20</w:t>
            </w:r>
            <w:r>
              <w:rPr>
                <w:szCs w:val="21"/>
              </w:rPr>
              <w:t>m</w:t>
            </w:r>
            <w:r>
              <w:rPr>
                <w:szCs w:val="21"/>
                <w:vertAlign w:val="superscript"/>
              </w:rPr>
              <w:t>3</w:t>
            </w:r>
            <w:r>
              <w:rPr>
                <w:rFonts w:hint="eastAsia"/>
                <w:szCs w:val="21"/>
              </w:rPr>
              <w:t>）</w:t>
            </w:r>
            <w:r>
              <w:rPr>
                <w:szCs w:val="21"/>
              </w:rPr>
              <w:t>处理后全部做</w:t>
            </w:r>
            <w:r>
              <w:rPr>
                <w:rFonts w:hint="eastAsia"/>
                <w:szCs w:val="21"/>
              </w:rPr>
              <w:t>农肥</w:t>
            </w:r>
            <w:r>
              <w:rPr>
                <w:rFonts w:hint="eastAsia"/>
                <w:kern w:val="0"/>
                <w:szCs w:val="21"/>
              </w:rPr>
              <w:t>。</w:t>
            </w:r>
          </w:p>
          <w:p>
            <w:pPr>
              <w:pStyle w:val="14"/>
              <w:spacing w:after="0" w:line="404" w:lineRule="exact"/>
              <w:ind w:left="0" w:leftChars="0" w:firstLine="420" w:firstLineChars="200"/>
              <w:jc w:val="left"/>
              <w:rPr>
                <w:kern w:val="0"/>
                <w:szCs w:val="21"/>
              </w:rPr>
            </w:pPr>
            <w:r>
              <w:rPr>
                <w:rFonts w:hint="eastAsia"/>
                <w:kern w:val="0"/>
                <w:szCs w:val="21"/>
              </w:rPr>
              <w:t>本项目废水全部循环回用或做农肥利用，不存在外排废水。</w:t>
            </w:r>
          </w:p>
          <w:p>
            <w:pPr>
              <w:pStyle w:val="14"/>
              <w:spacing w:after="0" w:line="404" w:lineRule="exact"/>
              <w:jc w:val="left"/>
              <w:rPr>
                <w:kern w:val="0"/>
                <w:szCs w:val="21"/>
              </w:rPr>
            </w:pPr>
            <w:r>
              <w:rPr>
                <w:rFonts w:hint="eastAsia"/>
                <w:b/>
                <w:bCs/>
                <w:kern w:val="0"/>
                <w:szCs w:val="21"/>
              </w:rPr>
              <w:t>3、噪声</w:t>
            </w:r>
          </w:p>
          <w:p>
            <w:pPr>
              <w:pStyle w:val="14"/>
              <w:spacing w:after="0" w:line="404" w:lineRule="exact"/>
              <w:ind w:left="0" w:leftChars="0" w:firstLine="420" w:firstLineChars="200"/>
              <w:jc w:val="left"/>
              <w:rPr>
                <w:kern w:val="0"/>
                <w:szCs w:val="21"/>
              </w:rPr>
            </w:pPr>
            <w:r>
              <w:rPr>
                <w:rFonts w:hint="eastAsia"/>
                <w:kern w:val="0"/>
                <w:szCs w:val="21"/>
              </w:rPr>
              <w:t>项目营运期噪声主要来自各类机械设备的运行噪声，如风机、破碎机、筛分机等。主要采取措施为：将颚式破碎机采取半地下式安装，设置封闭式生产车间，采取建筑隔声措施，所有设备安装时加装减振垫，禁止夜间破碎、制砖。合理安排运输时间、禁止夜间运输，控制车速、限制鸣笛。</w:t>
            </w:r>
          </w:p>
          <w:p>
            <w:pPr>
              <w:pStyle w:val="14"/>
              <w:spacing w:after="0" w:line="404" w:lineRule="exact"/>
              <w:ind w:left="0" w:leftChars="0" w:firstLine="420" w:firstLineChars="200"/>
              <w:jc w:val="left"/>
              <w:rPr>
                <w:kern w:val="0"/>
                <w:szCs w:val="21"/>
              </w:rPr>
            </w:pPr>
            <w:r>
              <w:rPr>
                <w:rFonts w:hint="eastAsia"/>
                <w:kern w:val="0"/>
                <w:szCs w:val="21"/>
              </w:rPr>
              <w:t>根据调查，项目现有工程运行期间，当地环保主管部门及其他政府职能部门，均未接到与本项目有关的噪声扰民投诉案件。</w:t>
            </w:r>
          </w:p>
          <w:p>
            <w:pPr>
              <w:pStyle w:val="14"/>
              <w:spacing w:after="0" w:line="410" w:lineRule="exact"/>
              <w:ind w:left="0" w:leftChars="0" w:firstLine="422" w:firstLineChars="200"/>
              <w:jc w:val="left"/>
              <w:rPr>
                <w:b/>
                <w:bCs/>
                <w:kern w:val="0"/>
                <w:szCs w:val="21"/>
              </w:rPr>
            </w:pPr>
          </w:p>
          <w:p>
            <w:pPr>
              <w:pStyle w:val="14"/>
              <w:spacing w:after="0" w:line="410" w:lineRule="exact"/>
              <w:ind w:left="0" w:leftChars="0" w:firstLine="422" w:firstLineChars="200"/>
              <w:jc w:val="left"/>
              <w:rPr>
                <w:b/>
                <w:bCs/>
                <w:kern w:val="0"/>
                <w:szCs w:val="21"/>
              </w:rPr>
            </w:pPr>
            <w:r>
              <w:rPr>
                <w:rFonts w:hint="eastAsia"/>
                <w:b/>
                <w:bCs/>
                <w:kern w:val="0"/>
                <w:szCs w:val="21"/>
              </w:rPr>
              <w:t>4、固体废物</w:t>
            </w:r>
          </w:p>
          <w:p>
            <w:pPr>
              <w:pStyle w:val="14"/>
              <w:spacing w:after="0" w:line="410" w:lineRule="exact"/>
              <w:ind w:left="0" w:leftChars="0" w:firstLine="420" w:firstLineChars="200"/>
              <w:jc w:val="left"/>
              <w:rPr>
                <w:kern w:val="0"/>
                <w:szCs w:val="21"/>
              </w:rPr>
            </w:pPr>
            <w:r>
              <w:rPr>
                <w:rFonts w:hint="eastAsia"/>
                <w:kern w:val="0"/>
                <w:szCs w:val="21"/>
              </w:rPr>
              <w:t>（1）一般固废</w:t>
            </w:r>
          </w:p>
          <w:p>
            <w:pPr>
              <w:pStyle w:val="14"/>
              <w:spacing w:after="0" w:line="410" w:lineRule="exact"/>
              <w:ind w:left="0" w:leftChars="0" w:firstLine="420" w:firstLineChars="200"/>
              <w:jc w:val="left"/>
              <w:rPr>
                <w:kern w:val="0"/>
                <w:szCs w:val="21"/>
              </w:rPr>
            </w:pPr>
            <w:r>
              <w:rPr>
                <w:rFonts w:hint="eastAsia"/>
                <w:kern w:val="0"/>
                <w:szCs w:val="21"/>
              </w:rPr>
              <w:t>主要是不合格砖及破损砖、脱硫废渣、煤渣、除尘灰等，通过采取定点收集，及时回用生产等措施，能够使固废得到妥善处置，未造成二次污染。</w:t>
            </w:r>
          </w:p>
          <w:p>
            <w:pPr>
              <w:pStyle w:val="14"/>
              <w:spacing w:after="0" w:line="410" w:lineRule="exact"/>
              <w:ind w:left="0" w:leftChars="0" w:firstLine="420" w:firstLineChars="200"/>
              <w:jc w:val="left"/>
              <w:rPr>
                <w:kern w:val="0"/>
                <w:szCs w:val="21"/>
              </w:rPr>
            </w:pPr>
            <w:r>
              <w:rPr>
                <w:rFonts w:hint="eastAsia"/>
                <w:kern w:val="0"/>
                <w:szCs w:val="21"/>
              </w:rPr>
              <w:t>不合格砖及破损砖：按照产量的0.5%计，年产1000万匹砖，则不合格砖及破损砖产生量约为375t/a。</w:t>
            </w:r>
          </w:p>
          <w:p>
            <w:pPr>
              <w:pStyle w:val="14"/>
              <w:spacing w:after="0" w:line="410" w:lineRule="exact"/>
              <w:ind w:left="0" w:leftChars="0" w:firstLine="420" w:firstLineChars="200"/>
              <w:jc w:val="left"/>
              <w:rPr>
                <w:kern w:val="0"/>
                <w:szCs w:val="21"/>
              </w:rPr>
            </w:pPr>
            <w:r>
              <w:rPr>
                <w:rFonts w:hint="eastAsia"/>
                <w:kern w:val="0"/>
                <w:szCs w:val="21"/>
              </w:rPr>
              <w:t>脱硫废渣：主要来自于砖窑烟气中的粉尘，钠碱湿法脱硫时脱硫液本身不产生废渣。经计算，废渣产生量约为3.1t/a。煤渣：产生量约为1.0t/a。除尘灰：产生于破碎车间除尘器收集的粉尘，产生量为3.56t/a。</w:t>
            </w:r>
          </w:p>
          <w:p>
            <w:pPr>
              <w:pStyle w:val="14"/>
              <w:spacing w:after="0" w:line="410" w:lineRule="exact"/>
              <w:ind w:left="0" w:leftChars="0" w:firstLine="420" w:firstLineChars="200"/>
              <w:jc w:val="left"/>
              <w:rPr>
                <w:kern w:val="0"/>
                <w:szCs w:val="21"/>
              </w:rPr>
            </w:pPr>
            <w:r>
              <w:rPr>
                <w:rFonts w:hint="eastAsia"/>
                <w:kern w:val="0"/>
                <w:szCs w:val="21"/>
              </w:rPr>
              <w:t>（2）危废废物</w:t>
            </w:r>
          </w:p>
          <w:p>
            <w:pPr>
              <w:pStyle w:val="14"/>
              <w:spacing w:after="0" w:line="410" w:lineRule="exact"/>
              <w:ind w:left="0" w:leftChars="0" w:firstLine="420"/>
              <w:jc w:val="left"/>
              <w:rPr>
                <w:kern w:val="0"/>
                <w:szCs w:val="21"/>
              </w:rPr>
            </w:pPr>
            <w:r>
              <w:rPr>
                <w:rFonts w:hint="eastAsia"/>
                <w:kern w:val="0"/>
                <w:szCs w:val="21"/>
              </w:rPr>
              <w:t>本项目营运期危废为废机油、废油桶等，主要产生于机械设备维护保养、维修等。废机油产生量约为0.1t/a、废机油桶产生量约为0.5t/a。</w:t>
            </w:r>
          </w:p>
          <w:p>
            <w:pPr>
              <w:pStyle w:val="14"/>
              <w:spacing w:after="0" w:line="410" w:lineRule="exact"/>
              <w:ind w:left="0" w:leftChars="0" w:firstLine="420"/>
              <w:jc w:val="left"/>
              <w:rPr>
                <w:kern w:val="0"/>
                <w:szCs w:val="21"/>
              </w:rPr>
            </w:pPr>
            <w:r>
              <w:rPr>
                <w:rFonts w:hint="eastAsia"/>
                <w:kern w:val="0"/>
                <w:szCs w:val="21"/>
              </w:rPr>
              <w:t>根据现场调查，项目厂区仅设置有一个废机油临时暂存点，未采取有效的“四防”措施，即：防风、防雨、防渗漏、防流失。危废已委托有资质的单位回收处置，但未严格地执行转移联单制度，不能满足环保要求。</w:t>
            </w:r>
          </w:p>
          <w:p>
            <w:pPr>
              <w:pStyle w:val="14"/>
              <w:spacing w:after="0" w:line="400" w:lineRule="exact"/>
              <w:ind w:left="0" w:leftChars="0" w:firstLine="422" w:firstLineChars="200"/>
              <w:jc w:val="left"/>
              <w:rPr>
                <w:b/>
                <w:bCs/>
                <w:kern w:val="0"/>
                <w:szCs w:val="21"/>
              </w:rPr>
            </w:pPr>
            <w:r>
              <w:rPr>
                <w:rFonts w:hint="eastAsia"/>
                <w:b/>
                <w:bCs/>
                <w:kern w:val="0"/>
                <w:szCs w:val="21"/>
              </w:rPr>
              <w:t>5、地下水和土壤</w:t>
            </w:r>
          </w:p>
          <w:p>
            <w:pPr>
              <w:pStyle w:val="14"/>
              <w:spacing w:after="0" w:line="400" w:lineRule="exact"/>
              <w:ind w:left="0" w:leftChars="0" w:firstLine="420" w:firstLineChars="200"/>
              <w:jc w:val="left"/>
              <w:rPr>
                <w:kern w:val="0"/>
                <w:szCs w:val="21"/>
              </w:rPr>
            </w:pPr>
            <w:r>
              <w:rPr>
                <w:kern w:val="0"/>
                <w:szCs w:val="21"/>
              </w:rPr>
              <w:t>现有工程的生产车间地面采取水泥硬化处理，但未采取分区防渗措施，危废间、脱硫废液处理区的防渗等级不能满足环保要求。</w:t>
            </w:r>
          </w:p>
          <w:p>
            <w:pPr>
              <w:pStyle w:val="14"/>
              <w:spacing w:after="0" w:line="400" w:lineRule="exact"/>
              <w:ind w:left="0" w:leftChars="0"/>
              <w:jc w:val="left"/>
              <w:rPr>
                <w:rFonts w:ascii="黑体" w:hAnsi="黑体" w:eastAsia="黑体"/>
                <w:kern w:val="0"/>
                <w:szCs w:val="21"/>
              </w:rPr>
            </w:pPr>
            <w:r>
              <w:rPr>
                <w:rFonts w:hint="eastAsia" w:ascii="黑体" w:hAnsi="黑体" w:eastAsia="黑体"/>
                <w:kern w:val="0"/>
                <w:szCs w:val="21"/>
              </w:rPr>
              <w:t>三、存在的主要环境问题</w:t>
            </w:r>
          </w:p>
          <w:p>
            <w:pPr>
              <w:pStyle w:val="14"/>
              <w:spacing w:after="0" w:line="400" w:lineRule="exact"/>
              <w:rPr>
                <w:kern w:val="0"/>
                <w:szCs w:val="21"/>
              </w:rPr>
            </w:pPr>
            <w:r>
              <w:rPr>
                <w:rFonts w:hint="eastAsia"/>
                <w:kern w:val="0"/>
                <w:szCs w:val="21"/>
              </w:rPr>
              <w:t>1、原料堆场周围未设置封闭式围挡设施，堆场物料受风力扰动，易造成扬尘污染。2、原料破碎筛分车间的封闭式围挡已破损，无法确保实行封闭式生产。</w:t>
            </w:r>
          </w:p>
          <w:p>
            <w:pPr>
              <w:pStyle w:val="14"/>
              <w:spacing w:after="0" w:line="400" w:lineRule="exact"/>
              <w:rPr>
                <w:kern w:val="0"/>
                <w:szCs w:val="21"/>
              </w:rPr>
            </w:pPr>
            <w:r>
              <w:rPr>
                <w:rFonts w:hint="eastAsia"/>
                <w:kern w:val="0"/>
                <w:szCs w:val="21"/>
              </w:rPr>
              <w:t>3、厂区车辆进出口未设置车辆冲洗设施。</w:t>
            </w:r>
          </w:p>
          <w:p>
            <w:pPr>
              <w:pStyle w:val="14"/>
              <w:spacing w:after="0" w:line="400" w:lineRule="exact"/>
              <w:rPr>
                <w:kern w:val="0"/>
                <w:szCs w:val="21"/>
              </w:rPr>
            </w:pPr>
            <w:r>
              <w:rPr>
                <w:rFonts w:hint="eastAsia"/>
                <w:kern w:val="0"/>
                <w:szCs w:val="21"/>
              </w:rPr>
              <w:t>4、危废间设置不规范，转移联单制度执行不够严格。分区防渗措施不完善。</w:t>
            </w:r>
          </w:p>
          <w:p>
            <w:pPr>
              <w:pStyle w:val="14"/>
              <w:spacing w:after="0" w:line="400" w:lineRule="exact"/>
              <w:rPr>
                <w:kern w:val="0"/>
                <w:szCs w:val="21"/>
              </w:rPr>
            </w:pPr>
          </w:p>
          <w:p>
            <w:pPr>
              <w:pStyle w:val="14"/>
              <w:spacing w:after="0" w:line="400" w:lineRule="exact"/>
              <w:rPr>
                <w:kern w:val="0"/>
                <w:szCs w:val="21"/>
              </w:rPr>
            </w:pPr>
          </w:p>
          <w:p>
            <w:pPr>
              <w:pStyle w:val="14"/>
              <w:spacing w:after="0" w:line="400" w:lineRule="exact"/>
              <w:rPr>
                <w:kern w:val="0"/>
                <w:szCs w:val="21"/>
              </w:rPr>
            </w:pPr>
          </w:p>
          <w:p>
            <w:pPr>
              <w:pStyle w:val="14"/>
              <w:spacing w:after="0" w:line="400" w:lineRule="exact"/>
              <w:rPr>
                <w:kern w:val="0"/>
                <w:szCs w:val="21"/>
              </w:rPr>
            </w:pPr>
          </w:p>
          <w:p>
            <w:pPr>
              <w:pStyle w:val="14"/>
              <w:spacing w:after="0" w:line="400" w:lineRule="exact"/>
              <w:rPr>
                <w:kern w:val="0"/>
                <w:szCs w:val="21"/>
              </w:rPr>
            </w:pPr>
          </w:p>
          <w:p>
            <w:pPr>
              <w:pStyle w:val="14"/>
              <w:spacing w:after="0" w:line="400" w:lineRule="exact"/>
              <w:rPr>
                <w:kern w:val="0"/>
                <w:szCs w:val="21"/>
              </w:rPr>
            </w:pPr>
          </w:p>
          <w:p>
            <w:pPr>
              <w:pStyle w:val="14"/>
              <w:spacing w:after="0" w:line="400" w:lineRule="exact"/>
              <w:rPr>
                <w:kern w:val="0"/>
                <w:szCs w:val="21"/>
              </w:rPr>
            </w:pPr>
          </w:p>
          <w:p>
            <w:pPr>
              <w:pStyle w:val="14"/>
              <w:spacing w:after="0" w:line="400" w:lineRule="exact"/>
              <w:rPr>
                <w:kern w:val="0"/>
                <w:szCs w:val="21"/>
              </w:rPr>
            </w:pPr>
          </w:p>
          <w:p>
            <w:pPr>
              <w:pStyle w:val="14"/>
              <w:spacing w:after="0" w:line="400" w:lineRule="exact"/>
              <w:rPr>
                <w:kern w:val="0"/>
                <w:szCs w:val="21"/>
              </w:rPr>
            </w:pPr>
          </w:p>
          <w:p>
            <w:pPr>
              <w:pStyle w:val="14"/>
              <w:spacing w:after="0" w:line="100" w:lineRule="exact"/>
              <w:rPr>
                <w:kern w:val="0"/>
                <w:szCs w:val="21"/>
              </w:rPr>
            </w:pPr>
          </w:p>
          <w:p>
            <w:pPr>
              <w:pStyle w:val="14"/>
              <w:spacing w:after="0" w:line="100" w:lineRule="exact"/>
              <w:rPr>
                <w:kern w:val="0"/>
                <w:szCs w:val="21"/>
              </w:rPr>
            </w:pPr>
          </w:p>
          <w:p>
            <w:pPr>
              <w:pStyle w:val="14"/>
              <w:spacing w:after="0" w:line="100" w:lineRule="exact"/>
              <w:rPr>
                <w:kern w:val="0"/>
                <w:szCs w:val="21"/>
              </w:rPr>
            </w:pPr>
          </w:p>
          <w:p>
            <w:pPr>
              <w:pStyle w:val="14"/>
              <w:spacing w:after="0" w:line="100" w:lineRule="exact"/>
              <w:rPr>
                <w:kern w:val="0"/>
                <w:szCs w:val="21"/>
              </w:rPr>
            </w:pPr>
          </w:p>
        </w:tc>
      </w:tr>
    </w:tbl>
    <w:p>
      <w:pPr>
        <w:pStyle w:val="18"/>
        <w:jc w:val="center"/>
        <w:outlineLvl w:val="0"/>
        <w:rPr>
          <w:rFonts w:ascii="Times New Roman" w:hAnsi="Times New Roman" w:eastAsia="黑体" w:cs="Times New Roman"/>
          <w:snapToGrid w:val="0"/>
          <w:sz w:val="30"/>
          <w:szCs w:val="30"/>
        </w:rPr>
      </w:pPr>
      <w:r>
        <w:rPr>
          <w:rFonts w:ascii="Times New Roman" w:hAnsi="Times New Roman" w:eastAsia="黑体" w:cs="Times New Roman"/>
          <w:snapToGrid w:val="0"/>
          <w:sz w:val="30"/>
          <w:szCs w:val="30"/>
        </w:rPr>
        <w:t>三、区域环境质量现状、环境保护目标及评价标准</w:t>
      </w:r>
    </w:p>
    <w:tbl>
      <w:tblPr>
        <w:tblStyle w:val="20"/>
        <w:tblW w:w="891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2"/>
        <w:gridCol w:w="81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28" w:hRule="atLeast"/>
          <w:jc w:val="center"/>
        </w:trPr>
        <w:tc>
          <w:tcPr>
            <w:tcW w:w="792"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pStyle w:val="14"/>
            </w:pPr>
          </w:p>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kern w:val="0"/>
                <w:szCs w:val="21"/>
              </w:rPr>
            </w:pPr>
            <w:r>
              <w:rPr>
                <w:kern w:val="0"/>
                <w:szCs w:val="21"/>
              </w:rPr>
              <w:t>现状</w:t>
            </w: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pStyle w:val="14"/>
            </w:pPr>
          </w:p>
          <w:p>
            <w:pPr>
              <w:pStyle w:val="14"/>
            </w:pPr>
          </w:p>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kern w:val="0"/>
                <w:szCs w:val="21"/>
              </w:rPr>
            </w:pPr>
            <w:r>
              <w:rPr>
                <w:kern w:val="0"/>
                <w:szCs w:val="21"/>
              </w:rPr>
              <w:t>现状</w:t>
            </w:r>
          </w:p>
          <w:p>
            <w:pPr>
              <w:pStyle w:val="14"/>
            </w:pPr>
          </w:p>
          <w:p>
            <w:pPr>
              <w:pStyle w:val="14"/>
            </w:pPr>
          </w:p>
        </w:tc>
        <w:tc>
          <w:tcPr>
            <w:tcW w:w="8127"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1、环境空气质量现状及评价</w:t>
            </w:r>
          </w:p>
          <w:p>
            <w:pPr>
              <w:autoSpaceDE w:val="0"/>
              <w:autoSpaceDN w:val="0"/>
              <w:adjustRightInd w:val="0"/>
              <w:snapToGrid w:val="0"/>
              <w:spacing w:line="400" w:lineRule="exact"/>
              <w:ind w:firstLine="422" w:firstLineChars="200"/>
              <w:jc w:val="left"/>
              <w:rPr>
                <w:b/>
                <w:bCs/>
                <w:kern w:val="0"/>
                <w:szCs w:val="21"/>
              </w:rPr>
            </w:pPr>
            <w:r>
              <w:rPr>
                <w:rFonts w:hint="eastAsia" w:cs="宋体"/>
                <w:b/>
                <w:kern w:val="0"/>
                <w:szCs w:val="21"/>
              </w:rPr>
              <w:t>（1）达标区判定</w:t>
            </w:r>
          </w:p>
          <w:p>
            <w:pPr>
              <w:autoSpaceDE w:val="0"/>
              <w:autoSpaceDN w:val="0"/>
              <w:adjustRightInd w:val="0"/>
              <w:snapToGrid w:val="0"/>
              <w:spacing w:line="400" w:lineRule="exact"/>
              <w:ind w:firstLine="420" w:firstLineChars="200"/>
              <w:jc w:val="left"/>
              <w:rPr>
                <w:rFonts w:cs="宋体"/>
                <w:kern w:val="0"/>
                <w:szCs w:val="21"/>
              </w:rPr>
            </w:pPr>
            <w:r>
              <w:rPr>
                <w:rFonts w:cs="宋体"/>
                <w:kern w:val="0"/>
                <w:szCs w:val="21"/>
              </w:rPr>
              <w:t>本项目位于达州市</w:t>
            </w:r>
            <w:r>
              <w:rPr>
                <w:rFonts w:hint="eastAsia" w:cs="宋体"/>
                <w:kern w:val="0"/>
                <w:szCs w:val="21"/>
              </w:rPr>
              <w:t>大竹县高明镇</w:t>
            </w:r>
            <w:r>
              <w:rPr>
                <w:rFonts w:cs="宋体"/>
                <w:kern w:val="0"/>
                <w:szCs w:val="21"/>
              </w:rPr>
              <w:t>，本次环境空气质量数据采用达州市生态环境局发布的《达州市</w:t>
            </w:r>
            <w:r>
              <w:rPr>
                <w:rFonts w:hint="eastAsia" w:cs="宋体"/>
                <w:kern w:val="0"/>
                <w:szCs w:val="21"/>
              </w:rPr>
              <w:t>2022年环境空气质量状况</w:t>
            </w:r>
            <w:r>
              <w:rPr>
                <w:rFonts w:cs="宋体"/>
                <w:kern w:val="0"/>
                <w:szCs w:val="21"/>
              </w:rPr>
              <w:t>》数据。</w:t>
            </w:r>
          </w:p>
          <w:p>
            <w:pPr>
              <w:autoSpaceDE w:val="0"/>
              <w:autoSpaceDN w:val="0"/>
              <w:adjustRightInd w:val="0"/>
              <w:snapToGrid w:val="0"/>
              <w:spacing w:line="400" w:lineRule="exact"/>
              <w:ind w:firstLine="361" w:firstLineChars="200"/>
              <w:jc w:val="center"/>
              <w:rPr>
                <w:rFonts w:cs="宋体"/>
                <w:b/>
                <w:kern w:val="0"/>
                <w:sz w:val="18"/>
                <w:szCs w:val="21"/>
              </w:rPr>
            </w:pPr>
            <w:r>
              <w:rPr>
                <w:rFonts w:hint="eastAsia" w:cs="宋体"/>
                <w:b/>
                <w:kern w:val="0"/>
                <w:sz w:val="18"/>
                <w:szCs w:val="21"/>
              </w:rPr>
              <w:t>表3-1  2022年大竹县环境空气质量统计表</w:t>
            </w:r>
          </w:p>
          <w:tbl>
            <w:tblPr>
              <w:tblStyle w:val="20"/>
              <w:tblW w:w="798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8"/>
              <w:gridCol w:w="552"/>
              <w:gridCol w:w="530"/>
              <w:gridCol w:w="572"/>
              <w:gridCol w:w="577"/>
              <w:gridCol w:w="567"/>
              <w:gridCol w:w="567"/>
              <w:gridCol w:w="850"/>
              <w:gridCol w:w="849"/>
              <w:gridCol w:w="612"/>
              <w:gridCol w:w="874"/>
              <w:gridCol w:w="8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 w:hRule="atLeast"/>
                <w:jc w:val="center"/>
              </w:trPr>
              <w:tc>
                <w:tcPr>
                  <w:tcW w:w="628" w:type="dxa"/>
                  <w:vAlign w:val="center"/>
                </w:tcPr>
                <w:p>
                  <w:pPr>
                    <w:pStyle w:val="18"/>
                    <w:autoSpaceDE w:val="0"/>
                    <w:spacing w:before="0" w:beforeAutospacing="0" w:after="0" w:afterAutospacing="0" w:line="300" w:lineRule="exact"/>
                    <w:jc w:val="center"/>
                    <w:rPr>
                      <w:rFonts w:ascii="Times New Roman" w:hAnsi="Times New Roman"/>
                      <w:b/>
                      <w:bCs/>
                      <w:sz w:val="18"/>
                      <w:szCs w:val="18"/>
                    </w:rPr>
                  </w:pPr>
                  <w:r>
                    <w:rPr>
                      <w:b/>
                      <w:bCs/>
                      <w:sz w:val="18"/>
                      <w:szCs w:val="18"/>
                    </w:rPr>
                    <w:t>月份</w:t>
                  </w:r>
                </w:p>
              </w:tc>
              <w:tc>
                <w:tcPr>
                  <w:tcW w:w="552" w:type="dxa"/>
                  <w:vAlign w:val="center"/>
                </w:tcPr>
                <w:p>
                  <w:pPr>
                    <w:pStyle w:val="18"/>
                    <w:autoSpaceDE w:val="0"/>
                    <w:spacing w:before="0" w:beforeAutospacing="0" w:after="0" w:afterAutospacing="0" w:line="300" w:lineRule="exact"/>
                    <w:jc w:val="center"/>
                    <w:rPr>
                      <w:rFonts w:ascii="Times New Roman" w:hAnsi="Times New Roman"/>
                      <w:b/>
                      <w:bCs/>
                      <w:kern w:val="0"/>
                      <w:sz w:val="18"/>
                      <w:szCs w:val="18"/>
                    </w:rPr>
                  </w:pPr>
                  <w:r>
                    <w:rPr>
                      <w:rFonts w:ascii="Times New Roman" w:hAnsi="Times New Roman"/>
                      <w:b/>
                      <w:bCs/>
                      <w:sz w:val="18"/>
                      <w:szCs w:val="18"/>
                    </w:rPr>
                    <w:t>SO</w:t>
                  </w:r>
                  <w:r>
                    <w:rPr>
                      <w:rFonts w:ascii="Times New Roman" w:hAnsi="Times New Roman"/>
                      <w:b/>
                      <w:bCs/>
                      <w:sz w:val="18"/>
                      <w:szCs w:val="18"/>
                      <w:vertAlign w:val="subscript"/>
                    </w:rPr>
                    <w:t>2</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30" w:type="dxa"/>
                  <w:vAlign w:val="center"/>
                </w:tcPr>
                <w:p>
                  <w:pPr>
                    <w:pStyle w:val="18"/>
                    <w:autoSpaceDE w:val="0"/>
                    <w:spacing w:before="0" w:beforeAutospacing="0" w:after="0" w:afterAutospacing="0" w:line="300" w:lineRule="exact"/>
                    <w:jc w:val="center"/>
                    <w:rPr>
                      <w:rFonts w:ascii="Times New Roman" w:hAnsi="Times New Roman"/>
                      <w:b/>
                      <w:bCs/>
                      <w:kern w:val="0"/>
                      <w:sz w:val="18"/>
                      <w:szCs w:val="18"/>
                    </w:rPr>
                  </w:pPr>
                  <w:r>
                    <w:rPr>
                      <w:rFonts w:ascii="Times New Roman" w:hAnsi="Times New Roman"/>
                      <w:b/>
                      <w:bCs/>
                      <w:sz w:val="18"/>
                      <w:szCs w:val="18"/>
                    </w:rPr>
                    <w:t>NO</w:t>
                  </w:r>
                  <w:r>
                    <w:rPr>
                      <w:rFonts w:ascii="Times New Roman" w:hAnsi="Times New Roman"/>
                      <w:b/>
                      <w:bCs/>
                      <w:sz w:val="18"/>
                      <w:szCs w:val="18"/>
                      <w:vertAlign w:val="subscript"/>
                    </w:rPr>
                    <w:t>2</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72" w:type="dxa"/>
                  <w:vAlign w:val="center"/>
                </w:tcPr>
                <w:p>
                  <w:pPr>
                    <w:pStyle w:val="18"/>
                    <w:autoSpaceDE w:val="0"/>
                    <w:spacing w:before="0" w:beforeAutospacing="0" w:after="0" w:afterAutospacing="0" w:line="300" w:lineRule="exact"/>
                    <w:jc w:val="center"/>
                    <w:rPr>
                      <w:rFonts w:ascii="Times New Roman" w:hAnsi="Times New Roman"/>
                      <w:b/>
                      <w:bCs/>
                      <w:sz w:val="18"/>
                      <w:szCs w:val="18"/>
                    </w:rPr>
                  </w:pPr>
                  <w:r>
                    <w:rPr>
                      <w:rFonts w:ascii="Times New Roman" w:hAnsi="Times New Roman"/>
                      <w:b/>
                      <w:bCs/>
                      <w:sz w:val="18"/>
                      <w:szCs w:val="18"/>
                    </w:rPr>
                    <w:t>CO</w:t>
                  </w:r>
                  <w:r>
                    <w:rPr>
                      <w:b/>
                      <w:bCs/>
                      <w:spacing w:val="-11"/>
                      <w:vertAlign w:val="subscript"/>
                    </w:rPr>
                    <w:t>（</w:t>
                  </w:r>
                  <w:r>
                    <w:rPr>
                      <w:rFonts w:ascii="Times New Roman" w:hAnsi="Times New Roman"/>
                      <w:b/>
                      <w:bCs/>
                      <w:spacing w:val="-11"/>
                      <w:vertAlign w:val="subscript"/>
                    </w:rPr>
                    <w:t>mg/m</w:t>
                  </w:r>
                  <w:r>
                    <w:rPr>
                      <w:rFonts w:ascii="Times New Roman" w:hAnsi="Times New Roman"/>
                      <w:b/>
                      <w:bCs/>
                      <w:spacing w:val="-11"/>
                      <w:sz w:val="16"/>
                      <w:szCs w:val="16"/>
                      <w:vertAlign w:val="superscript"/>
                    </w:rPr>
                    <w:t>3</w:t>
                  </w:r>
                  <w:r>
                    <w:rPr>
                      <w:b/>
                      <w:bCs/>
                      <w:spacing w:val="-11"/>
                      <w:vertAlign w:val="subscript"/>
                    </w:rPr>
                    <w:t>）</w:t>
                  </w:r>
                </w:p>
              </w:tc>
              <w:tc>
                <w:tcPr>
                  <w:tcW w:w="577" w:type="dxa"/>
                  <w:vAlign w:val="center"/>
                </w:tcPr>
                <w:p>
                  <w:pPr>
                    <w:pStyle w:val="18"/>
                    <w:autoSpaceDE w:val="0"/>
                    <w:spacing w:before="0" w:beforeAutospacing="0" w:after="0" w:afterAutospacing="0" w:line="300" w:lineRule="exact"/>
                    <w:jc w:val="center"/>
                    <w:rPr>
                      <w:rFonts w:ascii="Times New Roman" w:hAnsi="Times New Roman"/>
                      <w:b/>
                      <w:bCs/>
                      <w:sz w:val="18"/>
                      <w:szCs w:val="18"/>
                    </w:rPr>
                  </w:pPr>
                  <w:r>
                    <w:rPr>
                      <w:rFonts w:ascii="Times New Roman" w:hAnsi="Times New Roman"/>
                      <w:b/>
                      <w:bCs/>
                      <w:sz w:val="18"/>
                      <w:szCs w:val="18"/>
                    </w:rPr>
                    <w:t>O</w:t>
                  </w:r>
                  <w:r>
                    <w:rPr>
                      <w:rFonts w:ascii="Times New Roman" w:hAnsi="Times New Roman"/>
                      <w:b/>
                      <w:bCs/>
                      <w:sz w:val="18"/>
                      <w:szCs w:val="18"/>
                      <w:vertAlign w:val="subscript"/>
                    </w:rPr>
                    <w:t>3</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67" w:type="dxa"/>
                  <w:vAlign w:val="center"/>
                </w:tcPr>
                <w:p>
                  <w:pPr>
                    <w:pStyle w:val="18"/>
                    <w:autoSpaceDE w:val="0"/>
                    <w:spacing w:before="0" w:beforeAutospacing="0" w:after="0" w:afterAutospacing="0" w:line="300" w:lineRule="exact"/>
                    <w:jc w:val="center"/>
                    <w:rPr>
                      <w:rFonts w:ascii="Times New Roman" w:hAnsi="Times New Roman"/>
                      <w:b/>
                      <w:bCs/>
                      <w:sz w:val="18"/>
                      <w:szCs w:val="18"/>
                    </w:rPr>
                  </w:pPr>
                  <w:r>
                    <w:rPr>
                      <w:rFonts w:ascii="Times New Roman" w:hAnsi="Times New Roman"/>
                      <w:b/>
                      <w:bCs/>
                      <w:sz w:val="18"/>
                      <w:szCs w:val="18"/>
                    </w:rPr>
                    <w:t>PM</w:t>
                  </w:r>
                  <w:r>
                    <w:rPr>
                      <w:rFonts w:ascii="Times New Roman" w:hAnsi="Times New Roman"/>
                      <w:b/>
                      <w:bCs/>
                      <w:sz w:val="18"/>
                      <w:szCs w:val="18"/>
                      <w:vertAlign w:val="subscript"/>
                    </w:rPr>
                    <w:t>2.5</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67" w:type="dxa"/>
                  <w:vAlign w:val="center"/>
                </w:tcPr>
                <w:p>
                  <w:pPr>
                    <w:pStyle w:val="18"/>
                    <w:autoSpaceDE w:val="0"/>
                    <w:spacing w:before="0" w:beforeAutospacing="0" w:after="0" w:afterAutospacing="0" w:line="300" w:lineRule="exact"/>
                    <w:jc w:val="center"/>
                    <w:rPr>
                      <w:rFonts w:ascii="Times New Roman" w:hAnsi="Times New Roman"/>
                      <w:b/>
                      <w:bCs/>
                      <w:kern w:val="0"/>
                      <w:sz w:val="18"/>
                      <w:szCs w:val="18"/>
                    </w:rPr>
                  </w:pPr>
                  <w:r>
                    <w:rPr>
                      <w:rFonts w:ascii="Times New Roman" w:hAnsi="Times New Roman"/>
                      <w:b/>
                      <w:bCs/>
                      <w:sz w:val="18"/>
                      <w:szCs w:val="18"/>
                    </w:rPr>
                    <w:t>PM</w:t>
                  </w:r>
                  <w:r>
                    <w:rPr>
                      <w:rFonts w:ascii="Times New Roman" w:hAnsi="Times New Roman"/>
                      <w:b/>
                      <w:bCs/>
                      <w:sz w:val="18"/>
                      <w:szCs w:val="18"/>
                      <w:vertAlign w:val="subscript"/>
                    </w:rPr>
                    <w:t>10</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850" w:type="dxa"/>
                  <w:vAlign w:val="center"/>
                </w:tcPr>
                <w:p>
                  <w:pPr>
                    <w:pStyle w:val="18"/>
                    <w:autoSpaceDE w:val="0"/>
                    <w:spacing w:before="0" w:beforeAutospacing="0" w:after="0" w:afterAutospacing="0" w:line="300" w:lineRule="exact"/>
                    <w:jc w:val="center"/>
                    <w:rPr>
                      <w:rFonts w:ascii="Times New Roman" w:hAnsi="Times New Roman"/>
                      <w:b/>
                      <w:bCs/>
                      <w:kern w:val="0"/>
                      <w:sz w:val="18"/>
                      <w:szCs w:val="18"/>
                    </w:rPr>
                  </w:pPr>
                  <w:r>
                    <w:rPr>
                      <w:b/>
                      <w:bCs/>
                      <w:sz w:val="18"/>
                      <w:szCs w:val="18"/>
                    </w:rPr>
                    <w:t>有效监测天数（天）</w:t>
                  </w:r>
                </w:p>
              </w:tc>
              <w:tc>
                <w:tcPr>
                  <w:tcW w:w="849" w:type="dxa"/>
                  <w:vAlign w:val="center"/>
                </w:tcPr>
                <w:p>
                  <w:pPr>
                    <w:pStyle w:val="18"/>
                    <w:autoSpaceDE w:val="0"/>
                    <w:spacing w:before="0" w:beforeAutospacing="0" w:after="0" w:afterAutospacing="0" w:line="300" w:lineRule="exact"/>
                    <w:jc w:val="center"/>
                    <w:rPr>
                      <w:rFonts w:ascii="Times New Roman" w:hAnsi="Times New Roman"/>
                      <w:b/>
                      <w:bCs/>
                      <w:kern w:val="0"/>
                      <w:sz w:val="18"/>
                      <w:szCs w:val="18"/>
                    </w:rPr>
                  </w:pPr>
                  <w:r>
                    <w:rPr>
                      <w:b/>
                      <w:bCs/>
                      <w:sz w:val="18"/>
                      <w:szCs w:val="18"/>
                    </w:rPr>
                    <w:t>达标天数（天）</w:t>
                  </w:r>
                </w:p>
              </w:tc>
              <w:tc>
                <w:tcPr>
                  <w:tcW w:w="612" w:type="dxa"/>
                  <w:vAlign w:val="center"/>
                </w:tcPr>
                <w:p>
                  <w:pPr>
                    <w:pStyle w:val="18"/>
                    <w:autoSpaceDE w:val="0"/>
                    <w:spacing w:before="0" w:beforeAutospacing="0" w:after="0" w:afterAutospacing="0" w:line="300" w:lineRule="exact"/>
                    <w:jc w:val="center"/>
                    <w:rPr>
                      <w:rFonts w:ascii="Times New Roman" w:hAnsi="Times New Roman"/>
                      <w:b/>
                      <w:bCs/>
                      <w:kern w:val="0"/>
                      <w:sz w:val="18"/>
                      <w:szCs w:val="18"/>
                    </w:rPr>
                  </w:pPr>
                  <w:r>
                    <w:rPr>
                      <w:b/>
                      <w:bCs/>
                      <w:sz w:val="18"/>
                      <w:szCs w:val="18"/>
                    </w:rPr>
                    <w:t>达标率（</w:t>
                  </w:r>
                  <w:r>
                    <w:rPr>
                      <w:rFonts w:ascii="Times New Roman" w:hAnsi="Times New Roman"/>
                      <w:b/>
                      <w:bCs/>
                      <w:sz w:val="18"/>
                      <w:szCs w:val="18"/>
                    </w:rPr>
                    <w:t>%</w:t>
                  </w:r>
                  <w:r>
                    <w:rPr>
                      <w:b/>
                      <w:bCs/>
                      <w:sz w:val="18"/>
                      <w:szCs w:val="18"/>
                    </w:rPr>
                    <w:t>）</w:t>
                  </w:r>
                </w:p>
              </w:tc>
              <w:tc>
                <w:tcPr>
                  <w:tcW w:w="874" w:type="dxa"/>
                  <w:vAlign w:val="center"/>
                </w:tcPr>
                <w:p>
                  <w:pPr>
                    <w:pStyle w:val="18"/>
                    <w:autoSpaceDE w:val="0"/>
                    <w:spacing w:before="0" w:beforeAutospacing="0" w:after="0" w:afterAutospacing="0" w:line="300" w:lineRule="exact"/>
                    <w:jc w:val="center"/>
                    <w:rPr>
                      <w:rFonts w:ascii="Times New Roman" w:hAnsi="Times New Roman"/>
                      <w:b/>
                      <w:bCs/>
                      <w:kern w:val="0"/>
                      <w:sz w:val="18"/>
                      <w:szCs w:val="18"/>
                    </w:rPr>
                  </w:pPr>
                  <w:r>
                    <w:rPr>
                      <w:b/>
                      <w:bCs/>
                      <w:sz w:val="18"/>
                      <w:szCs w:val="18"/>
                    </w:rPr>
                    <w:t>达标率同比（</w:t>
                  </w:r>
                  <w:r>
                    <w:rPr>
                      <w:rFonts w:ascii="Times New Roman" w:hAnsi="Times New Roman"/>
                      <w:b/>
                      <w:bCs/>
                      <w:sz w:val="18"/>
                      <w:szCs w:val="18"/>
                    </w:rPr>
                    <w:t>%</w:t>
                  </w:r>
                  <w:r>
                    <w:rPr>
                      <w:b/>
                      <w:bCs/>
                      <w:sz w:val="18"/>
                      <w:szCs w:val="18"/>
                    </w:rPr>
                    <w:t>）</w:t>
                  </w:r>
                </w:p>
              </w:tc>
              <w:tc>
                <w:tcPr>
                  <w:tcW w:w="805" w:type="dxa"/>
                  <w:vAlign w:val="center"/>
                </w:tcPr>
                <w:p>
                  <w:pPr>
                    <w:pStyle w:val="18"/>
                    <w:autoSpaceDE w:val="0"/>
                    <w:spacing w:before="0" w:beforeAutospacing="0" w:after="0" w:afterAutospacing="0" w:line="300" w:lineRule="exact"/>
                    <w:jc w:val="center"/>
                    <w:rPr>
                      <w:rFonts w:ascii="Times New Roman" w:hAnsi="Times New Roman"/>
                      <w:b/>
                      <w:bCs/>
                      <w:kern w:val="0"/>
                      <w:sz w:val="18"/>
                      <w:szCs w:val="18"/>
                    </w:rPr>
                  </w:pPr>
                  <w:r>
                    <w:rPr>
                      <w:b/>
                      <w:bCs/>
                      <w:sz w:val="18"/>
                      <w:szCs w:val="18"/>
                    </w:rPr>
                    <w:t>空气质量综合指数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 w:hRule="atLeast"/>
                <w:jc w:val="center"/>
              </w:trPr>
              <w:tc>
                <w:tcPr>
                  <w:tcW w:w="628" w:type="dxa"/>
                  <w:vAlign w:val="center"/>
                </w:tcPr>
                <w:p>
                  <w:pPr>
                    <w:widowControl/>
                    <w:spacing w:line="300" w:lineRule="exact"/>
                    <w:jc w:val="center"/>
                    <w:textAlignment w:val="center"/>
                    <w:rPr>
                      <w:sz w:val="18"/>
                      <w:szCs w:val="18"/>
                    </w:rPr>
                  </w:pPr>
                  <w:r>
                    <w:rPr>
                      <w:sz w:val="18"/>
                      <w:szCs w:val="18"/>
                    </w:rPr>
                    <w:t>1</w:t>
                  </w:r>
                  <w:r>
                    <w:rPr>
                      <w:rFonts w:ascii="宋体" w:hAnsi="宋体"/>
                      <w:sz w:val="18"/>
                      <w:szCs w:val="18"/>
                    </w:rPr>
                    <w:t>月</w:t>
                  </w:r>
                </w:p>
              </w:tc>
              <w:tc>
                <w:tcPr>
                  <w:tcW w:w="552" w:type="dxa"/>
                  <w:vAlign w:val="center"/>
                </w:tcPr>
                <w:p>
                  <w:pPr>
                    <w:widowControl/>
                    <w:spacing w:line="300" w:lineRule="exact"/>
                    <w:jc w:val="center"/>
                    <w:textAlignment w:val="center"/>
                    <w:rPr>
                      <w:sz w:val="18"/>
                      <w:szCs w:val="18"/>
                    </w:rPr>
                  </w:pPr>
                  <w:r>
                    <w:rPr>
                      <w:rFonts w:hint="eastAsia"/>
                      <w:sz w:val="18"/>
                      <w:szCs w:val="18"/>
                    </w:rPr>
                    <w:t>12</w:t>
                  </w:r>
                </w:p>
              </w:tc>
              <w:tc>
                <w:tcPr>
                  <w:tcW w:w="530" w:type="dxa"/>
                  <w:vAlign w:val="center"/>
                </w:tcPr>
                <w:p>
                  <w:pPr>
                    <w:widowControl/>
                    <w:spacing w:line="300" w:lineRule="exact"/>
                    <w:jc w:val="center"/>
                    <w:textAlignment w:val="center"/>
                    <w:rPr>
                      <w:sz w:val="18"/>
                      <w:szCs w:val="18"/>
                    </w:rPr>
                  </w:pPr>
                  <w:r>
                    <w:rPr>
                      <w:rFonts w:hint="eastAsia"/>
                      <w:sz w:val="18"/>
                      <w:szCs w:val="18"/>
                    </w:rPr>
                    <w:t>24</w:t>
                  </w:r>
                </w:p>
              </w:tc>
              <w:tc>
                <w:tcPr>
                  <w:tcW w:w="572" w:type="dxa"/>
                  <w:vAlign w:val="center"/>
                </w:tcPr>
                <w:p>
                  <w:pPr>
                    <w:widowControl/>
                    <w:spacing w:line="300" w:lineRule="exact"/>
                    <w:jc w:val="center"/>
                    <w:textAlignment w:val="center"/>
                    <w:rPr>
                      <w:sz w:val="18"/>
                      <w:szCs w:val="18"/>
                    </w:rPr>
                  </w:pPr>
                  <w:r>
                    <w:rPr>
                      <w:rFonts w:hint="eastAsia"/>
                      <w:sz w:val="18"/>
                      <w:szCs w:val="18"/>
                    </w:rPr>
                    <w:t>2.0</w:t>
                  </w:r>
                </w:p>
              </w:tc>
              <w:tc>
                <w:tcPr>
                  <w:tcW w:w="577" w:type="dxa"/>
                  <w:vAlign w:val="center"/>
                </w:tcPr>
                <w:p>
                  <w:pPr>
                    <w:widowControl/>
                    <w:spacing w:line="300" w:lineRule="exact"/>
                    <w:jc w:val="center"/>
                    <w:textAlignment w:val="center"/>
                    <w:rPr>
                      <w:sz w:val="18"/>
                      <w:szCs w:val="18"/>
                    </w:rPr>
                  </w:pPr>
                  <w:r>
                    <w:rPr>
                      <w:rFonts w:hint="eastAsia"/>
                      <w:sz w:val="18"/>
                      <w:szCs w:val="18"/>
                    </w:rPr>
                    <w:t>84</w:t>
                  </w:r>
                </w:p>
              </w:tc>
              <w:tc>
                <w:tcPr>
                  <w:tcW w:w="567" w:type="dxa"/>
                  <w:vAlign w:val="center"/>
                </w:tcPr>
                <w:p>
                  <w:pPr>
                    <w:widowControl/>
                    <w:spacing w:line="300" w:lineRule="exact"/>
                    <w:jc w:val="center"/>
                    <w:textAlignment w:val="center"/>
                    <w:rPr>
                      <w:sz w:val="18"/>
                      <w:szCs w:val="18"/>
                    </w:rPr>
                  </w:pPr>
                  <w:r>
                    <w:rPr>
                      <w:rFonts w:hint="eastAsia"/>
                      <w:sz w:val="18"/>
                      <w:szCs w:val="18"/>
                    </w:rPr>
                    <w:t>61</w:t>
                  </w:r>
                </w:p>
              </w:tc>
              <w:tc>
                <w:tcPr>
                  <w:tcW w:w="567" w:type="dxa"/>
                  <w:vAlign w:val="center"/>
                </w:tcPr>
                <w:p>
                  <w:pPr>
                    <w:widowControl/>
                    <w:spacing w:line="300" w:lineRule="exact"/>
                    <w:jc w:val="center"/>
                    <w:textAlignment w:val="center"/>
                    <w:rPr>
                      <w:sz w:val="18"/>
                      <w:szCs w:val="18"/>
                    </w:rPr>
                  </w:pPr>
                  <w:r>
                    <w:rPr>
                      <w:rFonts w:hint="eastAsia"/>
                      <w:sz w:val="18"/>
                      <w:szCs w:val="18"/>
                    </w:rPr>
                    <w:t>77</w:t>
                  </w:r>
                </w:p>
              </w:tc>
              <w:tc>
                <w:tcPr>
                  <w:tcW w:w="850" w:type="dxa"/>
                  <w:vAlign w:val="center"/>
                </w:tcPr>
                <w:p>
                  <w:pPr>
                    <w:widowControl/>
                    <w:spacing w:line="300" w:lineRule="exact"/>
                    <w:jc w:val="center"/>
                    <w:textAlignment w:val="center"/>
                    <w:rPr>
                      <w:sz w:val="18"/>
                      <w:szCs w:val="18"/>
                    </w:rPr>
                  </w:pPr>
                  <w:r>
                    <w:rPr>
                      <w:rFonts w:hint="eastAsia"/>
                      <w:sz w:val="18"/>
                      <w:szCs w:val="18"/>
                    </w:rPr>
                    <w:t>31</w:t>
                  </w:r>
                </w:p>
              </w:tc>
              <w:tc>
                <w:tcPr>
                  <w:tcW w:w="849" w:type="dxa"/>
                  <w:vAlign w:val="center"/>
                </w:tcPr>
                <w:p>
                  <w:pPr>
                    <w:widowControl/>
                    <w:spacing w:line="300" w:lineRule="exact"/>
                    <w:jc w:val="center"/>
                    <w:textAlignment w:val="center"/>
                    <w:rPr>
                      <w:sz w:val="18"/>
                      <w:szCs w:val="18"/>
                    </w:rPr>
                  </w:pPr>
                  <w:r>
                    <w:rPr>
                      <w:rFonts w:hint="eastAsia"/>
                      <w:sz w:val="18"/>
                      <w:szCs w:val="18"/>
                    </w:rPr>
                    <w:t>21</w:t>
                  </w:r>
                </w:p>
              </w:tc>
              <w:tc>
                <w:tcPr>
                  <w:tcW w:w="612" w:type="dxa"/>
                  <w:vAlign w:val="center"/>
                </w:tcPr>
                <w:p>
                  <w:pPr>
                    <w:widowControl/>
                    <w:spacing w:line="300" w:lineRule="exact"/>
                    <w:jc w:val="center"/>
                    <w:textAlignment w:val="center"/>
                    <w:rPr>
                      <w:sz w:val="18"/>
                      <w:szCs w:val="18"/>
                    </w:rPr>
                  </w:pPr>
                  <w:r>
                    <w:rPr>
                      <w:rFonts w:hint="eastAsia"/>
                      <w:sz w:val="18"/>
                      <w:szCs w:val="18"/>
                    </w:rPr>
                    <w:t>67.7</w:t>
                  </w:r>
                </w:p>
              </w:tc>
              <w:tc>
                <w:tcPr>
                  <w:tcW w:w="874" w:type="dxa"/>
                  <w:vAlign w:val="center"/>
                </w:tcPr>
                <w:p>
                  <w:pPr>
                    <w:widowControl/>
                    <w:spacing w:line="300" w:lineRule="exact"/>
                    <w:jc w:val="center"/>
                    <w:textAlignment w:val="center"/>
                    <w:rPr>
                      <w:sz w:val="18"/>
                      <w:szCs w:val="18"/>
                    </w:rPr>
                  </w:pPr>
                  <w:r>
                    <w:rPr>
                      <w:rFonts w:hint="eastAsia"/>
                      <w:sz w:val="18"/>
                      <w:szCs w:val="18"/>
                    </w:rPr>
                    <w:t>29.0</w:t>
                  </w:r>
                </w:p>
              </w:tc>
              <w:tc>
                <w:tcPr>
                  <w:tcW w:w="805" w:type="dxa"/>
                  <w:vAlign w:val="center"/>
                </w:tcPr>
                <w:p>
                  <w:pPr>
                    <w:widowControl/>
                    <w:spacing w:line="300" w:lineRule="exact"/>
                    <w:jc w:val="center"/>
                    <w:textAlignment w:val="center"/>
                    <w:rPr>
                      <w:sz w:val="18"/>
                      <w:szCs w:val="18"/>
                    </w:rPr>
                  </w:pPr>
                  <w:r>
                    <w:rPr>
                      <w:rFonts w:hint="eastAsia"/>
                      <w:sz w:val="18"/>
                      <w:szCs w:val="18"/>
                    </w:rPr>
                    <w:t>4.66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 w:hRule="atLeast"/>
                <w:jc w:val="center"/>
              </w:trPr>
              <w:tc>
                <w:tcPr>
                  <w:tcW w:w="628" w:type="dxa"/>
                  <w:vAlign w:val="center"/>
                </w:tcPr>
                <w:p>
                  <w:pPr>
                    <w:widowControl/>
                    <w:spacing w:line="300" w:lineRule="exact"/>
                    <w:jc w:val="center"/>
                    <w:textAlignment w:val="center"/>
                    <w:rPr>
                      <w:sz w:val="18"/>
                      <w:szCs w:val="18"/>
                    </w:rPr>
                  </w:pPr>
                  <w:r>
                    <w:rPr>
                      <w:sz w:val="18"/>
                      <w:szCs w:val="18"/>
                    </w:rPr>
                    <w:t>2</w:t>
                  </w:r>
                  <w:r>
                    <w:rPr>
                      <w:rFonts w:ascii="宋体" w:hAnsi="宋体"/>
                      <w:sz w:val="18"/>
                      <w:szCs w:val="18"/>
                    </w:rPr>
                    <w:t>月</w:t>
                  </w:r>
                </w:p>
              </w:tc>
              <w:tc>
                <w:tcPr>
                  <w:tcW w:w="552" w:type="dxa"/>
                  <w:vAlign w:val="center"/>
                </w:tcPr>
                <w:p>
                  <w:pPr>
                    <w:widowControl/>
                    <w:spacing w:line="300" w:lineRule="exact"/>
                    <w:jc w:val="center"/>
                    <w:textAlignment w:val="center"/>
                    <w:rPr>
                      <w:sz w:val="18"/>
                      <w:szCs w:val="18"/>
                    </w:rPr>
                  </w:pPr>
                  <w:r>
                    <w:rPr>
                      <w:rFonts w:hint="eastAsia"/>
                      <w:sz w:val="18"/>
                      <w:szCs w:val="18"/>
                    </w:rPr>
                    <w:t>7</w:t>
                  </w:r>
                </w:p>
              </w:tc>
              <w:tc>
                <w:tcPr>
                  <w:tcW w:w="530" w:type="dxa"/>
                  <w:vAlign w:val="center"/>
                </w:tcPr>
                <w:p>
                  <w:pPr>
                    <w:widowControl/>
                    <w:spacing w:line="300" w:lineRule="exact"/>
                    <w:jc w:val="center"/>
                    <w:textAlignment w:val="center"/>
                    <w:rPr>
                      <w:sz w:val="18"/>
                      <w:szCs w:val="18"/>
                    </w:rPr>
                  </w:pPr>
                  <w:r>
                    <w:rPr>
                      <w:rFonts w:hint="eastAsia"/>
                      <w:sz w:val="18"/>
                      <w:szCs w:val="18"/>
                    </w:rPr>
                    <w:t>19</w:t>
                  </w:r>
                </w:p>
              </w:tc>
              <w:tc>
                <w:tcPr>
                  <w:tcW w:w="572" w:type="dxa"/>
                  <w:vAlign w:val="center"/>
                </w:tcPr>
                <w:p>
                  <w:pPr>
                    <w:widowControl/>
                    <w:spacing w:line="300" w:lineRule="exact"/>
                    <w:jc w:val="center"/>
                    <w:textAlignment w:val="center"/>
                    <w:rPr>
                      <w:sz w:val="18"/>
                      <w:szCs w:val="18"/>
                    </w:rPr>
                  </w:pPr>
                  <w:r>
                    <w:rPr>
                      <w:rFonts w:hint="eastAsia"/>
                      <w:sz w:val="18"/>
                      <w:szCs w:val="18"/>
                    </w:rPr>
                    <w:t>1.0</w:t>
                  </w:r>
                </w:p>
              </w:tc>
              <w:tc>
                <w:tcPr>
                  <w:tcW w:w="577" w:type="dxa"/>
                  <w:vAlign w:val="center"/>
                </w:tcPr>
                <w:p>
                  <w:pPr>
                    <w:widowControl/>
                    <w:spacing w:line="300" w:lineRule="exact"/>
                    <w:jc w:val="center"/>
                    <w:textAlignment w:val="center"/>
                    <w:rPr>
                      <w:sz w:val="18"/>
                      <w:szCs w:val="18"/>
                    </w:rPr>
                  </w:pPr>
                  <w:r>
                    <w:rPr>
                      <w:rFonts w:hint="eastAsia"/>
                      <w:sz w:val="18"/>
                      <w:szCs w:val="18"/>
                    </w:rPr>
                    <w:t>96</w:t>
                  </w:r>
                </w:p>
              </w:tc>
              <w:tc>
                <w:tcPr>
                  <w:tcW w:w="567" w:type="dxa"/>
                  <w:vAlign w:val="center"/>
                </w:tcPr>
                <w:p>
                  <w:pPr>
                    <w:widowControl/>
                    <w:spacing w:line="300" w:lineRule="exact"/>
                    <w:jc w:val="center"/>
                    <w:textAlignment w:val="center"/>
                    <w:rPr>
                      <w:sz w:val="18"/>
                      <w:szCs w:val="18"/>
                    </w:rPr>
                  </w:pPr>
                  <w:r>
                    <w:rPr>
                      <w:rFonts w:hint="eastAsia"/>
                      <w:sz w:val="18"/>
                      <w:szCs w:val="18"/>
                    </w:rPr>
                    <w:t>40</w:t>
                  </w:r>
                </w:p>
              </w:tc>
              <w:tc>
                <w:tcPr>
                  <w:tcW w:w="567" w:type="dxa"/>
                  <w:vAlign w:val="center"/>
                </w:tcPr>
                <w:p>
                  <w:pPr>
                    <w:widowControl/>
                    <w:spacing w:line="300" w:lineRule="exact"/>
                    <w:jc w:val="center"/>
                    <w:textAlignment w:val="center"/>
                    <w:rPr>
                      <w:sz w:val="18"/>
                      <w:szCs w:val="18"/>
                    </w:rPr>
                  </w:pPr>
                  <w:r>
                    <w:rPr>
                      <w:rFonts w:hint="eastAsia"/>
                      <w:sz w:val="18"/>
                      <w:szCs w:val="18"/>
                    </w:rPr>
                    <w:t>53</w:t>
                  </w:r>
                </w:p>
              </w:tc>
              <w:tc>
                <w:tcPr>
                  <w:tcW w:w="850" w:type="dxa"/>
                  <w:vAlign w:val="center"/>
                </w:tcPr>
                <w:p>
                  <w:pPr>
                    <w:widowControl/>
                    <w:spacing w:line="300" w:lineRule="exact"/>
                    <w:jc w:val="center"/>
                    <w:textAlignment w:val="center"/>
                    <w:rPr>
                      <w:sz w:val="18"/>
                      <w:szCs w:val="18"/>
                    </w:rPr>
                  </w:pPr>
                  <w:r>
                    <w:rPr>
                      <w:rFonts w:hint="eastAsia"/>
                      <w:sz w:val="18"/>
                      <w:szCs w:val="18"/>
                    </w:rPr>
                    <w:t>28</w:t>
                  </w:r>
                </w:p>
              </w:tc>
              <w:tc>
                <w:tcPr>
                  <w:tcW w:w="849" w:type="dxa"/>
                  <w:vAlign w:val="center"/>
                </w:tcPr>
                <w:p>
                  <w:pPr>
                    <w:widowControl/>
                    <w:spacing w:line="300" w:lineRule="exact"/>
                    <w:jc w:val="center"/>
                    <w:textAlignment w:val="center"/>
                    <w:rPr>
                      <w:sz w:val="18"/>
                      <w:szCs w:val="18"/>
                    </w:rPr>
                  </w:pPr>
                  <w:r>
                    <w:rPr>
                      <w:rFonts w:hint="eastAsia"/>
                      <w:sz w:val="18"/>
                      <w:szCs w:val="18"/>
                    </w:rPr>
                    <w:t>28</w:t>
                  </w:r>
                </w:p>
              </w:tc>
              <w:tc>
                <w:tcPr>
                  <w:tcW w:w="612" w:type="dxa"/>
                  <w:vAlign w:val="center"/>
                </w:tcPr>
                <w:p>
                  <w:pPr>
                    <w:widowControl/>
                    <w:spacing w:line="300" w:lineRule="exact"/>
                    <w:jc w:val="center"/>
                    <w:textAlignment w:val="center"/>
                    <w:rPr>
                      <w:sz w:val="18"/>
                      <w:szCs w:val="18"/>
                    </w:rPr>
                  </w:pPr>
                  <w:r>
                    <w:rPr>
                      <w:rFonts w:hint="eastAsia"/>
                      <w:sz w:val="18"/>
                      <w:szCs w:val="18"/>
                    </w:rPr>
                    <w:t>100</w:t>
                  </w:r>
                </w:p>
              </w:tc>
              <w:tc>
                <w:tcPr>
                  <w:tcW w:w="874" w:type="dxa"/>
                  <w:vAlign w:val="center"/>
                </w:tcPr>
                <w:p>
                  <w:pPr>
                    <w:widowControl/>
                    <w:spacing w:line="300" w:lineRule="exact"/>
                    <w:jc w:val="center"/>
                    <w:textAlignment w:val="center"/>
                    <w:rPr>
                      <w:sz w:val="18"/>
                      <w:szCs w:val="18"/>
                    </w:rPr>
                  </w:pPr>
                  <w:r>
                    <w:rPr>
                      <w:rFonts w:hint="eastAsia"/>
                      <w:sz w:val="18"/>
                      <w:szCs w:val="18"/>
                    </w:rPr>
                    <w:t>17.9</w:t>
                  </w:r>
                </w:p>
              </w:tc>
              <w:tc>
                <w:tcPr>
                  <w:tcW w:w="805" w:type="dxa"/>
                  <w:vAlign w:val="center"/>
                </w:tcPr>
                <w:p>
                  <w:pPr>
                    <w:widowControl/>
                    <w:spacing w:line="300" w:lineRule="exact"/>
                    <w:jc w:val="center"/>
                    <w:textAlignment w:val="center"/>
                    <w:rPr>
                      <w:sz w:val="18"/>
                      <w:szCs w:val="18"/>
                    </w:rPr>
                  </w:pPr>
                  <w:r>
                    <w:rPr>
                      <w:rFonts w:hint="eastAsia"/>
                      <w:sz w:val="18"/>
                      <w:szCs w:val="18"/>
                    </w:rPr>
                    <w:t>3.35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 w:hRule="atLeast"/>
                <w:jc w:val="center"/>
              </w:trPr>
              <w:tc>
                <w:tcPr>
                  <w:tcW w:w="628" w:type="dxa"/>
                  <w:vAlign w:val="center"/>
                </w:tcPr>
                <w:p>
                  <w:pPr>
                    <w:widowControl/>
                    <w:spacing w:line="300" w:lineRule="exact"/>
                    <w:jc w:val="center"/>
                    <w:textAlignment w:val="center"/>
                    <w:rPr>
                      <w:sz w:val="18"/>
                      <w:szCs w:val="18"/>
                    </w:rPr>
                  </w:pPr>
                  <w:r>
                    <w:rPr>
                      <w:sz w:val="18"/>
                      <w:szCs w:val="18"/>
                    </w:rPr>
                    <w:t>3</w:t>
                  </w:r>
                  <w:r>
                    <w:rPr>
                      <w:rFonts w:ascii="宋体" w:hAnsi="宋体"/>
                      <w:sz w:val="18"/>
                      <w:szCs w:val="18"/>
                    </w:rPr>
                    <w:t>月</w:t>
                  </w:r>
                </w:p>
              </w:tc>
              <w:tc>
                <w:tcPr>
                  <w:tcW w:w="552" w:type="dxa"/>
                  <w:vAlign w:val="center"/>
                </w:tcPr>
                <w:p>
                  <w:pPr>
                    <w:widowControl/>
                    <w:spacing w:line="300" w:lineRule="exact"/>
                    <w:jc w:val="center"/>
                    <w:textAlignment w:val="center"/>
                    <w:rPr>
                      <w:sz w:val="18"/>
                      <w:szCs w:val="18"/>
                    </w:rPr>
                  </w:pPr>
                  <w:r>
                    <w:rPr>
                      <w:rFonts w:hint="eastAsia"/>
                      <w:sz w:val="18"/>
                      <w:szCs w:val="18"/>
                    </w:rPr>
                    <w:t>7</w:t>
                  </w:r>
                </w:p>
              </w:tc>
              <w:tc>
                <w:tcPr>
                  <w:tcW w:w="530" w:type="dxa"/>
                  <w:vAlign w:val="center"/>
                </w:tcPr>
                <w:p>
                  <w:pPr>
                    <w:widowControl/>
                    <w:spacing w:line="300" w:lineRule="exact"/>
                    <w:jc w:val="center"/>
                    <w:textAlignment w:val="center"/>
                    <w:rPr>
                      <w:sz w:val="18"/>
                      <w:szCs w:val="18"/>
                    </w:rPr>
                  </w:pPr>
                  <w:r>
                    <w:rPr>
                      <w:rFonts w:hint="eastAsia"/>
                      <w:sz w:val="18"/>
                      <w:szCs w:val="18"/>
                    </w:rPr>
                    <w:t>22</w:t>
                  </w:r>
                </w:p>
              </w:tc>
              <w:tc>
                <w:tcPr>
                  <w:tcW w:w="572" w:type="dxa"/>
                  <w:vAlign w:val="center"/>
                </w:tcPr>
                <w:p>
                  <w:pPr>
                    <w:widowControl/>
                    <w:spacing w:line="300" w:lineRule="exact"/>
                    <w:jc w:val="center"/>
                    <w:textAlignment w:val="center"/>
                    <w:rPr>
                      <w:sz w:val="18"/>
                      <w:szCs w:val="18"/>
                    </w:rPr>
                  </w:pPr>
                  <w:r>
                    <w:rPr>
                      <w:rFonts w:hint="eastAsia"/>
                      <w:sz w:val="18"/>
                      <w:szCs w:val="18"/>
                    </w:rPr>
                    <w:t>1.2</w:t>
                  </w:r>
                </w:p>
              </w:tc>
              <w:tc>
                <w:tcPr>
                  <w:tcW w:w="577" w:type="dxa"/>
                  <w:vAlign w:val="center"/>
                </w:tcPr>
                <w:p>
                  <w:pPr>
                    <w:widowControl/>
                    <w:spacing w:line="300" w:lineRule="exact"/>
                    <w:jc w:val="center"/>
                    <w:textAlignment w:val="center"/>
                    <w:rPr>
                      <w:sz w:val="18"/>
                      <w:szCs w:val="18"/>
                    </w:rPr>
                  </w:pPr>
                  <w:r>
                    <w:rPr>
                      <w:rFonts w:hint="eastAsia"/>
                      <w:sz w:val="18"/>
                      <w:szCs w:val="18"/>
                    </w:rPr>
                    <w:t>114</w:t>
                  </w:r>
                </w:p>
              </w:tc>
              <w:tc>
                <w:tcPr>
                  <w:tcW w:w="567" w:type="dxa"/>
                  <w:vAlign w:val="center"/>
                </w:tcPr>
                <w:p>
                  <w:pPr>
                    <w:widowControl/>
                    <w:spacing w:line="300" w:lineRule="exact"/>
                    <w:jc w:val="center"/>
                    <w:textAlignment w:val="center"/>
                    <w:rPr>
                      <w:sz w:val="18"/>
                      <w:szCs w:val="18"/>
                    </w:rPr>
                  </w:pPr>
                  <w:r>
                    <w:rPr>
                      <w:rFonts w:hint="eastAsia"/>
                      <w:sz w:val="18"/>
                      <w:szCs w:val="18"/>
                    </w:rPr>
                    <w:t>35</w:t>
                  </w:r>
                </w:p>
              </w:tc>
              <w:tc>
                <w:tcPr>
                  <w:tcW w:w="567" w:type="dxa"/>
                  <w:vAlign w:val="center"/>
                </w:tcPr>
                <w:p>
                  <w:pPr>
                    <w:widowControl/>
                    <w:spacing w:line="300" w:lineRule="exact"/>
                    <w:jc w:val="center"/>
                    <w:textAlignment w:val="center"/>
                    <w:rPr>
                      <w:sz w:val="18"/>
                      <w:szCs w:val="18"/>
                    </w:rPr>
                  </w:pPr>
                  <w:r>
                    <w:rPr>
                      <w:rFonts w:hint="eastAsia"/>
                      <w:sz w:val="18"/>
                      <w:szCs w:val="18"/>
                    </w:rPr>
                    <w:t>59</w:t>
                  </w:r>
                </w:p>
              </w:tc>
              <w:tc>
                <w:tcPr>
                  <w:tcW w:w="850" w:type="dxa"/>
                  <w:vAlign w:val="center"/>
                </w:tcPr>
                <w:p>
                  <w:pPr>
                    <w:widowControl/>
                    <w:spacing w:line="300" w:lineRule="exact"/>
                    <w:jc w:val="center"/>
                    <w:textAlignment w:val="center"/>
                    <w:rPr>
                      <w:sz w:val="18"/>
                      <w:szCs w:val="18"/>
                    </w:rPr>
                  </w:pPr>
                  <w:r>
                    <w:rPr>
                      <w:rFonts w:hint="eastAsia"/>
                      <w:sz w:val="18"/>
                      <w:szCs w:val="18"/>
                    </w:rPr>
                    <w:t>31</w:t>
                  </w:r>
                </w:p>
              </w:tc>
              <w:tc>
                <w:tcPr>
                  <w:tcW w:w="849" w:type="dxa"/>
                  <w:vAlign w:val="center"/>
                </w:tcPr>
                <w:p>
                  <w:pPr>
                    <w:widowControl/>
                    <w:spacing w:line="300" w:lineRule="exact"/>
                    <w:jc w:val="center"/>
                    <w:textAlignment w:val="center"/>
                    <w:rPr>
                      <w:sz w:val="18"/>
                      <w:szCs w:val="18"/>
                    </w:rPr>
                  </w:pPr>
                  <w:r>
                    <w:rPr>
                      <w:rFonts w:hint="eastAsia"/>
                      <w:sz w:val="18"/>
                      <w:szCs w:val="18"/>
                    </w:rPr>
                    <w:t>30</w:t>
                  </w:r>
                </w:p>
              </w:tc>
              <w:tc>
                <w:tcPr>
                  <w:tcW w:w="612" w:type="dxa"/>
                  <w:vAlign w:val="center"/>
                </w:tcPr>
                <w:p>
                  <w:pPr>
                    <w:widowControl/>
                    <w:spacing w:line="300" w:lineRule="exact"/>
                    <w:jc w:val="center"/>
                    <w:textAlignment w:val="center"/>
                    <w:rPr>
                      <w:sz w:val="18"/>
                      <w:szCs w:val="18"/>
                    </w:rPr>
                  </w:pPr>
                  <w:r>
                    <w:rPr>
                      <w:rFonts w:hint="eastAsia"/>
                      <w:sz w:val="18"/>
                      <w:szCs w:val="18"/>
                    </w:rPr>
                    <w:t>96.8</w:t>
                  </w:r>
                </w:p>
              </w:tc>
              <w:tc>
                <w:tcPr>
                  <w:tcW w:w="874" w:type="dxa"/>
                  <w:vAlign w:val="center"/>
                </w:tcPr>
                <w:p>
                  <w:pPr>
                    <w:widowControl/>
                    <w:spacing w:line="300" w:lineRule="exact"/>
                    <w:jc w:val="center"/>
                    <w:textAlignment w:val="center"/>
                    <w:rPr>
                      <w:sz w:val="18"/>
                      <w:szCs w:val="18"/>
                    </w:rPr>
                  </w:pPr>
                  <w:r>
                    <w:rPr>
                      <w:rFonts w:hint="eastAsia"/>
                      <w:sz w:val="18"/>
                      <w:szCs w:val="18"/>
                    </w:rPr>
                    <w:t>-3.2</w:t>
                  </w:r>
                </w:p>
              </w:tc>
              <w:tc>
                <w:tcPr>
                  <w:tcW w:w="805" w:type="dxa"/>
                  <w:vAlign w:val="center"/>
                </w:tcPr>
                <w:p>
                  <w:pPr>
                    <w:widowControl/>
                    <w:spacing w:line="300" w:lineRule="exact"/>
                    <w:jc w:val="center"/>
                    <w:textAlignment w:val="center"/>
                    <w:rPr>
                      <w:sz w:val="18"/>
                      <w:szCs w:val="18"/>
                    </w:rPr>
                  </w:pPr>
                  <w:r>
                    <w:rPr>
                      <w:rFonts w:hint="eastAsia"/>
                      <w:sz w:val="18"/>
                      <w:szCs w:val="18"/>
                    </w:rPr>
                    <w:t>3.52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 w:hRule="atLeast"/>
                <w:jc w:val="center"/>
              </w:trPr>
              <w:tc>
                <w:tcPr>
                  <w:tcW w:w="628" w:type="dxa"/>
                  <w:vAlign w:val="center"/>
                </w:tcPr>
                <w:p>
                  <w:pPr>
                    <w:widowControl/>
                    <w:spacing w:line="300" w:lineRule="exact"/>
                    <w:jc w:val="center"/>
                    <w:textAlignment w:val="center"/>
                    <w:rPr>
                      <w:sz w:val="18"/>
                      <w:szCs w:val="18"/>
                    </w:rPr>
                  </w:pPr>
                  <w:r>
                    <w:rPr>
                      <w:sz w:val="18"/>
                      <w:szCs w:val="18"/>
                    </w:rPr>
                    <w:t>4</w:t>
                  </w:r>
                  <w:r>
                    <w:rPr>
                      <w:rFonts w:ascii="宋体" w:hAnsi="宋体"/>
                      <w:sz w:val="18"/>
                      <w:szCs w:val="18"/>
                    </w:rPr>
                    <w:t>月</w:t>
                  </w:r>
                </w:p>
              </w:tc>
              <w:tc>
                <w:tcPr>
                  <w:tcW w:w="552" w:type="dxa"/>
                  <w:vAlign w:val="center"/>
                </w:tcPr>
                <w:p>
                  <w:pPr>
                    <w:widowControl/>
                    <w:spacing w:line="300" w:lineRule="exact"/>
                    <w:jc w:val="center"/>
                    <w:textAlignment w:val="center"/>
                    <w:rPr>
                      <w:sz w:val="18"/>
                      <w:szCs w:val="18"/>
                    </w:rPr>
                  </w:pPr>
                  <w:r>
                    <w:rPr>
                      <w:rFonts w:hint="eastAsia"/>
                      <w:sz w:val="18"/>
                      <w:szCs w:val="18"/>
                    </w:rPr>
                    <w:t>8</w:t>
                  </w:r>
                </w:p>
              </w:tc>
              <w:tc>
                <w:tcPr>
                  <w:tcW w:w="530" w:type="dxa"/>
                  <w:vAlign w:val="center"/>
                </w:tcPr>
                <w:p>
                  <w:pPr>
                    <w:widowControl/>
                    <w:spacing w:line="300" w:lineRule="exact"/>
                    <w:jc w:val="center"/>
                    <w:textAlignment w:val="center"/>
                    <w:rPr>
                      <w:sz w:val="18"/>
                      <w:szCs w:val="18"/>
                    </w:rPr>
                  </w:pPr>
                  <w:r>
                    <w:rPr>
                      <w:rFonts w:hint="eastAsia"/>
                      <w:sz w:val="18"/>
                      <w:szCs w:val="18"/>
                    </w:rPr>
                    <w:t>20</w:t>
                  </w:r>
                </w:p>
              </w:tc>
              <w:tc>
                <w:tcPr>
                  <w:tcW w:w="572" w:type="dxa"/>
                  <w:vAlign w:val="center"/>
                </w:tcPr>
                <w:p>
                  <w:pPr>
                    <w:widowControl/>
                    <w:spacing w:line="300" w:lineRule="exact"/>
                    <w:jc w:val="center"/>
                    <w:textAlignment w:val="center"/>
                    <w:rPr>
                      <w:sz w:val="18"/>
                      <w:szCs w:val="18"/>
                    </w:rPr>
                  </w:pPr>
                  <w:r>
                    <w:rPr>
                      <w:rFonts w:hint="eastAsia"/>
                      <w:sz w:val="18"/>
                      <w:szCs w:val="18"/>
                    </w:rPr>
                    <w:t>0.8</w:t>
                  </w:r>
                </w:p>
              </w:tc>
              <w:tc>
                <w:tcPr>
                  <w:tcW w:w="577" w:type="dxa"/>
                  <w:vAlign w:val="center"/>
                </w:tcPr>
                <w:p>
                  <w:pPr>
                    <w:widowControl/>
                    <w:spacing w:line="300" w:lineRule="exact"/>
                    <w:jc w:val="center"/>
                    <w:textAlignment w:val="center"/>
                    <w:rPr>
                      <w:sz w:val="18"/>
                      <w:szCs w:val="18"/>
                    </w:rPr>
                  </w:pPr>
                  <w:r>
                    <w:rPr>
                      <w:rFonts w:hint="eastAsia"/>
                      <w:sz w:val="18"/>
                      <w:szCs w:val="18"/>
                    </w:rPr>
                    <w:t>126</w:t>
                  </w:r>
                </w:p>
              </w:tc>
              <w:tc>
                <w:tcPr>
                  <w:tcW w:w="567" w:type="dxa"/>
                  <w:vAlign w:val="center"/>
                </w:tcPr>
                <w:p>
                  <w:pPr>
                    <w:widowControl/>
                    <w:spacing w:line="300" w:lineRule="exact"/>
                    <w:jc w:val="center"/>
                    <w:textAlignment w:val="center"/>
                    <w:rPr>
                      <w:sz w:val="18"/>
                      <w:szCs w:val="18"/>
                    </w:rPr>
                  </w:pPr>
                  <w:r>
                    <w:rPr>
                      <w:rFonts w:hint="eastAsia"/>
                      <w:sz w:val="18"/>
                      <w:szCs w:val="18"/>
                    </w:rPr>
                    <w:t>21</w:t>
                  </w:r>
                </w:p>
              </w:tc>
              <w:tc>
                <w:tcPr>
                  <w:tcW w:w="567" w:type="dxa"/>
                  <w:vAlign w:val="center"/>
                </w:tcPr>
                <w:p>
                  <w:pPr>
                    <w:widowControl/>
                    <w:spacing w:line="300" w:lineRule="exact"/>
                    <w:jc w:val="center"/>
                    <w:textAlignment w:val="center"/>
                    <w:rPr>
                      <w:sz w:val="18"/>
                      <w:szCs w:val="18"/>
                    </w:rPr>
                  </w:pPr>
                  <w:r>
                    <w:rPr>
                      <w:rFonts w:hint="eastAsia"/>
                      <w:sz w:val="18"/>
                      <w:szCs w:val="18"/>
                    </w:rPr>
                    <w:t>41</w:t>
                  </w:r>
                </w:p>
              </w:tc>
              <w:tc>
                <w:tcPr>
                  <w:tcW w:w="850" w:type="dxa"/>
                  <w:vAlign w:val="center"/>
                </w:tcPr>
                <w:p>
                  <w:pPr>
                    <w:widowControl/>
                    <w:spacing w:line="300" w:lineRule="exact"/>
                    <w:jc w:val="center"/>
                    <w:textAlignment w:val="center"/>
                    <w:rPr>
                      <w:sz w:val="18"/>
                      <w:szCs w:val="18"/>
                    </w:rPr>
                  </w:pPr>
                  <w:r>
                    <w:rPr>
                      <w:rFonts w:hint="eastAsia"/>
                      <w:sz w:val="18"/>
                      <w:szCs w:val="18"/>
                    </w:rPr>
                    <w:t>30</w:t>
                  </w:r>
                </w:p>
              </w:tc>
              <w:tc>
                <w:tcPr>
                  <w:tcW w:w="849" w:type="dxa"/>
                  <w:vAlign w:val="center"/>
                </w:tcPr>
                <w:p>
                  <w:pPr>
                    <w:widowControl/>
                    <w:spacing w:line="300" w:lineRule="exact"/>
                    <w:jc w:val="center"/>
                    <w:textAlignment w:val="center"/>
                    <w:rPr>
                      <w:sz w:val="18"/>
                      <w:szCs w:val="18"/>
                    </w:rPr>
                  </w:pPr>
                  <w:r>
                    <w:rPr>
                      <w:rFonts w:hint="eastAsia"/>
                      <w:sz w:val="18"/>
                      <w:szCs w:val="18"/>
                    </w:rPr>
                    <w:t>30</w:t>
                  </w:r>
                </w:p>
              </w:tc>
              <w:tc>
                <w:tcPr>
                  <w:tcW w:w="612" w:type="dxa"/>
                  <w:vAlign w:val="center"/>
                </w:tcPr>
                <w:p>
                  <w:pPr>
                    <w:widowControl/>
                    <w:spacing w:line="300" w:lineRule="exact"/>
                    <w:jc w:val="center"/>
                    <w:textAlignment w:val="center"/>
                    <w:rPr>
                      <w:sz w:val="18"/>
                      <w:szCs w:val="18"/>
                    </w:rPr>
                  </w:pPr>
                  <w:r>
                    <w:rPr>
                      <w:rFonts w:hint="eastAsia"/>
                      <w:sz w:val="18"/>
                      <w:szCs w:val="18"/>
                    </w:rPr>
                    <w:t>100</w:t>
                  </w:r>
                </w:p>
              </w:tc>
              <w:tc>
                <w:tcPr>
                  <w:tcW w:w="874" w:type="dxa"/>
                  <w:vAlign w:val="center"/>
                </w:tcPr>
                <w:p>
                  <w:pPr>
                    <w:widowControl/>
                    <w:spacing w:line="300" w:lineRule="exact"/>
                    <w:jc w:val="center"/>
                    <w:textAlignment w:val="center"/>
                    <w:rPr>
                      <w:sz w:val="18"/>
                      <w:szCs w:val="18"/>
                    </w:rPr>
                  </w:pPr>
                  <w:r>
                    <w:rPr>
                      <w:rFonts w:hint="eastAsia"/>
                      <w:sz w:val="18"/>
                      <w:szCs w:val="18"/>
                    </w:rPr>
                    <w:t>0</w:t>
                  </w:r>
                </w:p>
              </w:tc>
              <w:tc>
                <w:tcPr>
                  <w:tcW w:w="805" w:type="dxa"/>
                  <w:vAlign w:val="center"/>
                </w:tcPr>
                <w:p>
                  <w:pPr>
                    <w:widowControl/>
                    <w:spacing w:line="300" w:lineRule="exact"/>
                    <w:jc w:val="center"/>
                    <w:textAlignment w:val="center"/>
                    <w:rPr>
                      <w:sz w:val="18"/>
                      <w:szCs w:val="18"/>
                    </w:rPr>
                  </w:pPr>
                  <w:r>
                    <w:rPr>
                      <w:rFonts w:hint="eastAsia"/>
                      <w:sz w:val="18"/>
                      <w:szCs w:val="18"/>
                    </w:rPr>
                    <w:t>2.81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 w:hRule="atLeast"/>
                <w:jc w:val="center"/>
              </w:trPr>
              <w:tc>
                <w:tcPr>
                  <w:tcW w:w="628" w:type="dxa"/>
                  <w:vAlign w:val="center"/>
                </w:tcPr>
                <w:p>
                  <w:pPr>
                    <w:widowControl/>
                    <w:spacing w:line="300" w:lineRule="exact"/>
                    <w:jc w:val="center"/>
                    <w:textAlignment w:val="center"/>
                    <w:rPr>
                      <w:sz w:val="18"/>
                      <w:szCs w:val="18"/>
                    </w:rPr>
                  </w:pPr>
                  <w:r>
                    <w:rPr>
                      <w:sz w:val="18"/>
                      <w:szCs w:val="18"/>
                    </w:rPr>
                    <w:t>5</w:t>
                  </w:r>
                  <w:r>
                    <w:rPr>
                      <w:rFonts w:ascii="宋体" w:hAnsi="宋体"/>
                      <w:sz w:val="18"/>
                      <w:szCs w:val="18"/>
                    </w:rPr>
                    <w:t>月</w:t>
                  </w:r>
                </w:p>
              </w:tc>
              <w:tc>
                <w:tcPr>
                  <w:tcW w:w="552" w:type="dxa"/>
                  <w:vAlign w:val="center"/>
                </w:tcPr>
                <w:p>
                  <w:pPr>
                    <w:widowControl/>
                    <w:spacing w:line="300" w:lineRule="exact"/>
                    <w:jc w:val="center"/>
                    <w:textAlignment w:val="center"/>
                    <w:rPr>
                      <w:sz w:val="18"/>
                      <w:szCs w:val="18"/>
                    </w:rPr>
                  </w:pPr>
                  <w:r>
                    <w:rPr>
                      <w:rFonts w:hint="eastAsia"/>
                      <w:sz w:val="18"/>
                      <w:szCs w:val="18"/>
                    </w:rPr>
                    <w:t>7</w:t>
                  </w:r>
                </w:p>
              </w:tc>
              <w:tc>
                <w:tcPr>
                  <w:tcW w:w="530" w:type="dxa"/>
                  <w:vAlign w:val="center"/>
                </w:tcPr>
                <w:p>
                  <w:pPr>
                    <w:widowControl/>
                    <w:spacing w:line="300" w:lineRule="exact"/>
                    <w:jc w:val="center"/>
                    <w:textAlignment w:val="center"/>
                    <w:rPr>
                      <w:sz w:val="18"/>
                      <w:szCs w:val="18"/>
                    </w:rPr>
                  </w:pPr>
                  <w:r>
                    <w:rPr>
                      <w:rFonts w:hint="eastAsia"/>
                      <w:sz w:val="18"/>
                      <w:szCs w:val="18"/>
                    </w:rPr>
                    <w:t>19</w:t>
                  </w:r>
                </w:p>
              </w:tc>
              <w:tc>
                <w:tcPr>
                  <w:tcW w:w="572" w:type="dxa"/>
                  <w:vAlign w:val="center"/>
                </w:tcPr>
                <w:p>
                  <w:pPr>
                    <w:widowControl/>
                    <w:spacing w:line="300" w:lineRule="exact"/>
                    <w:jc w:val="center"/>
                    <w:textAlignment w:val="center"/>
                    <w:rPr>
                      <w:sz w:val="18"/>
                      <w:szCs w:val="18"/>
                    </w:rPr>
                  </w:pPr>
                  <w:r>
                    <w:rPr>
                      <w:rFonts w:hint="eastAsia"/>
                      <w:sz w:val="18"/>
                      <w:szCs w:val="18"/>
                    </w:rPr>
                    <w:t>0.7</w:t>
                  </w:r>
                </w:p>
              </w:tc>
              <w:tc>
                <w:tcPr>
                  <w:tcW w:w="577" w:type="dxa"/>
                  <w:vAlign w:val="center"/>
                </w:tcPr>
                <w:p>
                  <w:pPr>
                    <w:widowControl/>
                    <w:spacing w:line="300" w:lineRule="exact"/>
                    <w:jc w:val="center"/>
                    <w:textAlignment w:val="center"/>
                    <w:rPr>
                      <w:sz w:val="18"/>
                      <w:szCs w:val="18"/>
                    </w:rPr>
                  </w:pPr>
                  <w:r>
                    <w:rPr>
                      <w:rFonts w:hint="eastAsia"/>
                      <w:sz w:val="18"/>
                      <w:szCs w:val="18"/>
                    </w:rPr>
                    <w:t>116</w:t>
                  </w:r>
                </w:p>
              </w:tc>
              <w:tc>
                <w:tcPr>
                  <w:tcW w:w="567" w:type="dxa"/>
                  <w:vAlign w:val="center"/>
                </w:tcPr>
                <w:p>
                  <w:pPr>
                    <w:widowControl/>
                    <w:spacing w:line="300" w:lineRule="exact"/>
                    <w:jc w:val="center"/>
                    <w:textAlignment w:val="center"/>
                    <w:rPr>
                      <w:sz w:val="18"/>
                      <w:szCs w:val="18"/>
                    </w:rPr>
                  </w:pPr>
                  <w:r>
                    <w:rPr>
                      <w:rFonts w:hint="eastAsia"/>
                      <w:sz w:val="18"/>
                      <w:szCs w:val="18"/>
                    </w:rPr>
                    <w:t>18</w:t>
                  </w:r>
                </w:p>
              </w:tc>
              <w:tc>
                <w:tcPr>
                  <w:tcW w:w="567" w:type="dxa"/>
                  <w:vAlign w:val="center"/>
                </w:tcPr>
                <w:p>
                  <w:pPr>
                    <w:widowControl/>
                    <w:spacing w:line="300" w:lineRule="exact"/>
                    <w:jc w:val="center"/>
                    <w:textAlignment w:val="center"/>
                    <w:rPr>
                      <w:sz w:val="18"/>
                      <w:szCs w:val="18"/>
                    </w:rPr>
                  </w:pPr>
                  <w:r>
                    <w:rPr>
                      <w:rFonts w:hint="eastAsia"/>
                      <w:sz w:val="18"/>
                      <w:szCs w:val="18"/>
                    </w:rPr>
                    <w:t>33</w:t>
                  </w:r>
                </w:p>
              </w:tc>
              <w:tc>
                <w:tcPr>
                  <w:tcW w:w="850" w:type="dxa"/>
                  <w:vAlign w:val="center"/>
                </w:tcPr>
                <w:p>
                  <w:pPr>
                    <w:widowControl/>
                    <w:spacing w:line="300" w:lineRule="exact"/>
                    <w:jc w:val="center"/>
                    <w:textAlignment w:val="center"/>
                    <w:rPr>
                      <w:sz w:val="18"/>
                      <w:szCs w:val="18"/>
                    </w:rPr>
                  </w:pPr>
                  <w:r>
                    <w:rPr>
                      <w:rFonts w:hint="eastAsia"/>
                      <w:sz w:val="18"/>
                      <w:szCs w:val="18"/>
                    </w:rPr>
                    <w:t>31</w:t>
                  </w:r>
                </w:p>
              </w:tc>
              <w:tc>
                <w:tcPr>
                  <w:tcW w:w="849" w:type="dxa"/>
                  <w:vAlign w:val="center"/>
                </w:tcPr>
                <w:p>
                  <w:pPr>
                    <w:widowControl/>
                    <w:spacing w:line="300" w:lineRule="exact"/>
                    <w:jc w:val="center"/>
                    <w:textAlignment w:val="center"/>
                    <w:rPr>
                      <w:sz w:val="18"/>
                      <w:szCs w:val="18"/>
                    </w:rPr>
                  </w:pPr>
                  <w:r>
                    <w:rPr>
                      <w:rFonts w:hint="eastAsia"/>
                      <w:sz w:val="18"/>
                      <w:szCs w:val="18"/>
                    </w:rPr>
                    <w:t>31</w:t>
                  </w:r>
                </w:p>
              </w:tc>
              <w:tc>
                <w:tcPr>
                  <w:tcW w:w="612" w:type="dxa"/>
                  <w:vAlign w:val="center"/>
                </w:tcPr>
                <w:p>
                  <w:pPr>
                    <w:widowControl/>
                    <w:spacing w:line="300" w:lineRule="exact"/>
                    <w:jc w:val="center"/>
                    <w:textAlignment w:val="center"/>
                    <w:rPr>
                      <w:sz w:val="18"/>
                      <w:szCs w:val="18"/>
                    </w:rPr>
                  </w:pPr>
                  <w:r>
                    <w:rPr>
                      <w:rFonts w:hint="eastAsia"/>
                      <w:sz w:val="18"/>
                      <w:szCs w:val="18"/>
                    </w:rPr>
                    <w:t>100</w:t>
                  </w:r>
                </w:p>
              </w:tc>
              <w:tc>
                <w:tcPr>
                  <w:tcW w:w="874" w:type="dxa"/>
                  <w:vAlign w:val="center"/>
                </w:tcPr>
                <w:p>
                  <w:pPr>
                    <w:widowControl/>
                    <w:spacing w:line="300" w:lineRule="exact"/>
                    <w:jc w:val="center"/>
                    <w:textAlignment w:val="center"/>
                    <w:rPr>
                      <w:sz w:val="18"/>
                      <w:szCs w:val="18"/>
                    </w:rPr>
                  </w:pPr>
                  <w:r>
                    <w:rPr>
                      <w:rFonts w:hint="eastAsia"/>
                      <w:sz w:val="18"/>
                      <w:szCs w:val="18"/>
                    </w:rPr>
                    <w:t>0</w:t>
                  </w:r>
                </w:p>
              </w:tc>
              <w:tc>
                <w:tcPr>
                  <w:tcW w:w="805" w:type="dxa"/>
                  <w:vAlign w:val="center"/>
                </w:tcPr>
                <w:p>
                  <w:pPr>
                    <w:widowControl/>
                    <w:spacing w:line="300" w:lineRule="exact"/>
                    <w:jc w:val="center"/>
                    <w:textAlignment w:val="center"/>
                    <w:rPr>
                      <w:sz w:val="18"/>
                      <w:szCs w:val="18"/>
                    </w:rPr>
                  </w:pPr>
                  <w:r>
                    <w:rPr>
                      <w:rFonts w:hint="eastAsia"/>
                      <w:sz w:val="18"/>
                      <w:szCs w:val="18"/>
                    </w:rPr>
                    <w:t>2.48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 w:hRule="atLeast"/>
                <w:jc w:val="center"/>
              </w:trPr>
              <w:tc>
                <w:tcPr>
                  <w:tcW w:w="628" w:type="dxa"/>
                  <w:vAlign w:val="center"/>
                </w:tcPr>
                <w:p>
                  <w:pPr>
                    <w:widowControl/>
                    <w:spacing w:line="300" w:lineRule="exact"/>
                    <w:jc w:val="center"/>
                    <w:textAlignment w:val="center"/>
                    <w:rPr>
                      <w:sz w:val="18"/>
                      <w:szCs w:val="18"/>
                    </w:rPr>
                  </w:pPr>
                  <w:r>
                    <w:rPr>
                      <w:sz w:val="18"/>
                      <w:szCs w:val="18"/>
                    </w:rPr>
                    <w:t>6</w:t>
                  </w:r>
                  <w:r>
                    <w:rPr>
                      <w:rFonts w:ascii="宋体" w:hAnsi="宋体"/>
                      <w:sz w:val="18"/>
                      <w:szCs w:val="18"/>
                    </w:rPr>
                    <w:t>月</w:t>
                  </w:r>
                </w:p>
              </w:tc>
              <w:tc>
                <w:tcPr>
                  <w:tcW w:w="552" w:type="dxa"/>
                  <w:vAlign w:val="center"/>
                </w:tcPr>
                <w:p>
                  <w:pPr>
                    <w:widowControl/>
                    <w:spacing w:line="300" w:lineRule="exact"/>
                    <w:jc w:val="center"/>
                    <w:textAlignment w:val="center"/>
                    <w:rPr>
                      <w:sz w:val="18"/>
                      <w:szCs w:val="18"/>
                    </w:rPr>
                  </w:pPr>
                  <w:r>
                    <w:rPr>
                      <w:rFonts w:hint="eastAsia"/>
                      <w:sz w:val="18"/>
                      <w:szCs w:val="18"/>
                    </w:rPr>
                    <w:t>7</w:t>
                  </w:r>
                </w:p>
              </w:tc>
              <w:tc>
                <w:tcPr>
                  <w:tcW w:w="530" w:type="dxa"/>
                  <w:vAlign w:val="center"/>
                </w:tcPr>
                <w:p>
                  <w:pPr>
                    <w:widowControl/>
                    <w:spacing w:line="300" w:lineRule="exact"/>
                    <w:jc w:val="center"/>
                    <w:textAlignment w:val="center"/>
                    <w:rPr>
                      <w:sz w:val="18"/>
                      <w:szCs w:val="18"/>
                    </w:rPr>
                  </w:pPr>
                  <w:r>
                    <w:rPr>
                      <w:rFonts w:hint="eastAsia"/>
                      <w:sz w:val="18"/>
                      <w:szCs w:val="18"/>
                    </w:rPr>
                    <w:t>20</w:t>
                  </w:r>
                </w:p>
              </w:tc>
              <w:tc>
                <w:tcPr>
                  <w:tcW w:w="572" w:type="dxa"/>
                  <w:vAlign w:val="center"/>
                </w:tcPr>
                <w:p>
                  <w:pPr>
                    <w:widowControl/>
                    <w:spacing w:line="300" w:lineRule="exact"/>
                    <w:jc w:val="center"/>
                    <w:textAlignment w:val="center"/>
                    <w:rPr>
                      <w:sz w:val="18"/>
                      <w:szCs w:val="18"/>
                    </w:rPr>
                  </w:pPr>
                  <w:r>
                    <w:rPr>
                      <w:rFonts w:hint="eastAsia"/>
                      <w:sz w:val="18"/>
                      <w:szCs w:val="18"/>
                    </w:rPr>
                    <w:t>0.6</w:t>
                  </w:r>
                </w:p>
              </w:tc>
              <w:tc>
                <w:tcPr>
                  <w:tcW w:w="577" w:type="dxa"/>
                  <w:vAlign w:val="center"/>
                </w:tcPr>
                <w:p>
                  <w:pPr>
                    <w:widowControl/>
                    <w:spacing w:line="300" w:lineRule="exact"/>
                    <w:jc w:val="center"/>
                    <w:textAlignment w:val="center"/>
                    <w:rPr>
                      <w:sz w:val="18"/>
                      <w:szCs w:val="18"/>
                    </w:rPr>
                  </w:pPr>
                  <w:r>
                    <w:rPr>
                      <w:rFonts w:hint="eastAsia"/>
                      <w:sz w:val="18"/>
                      <w:szCs w:val="18"/>
                    </w:rPr>
                    <w:t>139</w:t>
                  </w:r>
                </w:p>
              </w:tc>
              <w:tc>
                <w:tcPr>
                  <w:tcW w:w="567" w:type="dxa"/>
                  <w:vAlign w:val="center"/>
                </w:tcPr>
                <w:p>
                  <w:pPr>
                    <w:widowControl/>
                    <w:spacing w:line="300" w:lineRule="exact"/>
                    <w:jc w:val="center"/>
                    <w:textAlignment w:val="center"/>
                    <w:rPr>
                      <w:sz w:val="18"/>
                      <w:szCs w:val="18"/>
                    </w:rPr>
                  </w:pPr>
                  <w:r>
                    <w:rPr>
                      <w:rFonts w:hint="eastAsia"/>
                      <w:sz w:val="18"/>
                      <w:szCs w:val="18"/>
                    </w:rPr>
                    <w:t>23</w:t>
                  </w:r>
                </w:p>
              </w:tc>
              <w:tc>
                <w:tcPr>
                  <w:tcW w:w="567" w:type="dxa"/>
                  <w:vAlign w:val="center"/>
                </w:tcPr>
                <w:p>
                  <w:pPr>
                    <w:widowControl/>
                    <w:spacing w:line="300" w:lineRule="exact"/>
                    <w:jc w:val="center"/>
                    <w:textAlignment w:val="center"/>
                    <w:rPr>
                      <w:sz w:val="18"/>
                      <w:szCs w:val="18"/>
                    </w:rPr>
                  </w:pPr>
                  <w:r>
                    <w:rPr>
                      <w:rFonts w:hint="eastAsia"/>
                      <w:sz w:val="18"/>
                      <w:szCs w:val="18"/>
                    </w:rPr>
                    <w:t>47</w:t>
                  </w:r>
                </w:p>
              </w:tc>
              <w:tc>
                <w:tcPr>
                  <w:tcW w:w="850" w:type="dxa"/>
                  <w:vAlign w:val="center"/>
                </w:tcPr>
                <w:p>
                  <w:pPr>
                    <w:widowControl/>
                    <w:spacing w:line="300" w:lineRule="exact"/>
                    <w:jc w:val="center"/>
                    <w:textAlignment w:val="center"/>
                    <w:rPr>
                      <w:sz w:val="18"/>
                      <w:szCs w:val="18"/>
                    </w:rPr>
                  </w:pPr>
                  <w:r>
                    <w:rPr>
                      <w:rFonts w:hint="eastAsia"/>
                      <w:sz w:val="18"/>
                      <w:szCs w:val="18"/>
                    </w:rPr>
                    <w:t>30</w:t>
                  </w:r>
                </w:p>
              </w:tc>
              <w:tc>
                <w:tcPr>
                  <w:tcW w:w="849" w:type="dxa"/>
                  <w:vAlign w:val="center"/>
                </w:tcPr>
                <w:p>
                  <w:pPr>
                    <w:widowControl/>
                    <w:spacing w:line="300" w:lineRule="exact"/>
                    <w:jc w:val="center"/>
                    <w:textAlignment w:val="center"/>
                    <w:rPr>
                      <w:sz w:val="18"/>
                      <w:szCs w:val="18"/>
                    </w:rPr>
                  </w:pPr>
                  <w:r>
                    <w:rPr>
                      <w:rFonts w:hint="eastAsia"/>
                      <w:sz w:val="18"/>
                      <w:szCs w:val="18"/>
                    </w:rPr>
                    <w:t>28</w:t>
                  </w:r>
                </w:p>
              </w:tc>
              <w:tc>
                <w:tcPr>
                  <w:tcW w:w="612" w:type="dxa"/>
                  <w:vAlign w:val="center"/>
                </w:tcPr>
                <w:p>
                  <w:pPr>
                    <w:widowControl/>
                    <w:spacing w:line="300" w:lineRule="exact"/>
                    <w:jc w:val="center"/>
                    <w:textAlignment w:val="center"/>
                    <w:rPr>
                      <w:sz w:val="18"/>
                      <w:szCs w:val="18"/>
                    </w:rPr>
                  </w:pPr>
                  <w:r>
                    <w:rPr>
                      <w:rFonts w:hint="eastAsia"/>
                      <w:sz w:val="18"/>
                      <w:szCs w:val="18"/>
                    </w:rPr>
                    <w:t>93.3</w:t>
                  </w:r>
                </w:p>
              </w:tc>
              <w:tc>
                <w:tcPr>
                  <w:tcW w:w="874" w:type="dxa"/>
                  <w:vAlign w:val="center"/>
                </w:tcPr>
                <w:p>
                  <w:pPr>
                    <w:widowControl/>
                    <w:spacing w:line="300" w:lineRule="exact"/>
                    <w:jc w:val="center"/>
                    <w:textAlignment w:val="center"/>
                    <w:rPr>
                      <w:sz w:val="18"/>
                      <w:szCs w:val="18"/>
                    </w:rPr>
                  </w:pPr>
                  <w:r>
                    <w:rPr>
                      <w:rFonts w:hint="eastAsia"/>
                      <w:sz w:val="18"/>
                      <w:szCs w:val="18"/>
                    </w:rPr>
                    <w:t>-6.7</w:t>
                  </w:r>
                </w:p>
              </w:tc>
              <w:tc>
                <w:tcPr>
                  <w:tcW w:w="805" w:type="dxa"/>
                  <w:vAlign w:val="center"/>
                </w:tcPr>
                <w:p>
                  <w:pPr>
                    <w:widowControl/>
                    <w:spacing w:line="300" w:lineRule="exact"/>
                    <w:jc w:val="center"/>
                    <w:textAlignment w:val="center"/>
                    <w:rPr>
                      <w:sz w:val="18"/>
                      <w:szCs w:val="18"/>
                    </w:rPr>
                  </w:pPr>
                  <w:r>
                    <w:rPr>
                      <w:rFonts w:hint="eastAsia"/>
                      <w:sz w:val="18"/>
                      <w:szCs w:val="18"/>
                    </w:rPr>
                    <w:t>2.97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 w:hRule="atLeast"/>
                <w:jc w:val="center"/>
              </w:trPr>
              <w:tc>
                <w:tcPr>
                  <w:tcW w:w="628" w:type="dxa"/>
                  <w:vAlign w:val="center"/>
                </w:tcPr>
                <w:p>
                  <w:pPr>
                    <w:widowControl/>
                    <w:spacing w:line="300" w:lineRule="exact"/>
                    <w:jc w:val="center"/>
                    <w:textAlignment w:val="center"/>
                    <w:rPr>
                      <w:sz w:val="18"/>
                      <w:szCs w:val="18"/>
                    </w:rPr>
                  </w:pPr>
                  <w:r>
                    <w:rPr>
                      <w:sz w:val="18"/>
                      <w:szCs w:val="18"/>
                    </w:rPr>
                    <w:t>7</w:t>
                  </w:r>
                  <w:r>
                    <w:rPr>
                      <w:rFonts w:ascii="宋体" w:hAnsi="宋体"/>
                      <w:sz w:val="18"/>
                      <w:szCs w:val="18"/>
                    </w:rPr>
                    <w:t>月</w:t>
                  </w:r>
                </w:p>
              </w:tc>
              <w:tc>
                <w:tcPr>
                  <w:tcW w:w="552" w:type="dxa"/>
                  <w:vAlign w:val="center"/>
                </w:tcPr>
                <w:p>
                  <w:pPr>
                    <w:widowControl/>
                    <w:spacing w:line="300" w:lineRule="exact"/>
                    <w:jc w:val="center"/>
                    <w:textAlignment w:val="center"/>
                    <w:rPr>
                      <w:sz w:val="18"/>
                      <w:szCs w:val="18"/>
                    </w:rPr>
                  </w:pPr>
                  <w:r>
                    <w:rPr>
                      <w:rFonts w:hint="eastAsia"/>
                      <w:sz w:val="18"/>
                      <w:szCs w:val="18"/>
                    </w:rPr>
                    <w:t>6</w:t>
                  </w:r>
                </w:p>
              </w:tc>
              <w:tc>
                <w:tcPr>
                  <w:tcW w:w="530" w:type="dxa"/>
                  <w:vAlign w:val="center"/>
                </w:tcPr>
                <w:p>
                  <w:pPr>
                    <w:widowControl/>
                    <w:spacing w:line="300" w:lineRule="exact"/>
                    <w:jc w:val="center"/>
                    <w:textAlignment w:val="center"/>
                    <w:rPr>
                      <w:sz w:val="18"/>
                      <w:szCs w:val="18"/>
                    </w:rPr>
                  </w:pPr>
                  <w:r>
                    <w:rPr>
                      <w:rFonts w:hint="eastAsia"/>
                      <w:sz w:val="18"/>
                      <w:szCs w:val="18"/>
                    </w:rPr>
                    <w:t>14</w:t>
                  </w:r>
                </w:p>
              </w:tc>
              <w:tc>
                <w:tcPr>
                  <w:tcW w:w="572" w:type="dxa"/>
                  <w:vAlign w:val="center"/>
                </w:tcPr>
                <w:p>
                  <w:pPr>
                    <w:widowControl/>
                    <w:spacing w:line="300" w:lineRule="exact"/>
                    <w:jc w:val="center"/>
                    <w:textAlignment w:val="center"/>
                    <w:rPr>
                      <w:sz w:val="18"/>
                      <w:szCs w:val="18"/>
                    </w:rPr>
                  </w:pPr>
                  <w:r>
                    <w:rPr>
                      <w:rFonts w:hint="eastAsia"/>
                      <w:sz w:val="18"/>
                      <w:szCs w:val="18"/>
                    </w:rPr>
                    <w:t>0.6</w:t>
                  </w:r>
                </w:p>
              </w:tc>
              <w:tc>
                <w:tcPr>
                  <w:tcW w:w="577" w:type="dxa"/>
                  <w:vAlign w:val="center"/>
                </w:tcPr>
                <w:p>
                  <w:pPr>
                    <w:widowControl/>
                    <w:spacing w:line="300" w:lineRule="exact"/>
                    <w:jc w:val="center"/>
                    <w:textAlignment w:val="center"/>
                    <w:rPr>
                      <w:sz w:val="18"/>
                      <w:szCs w:val="18"/>
                    </w:rPr>
                  </w:pPr>
                  <w:r>
                    <w:rPr>
                      <w:rFonts w:hint="eastAsia"/>
                      <w:sz w:val="18"/>
                      <w:szCs w:val="18"/>
                    </w:rPr>
                    <w:t>128</w:t>
                  </w:r>
                </w:p>
              </w:tc>
              <w:tc>
                <w:tcPr>
                  <w:tcW w:w="567" w:type="dxa"/>
                  <w:vAlign w:val="center"/>
                </w:tcPr>
                <w:p>
                  <w:pPr>
                    <w:widowControl/>
                    <w:spacing w:line="300" w:lineRule="exact"/>
                    <w:jc w:val="center"/>
                    <w:textAlignment w:val="center"/>
                    <w:rPr>
                      <w:sz w:val="18"/>
                      <w:szCs w:val="18"/>
                    </w:rPr>
                  </w:pPr>
                  <w:r>
                    <w:rPr>
                      <w:rFonts w:hint="eastAsia"/>
                      <w:sz w:val="18"/>
                      <w:szCs w:val="18"/>
                    </w:rPr>
                    <w:t>14</w:t>
                  </w:r>
                </w:p>
              </w:tc>
              <w:tc>
                <w:tcPr>
                  <w:tcW w:w="567" w:type="dxa"/>
                  <w:vAlign w:val="center"/>
                </w:tcPr>
                <w:p>
                  <w:pPr>
                    <w:widowControl/>
                    <w:spacing w:line="300" w:lineRule="exact"/>
                    <w:jc w:val="center"/>
                    <w:textAlignment w:val="center"/>
                    <w:rPr>
                      <w:sz w:val="18"/>
                      <w:szCs w:val="18"/>
                    </w:rPr>
                  </w:pPr>
                  <w:r>
                    <w:rPr>
                      <w:rFonts w:hint="eastAsia"/>
                      <w:sz w:val="18"/>
                      <w:szCs w:val="18"/>
                    </w:rPr>
                    <w:t>33</w:t>
                  </w:r>
                </w:p>
              </w:tc>
              <w:tc>
                <w:tcPr>
                  <w:tcW w:w="850" w:type="dxa"/>
                  <w:vAlign w:val="center"/>
                </w:tcPr>
                <w:p>
                  <w:pPr>
                    <w:widowControl/>
                    <w:spacing w:line="300" w:lineRule="exact"/>
                    <w:jc w:val="center"/>
                    <w:textAlignment w:val="center"/>
                    <w:rPr>
                      <w:sz w:val="18"/>
                      <w:szCs w:val="18"/>
                    </w:rPr>
                  </w:pPr>
                  <w:r>
                    <w:rPr>
                      <w:rFonts w:hint="eastAsia"/>
                      <w:sz w:val="18"/>
                      <w:szCs w:val="18"/>
                    </w:rPr>
                    <w:t>31</w:t>
                  </w:r>
                </w:p>
              </w:tc>
              <w:tc>
                <w:tcPr>
                  <w:tcW w:w="849" w:type="dxa"/>
                  <w:vAlign w:val="center"/>
                </w:tcPr>
                <w:p>
                  <w:pPr>
                    <w:widowControl/>
                    <w:spacing w:line="300" w:lineRule="exact"/>
                    <w:jc w:val="center"/>
                    <w:textAlignment w:val="center"/>
                    <w:rPr>
                      <w:sz w:val="18"/>
                      <w:szCs w:val="18"/>
                    </w:rPr>
                  </w:pPr>
                  <w:r>
                    <w:rPr>
                      <w:rFonts w:hint="eastAsia"/>
                      <w:sz w:val="18"/>
                      <w:szCs w:val="18"/>
                    </w:rPr>
                    <w:t>31</w:t>
                  </w:r>
                </w:p>
              </w:tc>
              <w:tc>
                <w:tcPr>
                  <w:tcW w:w="612" w:type="dxa"/>
                  <w:vAlign w:val="center"/>
                </w:tcPr>
                <w:p>
                  <w:pPr>
                    <w:widowControl/>
                    <w:spacing w:line="300" w:lineRule="exact"/>
                    <w:jc w:val="center"/>
                    <w:textAlignment w:val="center"/>
                    <w:rPr>
                      <w:sz w:val="18"/>
                      <w:szCs w:val="18"/>
                    </w:rPr>
                  </w:pPr>
                  <w:r>
                    <w:rPr>
                      <w:rFonts w:hint="eastAsia"/>
                      <w:sz w:val="18"/>
                      <w:szCs w:val="18"/>
                    </w:rPr>
                    <w:t>100</w:t>
                  </w:r>
                </w:p>
              </w:tc>
              <w:tc>
                <w:tcPr>
                  <w:tcW w:w="874" w:type="dxa"/>
                  <w:vAlign w:val="center"/>
                </w:tcPr>
                <w:p>
                  <w:pPr>
                    <w:widowControl/>
                    <w:spacing w:line="300" w:lineRule="exact"/>
                    <w:jc w:val="center"/>
                    <w:textAlignment w:val="center"/>
                    <w:rPr>
                      <w:sz w:val="18"/>
                      <w:szCs w:val="18"/>
                    </w:rPr>
                  </w:pPr>
                  <w:r>
                    <w:rPr>
                      <w:rFonts w:hint="eastAsia"/>
                      <w:sz w:val="18"/>
                      <w:szCs w:val="18"/>
                    </w:rPr>
                    <w:t>3.2</w:t>
                  </w:r>
                </w:p>
              </w:tc>
              <w:tc>
                <w:tcPr>
                  <w:tcW w:w="805" w:type="dxa"/>
                  <w:vAlign w:val="center"/>
                </w:tcPr>
                <w:p>
                  <w:pPr>
                    <w:widowControl/>
                    <w:spacing w:line="300" w:lineRule="exact"/>
                    <w:jc w:val="center"/>
                    <w:textAlignment w:val="center"/>
                    <w:rPr>
                      <w:sz w:val="18"/>
                      <w:szCs w:val="18"/>
                    </w:rPr>
                  </w:pPr>
                  <w:r>
                    <w:rPr>
                      <w:rFonts w:hint="eastAsia"/>
                      <w:sz w:val="18"/>
                      <w:szCs w:val="18"/>
                    </w:rPr>
                    <w:t>2.27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 w:hRule="atLeast"/>
                <w:jc w:val="center"/>
              </w:trPr>
              <w:tc>
                <w:tcPr>
                  <w:tcW w:w="628" w:type="dxa"/>
                  <w:vAlign w:val="center"/>
                </w:tcPr>
                <w:p>
                  <w:pPr>
                    <w:widowControl/>
                    <w:spacing w:line="300" w:lineRule="exact"/>
                    <w:jc w:val="center"/>
                    <w:textAlignment w:val="center"/>
                    <w:rPr>
                      <w:sz w:val="18"/>
                      <w:szCs w:val="18"/>
                    </w:rPr>
                  </w:pPr>
                  <w:r>
                    <w:rPr>
                      <w:sz w:val="18"/>
                      <w:szCs w:val="18"/>
                    </w:rPr>
                    <w:t>8</w:t>
                  </w:r>
                  <w:r>
                    <w:rPr>
                      <w:rFonts w:ascii="宋体" w:hAnsi="宋体"/>
                      <w:sz w:val="18"/>
                      <w:szCs w:val="18"/>
                    </w:rPr>
                    <w:t>月</w:t>
                  </w:r>
                </w:p>
              </w:tc>
              <w:tc>
                <w:tcPr>
                  <w:tcW w:w="552" w:type="dxa"/>
                  <w:vAlign w:val="center"/>
                </w:tcPr>
                <w:p>
                  <w:pPr>
                    <w:widowControl/>
                    <w:spacing w:line="300" w:lineRule="exact"/>
                    <w:jc w:val="center"/>
                    <w:textAlignment w:val="center"/>
                    <w:rPr>
                      <w:sz w:val="18"/>
                      <w:szCs w:val="18"/>
                    </w:rPr>
                  </w:pPr>
                  <w:r>
                    <w:rPr>
                      <w:rFonts w:hint="eastAsia"/>
                      <w:sz w:val="18"/>
                      <w:szCs w:val="18"/>
                    </w:rPr>
                    <w:t>7</w:t>
                  </w:r>
                </w:p>
              </w:tc>
              <w:tc>
                <w:tcPr>
                  <w:tcW w:w="530" w:type="dxa"/>
                  <w:vAlign w:val="center"/>
                </w:tcPr>
                <w:p>
                  <w:pPr>
                    <w:widowControl/>
                    <w:spacing w:line="300" w:lineRule="exact"/>
                    <w:jc w:val="center"/>
                    <w:textAlignment w:val="center"/>
                    <w:rPr>
                      <w:sz w:val="18"/>
                      <w:szCs w:val="18"/>
                    </w:rPr>
                  </w:pPr>
                  <w:r>
                    <w:rPr>
                      <w:rFonts w:hint="eastAsia"/>
                      <w:sz w:val="18"/>
                      <w:szCs w:val="18"/>
                    </w:rPr>
                    <w:t>16</w:t>
                  </w:r>
                </w:p>
              </w:tc>
              <w:tc>
                <w:tcPr>
                  <w:tcW w:w="572" w:type="dxa"/>
                  <w:vAlign w:val="center"/>
                </w:tcPr>
                <w:p>
                  <w:pPr>
                    <w:widowControl/>
                    <w:spacing w:line="300" w:lineRule="exact"/>
                    <w:jc w:val="center"/>
                    <w:textAlignment w:val="center"/>
                    <w:rPr>
                      <w:sz w:val="18"/>
                      <w:szCs w:val="18"/>
                    </w:rPr>
                  </w:pPr>
                  <w:r>
                    <w:rPr>
                      <w:rFonts w:hint="eastAsia"/>
                      <w:sz w:val="18"/>
                      <w:szCs w:val="18"/>
                    </w:rPr>
                    <w:t>0.6</w:t>
                  </w:r>
                </w:p>
              </w:tc>
              <w:tc>
                <w:tcPr>
                  <w:tcW w:w="577" w:type="dxa"/>
                  <w:vAlign w:val="center"/>
                </w:tcPr>
                <w:p>
                  <w:pPr>
                    <w:widowControl/>
                    <w:spacing w:line="300" w:lineRule="exact"/>
                    <w:jc w:val="center"/>
                    <w:textAlignment w:val="center"/>
                    <w:rPr>
                      <w:sz w:val="18"/>
                      <w:szCs w:val="18"/>
                    </w:rPr>
                  </w:pPr>
                  <w:r>
                    <w:rPr>
                      <w:rFonts w:hint="eastAsia"/>
                      <w:sz w:val="18"/>
                      <w:szCs w:val="18"/>
                    </w:rPr>
                    <w:t>107</w:t>
                  </w:r>
                </w:p>
              </w:tc>
              <w:tc>
                <w:tcPr>
                  <w:tcW w:w="567" w:type="dxa"/>
                  <w:vAlign w:val="center"/>
                </w:tcPr>
                <w:p>
                  <w:pPr>
                    <w:widowControl/>
                    <w:spacing w:line="300" w:lineRule="exact"/>
                    <w:jc w:val="center"/>
                    <w:textAlignment w:val="center"/>
                    <w:rPr>
                      <w:sz w:val="18"/>
                      <w:szCs w:val="18"/>
                    </w:rPr>
                  </w:pPr>
                  <w:r>
                    <w:rPr>
                      <w:rFonts w:hint="eastAsia"/>
                      <w:sz w:val="18"/>
                      <w:szCs w:val="18"/>
                    </w:rPr>
                    <w:t>17</w:t>
                  </w:r>
                </w:p>
              </w:tc>
              <w:tc>
                <w:tcPr>
                  <w:tcW w:w="567" w:type="dxa"/>
                  <w:vAlign w:val="center"/>
                </w:tcPr>
                <w:p>
                  <w:pPr>
                    <w:widowControl/>
                    <w:spacing w:line="300" w:lineRule="exact"/>
                    <w:jc w:val="center"/>
                    <w:textAlignment w:val="center"/>
                    <w:rPr>
                      <w:sz w:val="18"/>
                      <w:szCs w:val="18"/>
                    </w:rPr>
                  </w:pPr>
                  <w:r>
                    <w:rPr>
                      <w:rFonts w:hint="eastAsia"/>
                      <w:sz w:val="18"/>
                      <w:szCs w:val="18"/>
                    </w:rPr>
                    <w:t>36</w:t>
                  </w:r>
                </w:p>
              </w:tc>
              <w:tc>
                <w:tcPr>
                  <w:tcW w:w="850" w:type="dxa"/>
                  <w:vAlign w:val="center"/>
                </w:tcPr>
                <w:p>
                  <w:pPr>
                    <w:widowControl/>
                    <w:spacing w:line="300" w:lineRule="exact"/>
                    <w:jc w:val="center"/>
                    <w:textAlignment w:val="center"/>
                    <w:rPr>
                      <w:sz w:val="18"/>
                      <w:szCs w:val="18"/>
                    </w:rPr>
                  </w:pPr>
                  <w:r>
                    <w:rPr>
                      <w:rFonts w:hint="eastAsia"/>
                      <w:sz w:val="18"/>
                      <w:szCs w:val="18"/>
                    </w:rPr>
                    <w:t>31</w:t>
                  </w:r>
                </w:p>
              </w:tc>
              <w:tc>
                <w:tcPr>
                  <w:tcW w:w="849" w:type="dxa"/>
                  <w:vAlign w:val="center"/>
                </w:tcPr>
                <w:p>
                  <w:pPr>
                    <w:widowControl/>
                    <w:spacing w:line="300" w:lineRule="exact"/>
                    <w:jc w:val="center"/>
                    <w:textAlignment w:val="center"/>
                    <w:rPr>
                      <w:sz w:val="18"/>
                      <w:szCs w:val="18"/>
                    </w:rPr>
                  </w:pPr>
                  <w:r>
                    <w:rPr>
                      <w:rFonts w:hint="eastAsia"/>
                      <w:sz w:val="18"/>
                      <w:szCs w:val="18"/>
                    </w:rPr>
                    <w:t>31</w:t>
                  </w:r>
                </w:p>
              </w:tc>
              <w:tc>
                <w:tcPr>
                  <w:tcW w:w="612" w:type="dxa"/>
                  <w:vAlign w:val="center"/>
                </w:tcPr>
                <w:p>
                  <w:pPr>
                    <w:widowControl/>
                    <w:spacing w:line="300" w:lineRule="exact"/>
                    <w:jc w:val="center"/>
                    <w:textAlignment w:val="center"/>
                    <w:rPr>
                      <w:sz w:val="18"/>
                      <w:szCs w:val="18"/>
                    </w:rPr>
                  </w:pPr>
                  <w:r>
                    <w:rPr>
                      <w:rFonts w:hint="eastAsia"/>
                      <w:sz w:val="18"/>
                      <w:szCs w:val="18"/>
                    </w:rPr>
                    <w:t>100</w:t>
                  </w:r>
                </w:p>
              </w:tc>
              <w:tc>
                <w:tcPr>
                  <w:tcW w:w="874" w:type="dxa"/>
                  <w:vAlign w:val="center"/>
                </w:tcPr>
                <w:p>
                  <w:pPr>
                    <w:widowControl/>
                    <w:spacing w:line="300" w:lineRule="exact"/>
                    <w:jc w:val="center"/>
                    <w:textAlignment w:val="center"/>
                    <w:rPr>
                      <w:sz w:val="18"/>
                      <w:szCs w:val="18"/>
                    </w:rPr>
                  </w:pPr>
                  <w:r>
                    <w:rPr>
                      <w:rFonts w:hint="eastAsia"/>
                      <w:sz w:val="18"/>
                      <w:szCs w:val="18"/>
                    </w:rPr>
                    <w:t>0</w:t>
                  </w:r>
                </w:p>
              </w:tc>
              <w:tc>
                <w:tcPr>
                  <w:tcW w:w="805" w:type="dxa"/>
                  <w:vAlign w:val="center"/>
                </w:tcPr>
                <w:p>
                  <w:pPr>
                    <w:widowControl/>
                    <w:spacing w:line="300" w:lineRule="exact"/>
                    <w:jc w:val="center"/>
                    <w:textAlignment w:val="center"/>
                    <w:rPr>
                      <w:sz w:val="18"/>
                      <w:szCs w:val="18"/>
                    </w:rPr>
                  </w:pPr>
                  <w:r>
                    <w:rPr>
                      <w:rFonts w:hint="eastAsia"/>
                      <w:sz w:val="18"/>
                      <w:szCs w:val="18"/>
                    </w:rPr>
                    <w:t>2.34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 w:hRule="atLeast"/>
                <w:jc w:val="center"/>
              </w:trPr>
              <w:tc>
                <w:tcPr>
                  <w:tcW w:w="628" w:type="dxa"/>
                  <w:vAlign w:val="center"/>
                </w:tcPr>
                <w:p>
                  <w:pPr>
                    <w:widowControl/>
                    <w:spacing w:line="300" w:lineRule="exact"/>
                    <w:jc w:val="center"/>
                    <w:textAlignment w:val="center"/>
                    <w:rPr>
                      <w:sz w:val="18"/>
                      <w:szCs w:val="18"/>
                    </w:rPr>
                  </w:pPr>
                  <w:r>
                    <w:rPr>
                      <w:sz w:val="18"/>
                      <w:szCs w:val="18"/>
                    </w:rPr>
                    <w:t>9</w:t>
                  </w:r>
                  <w:r>
                    <w:rPr>
                      <w:rFonts w:ascii="宋体" w:hAnsi="宋体"/>
                      <w:sz w:val="18"/>
                      <w:szCs w:val="18"/>
                    </w:rPr>
                    <w:t>月</w:t>
                  </w:r>
                </w:p>
              </w:tc>
              <w:tc>
                <w:tcPr>
                  <w:tcW w:w="552" w:type="dxa"/>
                  <w:vAlign w:val="center"/>
                </w:tcPr>
                <w:p>
                  <w:pPr>
                    <w:widowControl/>
                    <w:spacing w:line="300" w:lineRule="exact"/>
                    <w:jc w:val="center"/>
                    <w:textAlignment w:val="center"/>
                    <w:rPr>
                      <w:sz w:val="18"/>
                      <w:szCs w:val="18"/>
                    </w:rPr>
                  </w:pPr>
                  <w:r>
                    <w:rPr>
                      <w:rFonts w:hint="eastAsia"/>
                      <w:sz w:val="18"/>
                      <w:szCs w:val="18"/>
                    </w:rPr>
                    <w:t>8</w:t>
                  </w:r>
                </w:p>
              </w:tc>
              <w:tc>
                <w:tcPr>
                  <w:tcW w:w="530" w:type="dxa"/>
                  <w:vAlign w:val="center"/>
                </w:tcPr>
                <w:p>
                  <w:pPr>
                    <w:widowControl/>
                    <w:spacing w:line="300" w:lineRule="exact"/>
                    <w:jc w:val="center"/>
                    <w:textAlignment w:val="center"/>
                    <w:rPr>
                      <w:sz w:val="18"/>
                      <w:szCs w:val="18"/>
                    </w:rPr>
                  </w:pPr>
                  <w:r>
                    <w:rPr>
                      <w:rFonts w:hint="eastAsia"/>
                      <w:sz w:val="18"/>
                      <w:szCs w:val="18"/>
                    </w:rPr>
                    <w:t>17</w:t>
                  </w:r>
                </w:p>
              </w:tc>
              <w:tc>
                <w:tcPr>
                  <w:tcW w:w="572" w:type="dxa"/>
                  <w:vAlign w:val="center"/>
                </w:tcPr>
                <w:p>
                  <w:pPr>
                    <w:widowControl/>
                    <w:spacing w:line="300" w:lineRule="exact"/>
                    <w:jc w:val="center"/>
                    <w:textAlignment w:val="center"/>
                    <w:rPr>
                      <w:sz w:val="18"/>
                      <w:szCs w:val="18"/>
                    </w:rPr>
                  </w:pPr>
                  <w:r>
                    <w:rPr>
                      <w:rFonts w:hint="eastAsia"/>
                      <w:sz w:val="18"/>
                      <w:szCs w:val="18"/>
                    </w:rPr>
                    <w:t>1.0</w:t>
                  </w:r>
                </w:p>
              </w:tc>
              <w:tc>
                <w:tcPr>
                  <w:tcW w:w="577" w:type="dxa"/>
                  <w:vAlign w:val="center"/>
                </w:tcPr>
                <w:p>
                  <w:pPr>
                    <w:widowControl/>
                    <w:spacing w:line="300" w:lineRule="exact"/>
                    <w:jc w:val="center"/>
                    <w:textAlignment w:val="center"/>
                    <w:rPr>
                      <w:sz w:val="18"/>
                      <w:szCs w:val="18"/>
                    </w:rPr>
                  </w:pPr>
                  <w:r>
                    <w:rPr>
                      <w:rFonts w:hint="eastAsia"/>
                      <w:sz w:val="18"/>
                      <w:szCs w:val="18"/>
                    </w:rPr>
                    <w:t>121</w:t>
                  </w:r>
                </w:p>
              </w:tc>
              <w:tc>
                <w:tcPr>
                  <w:tcW w:w="567" w:type="dxa"/>
                  <w:vAlign w:val="center"/>
                </w:tcPr>
                <w:p>
                  <w:pPr>
                    <w:widowControl/>
                    <w:spacing w:line="300" w:lineRule="exact"/>
                    <w:jc w:val="center"/>
                    <w:textAlignment w:val="center"/>
                    <w:rPr>
                      <w:sz w:val="18"/>
                      <w:szCs w:val="18"/>
                    </w:rPr>
                  </w:pPr>
                  <w:r>
                    <w:rPr>
                      <w:rFonts w:hint="eastAsia"/>
                      <w:sz w:val="18"/>
                      <w:szCs w:val="18"/>
                    </w:rPr>
                    <w:t>26</w:t>
                  </w:r>
                </w:p>
              </w:tc>
              <w:tc>
                <w:tcPr>
                  <w:tcW w:w="567" w:type="dxa"/>
                  <w:vAlign w:val="center"/>
                </w:tcPr>
                <w:p>
                  <w:pPr>
                    <w:widowControl/>
                    <w:spacing w:line="300" w:lineRule="exact"/>
                    <w:jc w:val="center"/>
                    <w:textAlignment w:val="center"/>
                    <w:rPr>
                      <w:sz w:val="18"/>
                      <w:szCs w:val="18"/>
                    </w:rPr>
                  </w:pPr>
                  <w:r>
                    <w:rPr>
                      <w:rFonts w:hint="eastAsia"/>
                      <w:sz w:val="18"/>
                      <w:szCs w:val="18"/>
                    </w:rPr>
                    <w:t>48</w:t>
                  </w:r>
                </w:p>
              </w:tc>
              <w:tc>
                <w:tcPr>
                  <w:tcW w:w="850" w:type="dxa"/>
                  <w:vAlign w:val="center"/>
                </w:tcPr>
                <w:p>
                  <w:pPr>
                    <w:widowControl/>
                    <w:spacing w:line="300" w:lineRule="exact"/>
                    <w:jc w:val="center"/>
                    <w:textAlignment w:val="center"/>
                    <w:rPr>
                      <w:sz w:val="18"/>
                      <w:szCs w:val="18"/>
                    </w:rPr>
                  </w:pPr>
                  <w:r>
                    <w:rPr>
                      <w:rFonts w:hint="eastAsia"/>
                      <w:sz w:val="18"/>
                      <w:szCs w:val="18"/>
                    </w:rPr>
                    <w:t>30</w:t>
                  </w:r>
                </w:p>
              </w:tc>
              <w:tc>
                <w:tcPr>
                  <w:tcW w:w="849" w:type="dxa"/>
                  <w:vAlign w:val="center"/>
                </w:tcPr>
                <w:p>
                  <w:pPr>
                    <w:widowControl/>
                    <w:spacing w:line="300" w:lineRule="exact"/>
                    <w:jc w:val="center"/>
                    <w:textAlignment w:val="center"/>
                    <w:rPr>
                      <w:sz w:val="18"/>
                      <w:szCs w:val="18"/>
                    </w:rPr>
                  </w:pPr>
                  <w:r>
                    <w:rPr>
                      <w:rFonts w:hint="eastAsia"/>
                      <w:sz w:val="18"/>
                      <w:szCs w:val="18"/>
                    </w:rPr>
                    <w:t>30</w:t>
                  </w:r>
                </w:p>
              </w:tc>
              <w:tc>
                <w:tcPr>
                  <w:tcW w:w="612" w:type="dxa"/>
                  <w:vAlign w:val="center"/>
                </w:tcPr>
                <w:p>
                  <w:pPr>
                    <w:widowControl/>
                    <w:spacing w:line="300" w:lineRule="exact"/>
                    <w:jc w:val="center"/>
                    <w:textAlignment w:val="center"/>
                    <w:rPr>
                      <w:sz w:val="18"/>
                      <w:szCs w:val="18"/>
                    </w:rPr>
                  </w:pPr>
                  <w:r>
                    <w:rPr>
                      <w:rFonts w:hint="eastAsia"/>
                      <w:sz w:val="18"/>
                      <w:szCs w:val="18"/>
                    </w:rPr>
                    <w:t>100</w:t>
                  </w:r>
                </w:p>
              </w:tc>
              <w:tc>
                <w:tcPr>
                  <w:tcW w:w="874" w:type="dxa"/>
                  <w:vAlign w:val="center"/>
                </w:tcPr>
                <w:p>
                  <w:pPr>
                    <w:widowControl/>
                    <w:spacing w:line="300" w:lineRule="exact"/>
                    <w:jc w:val="center"/>
                    <w:textAlignment w:val="center"/>
                    <w:rPr>
                      <w:sz w:val="18"/>
                      <w:szCs w:val="18"/>
                    </w:rPr>
                  </w:pPr>
                  <w:r>
                    <w:rPr>
                      <w:rFonts w:hint="eastAsia"/>
                      <w:sz w:val="18"/>
                      <w:szCs w:val="18"/>
                    </w:rPr>
                    <w:t>0</w:t>
                  </w:r>
                </w:p>
              </w:tc>
              <w:tc>
                <w:tcPr>
                  <w:tcW w:w="805" w:type="dxa"/>
                  <w:vAlign w:val="center"/>
                </w:tcPr>
                <w:p>
                  <w:pPr>
                    <w:widowControl/>
                    <w:spacing w:line="300" w:lineRule="exact"/>
                    <w:jc w:val="center"/>
                    <w:textAlignment w:val="center"/>
                    <w:rPr>
                      <w:sz w:val="18"/>
                      <w:szCs w:val="18"/>
                    </w:rPr>
                  </w:pPr>
                  <w:r>
                    <w:rPr>
                      <w:rFonts w:hint="eastAsia"/>
                      <w:sz w:val="18"/>
                      <w:szCs w:val="18"/>
                    </w:rPr>
                    <w:t>2.99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 w:hRule="atLeast"/>
                <w:jc w:val="center"/>
              </w:trPr>
              <w:tc>
                <w:tcPr>
                  <w:tcW w:w="628" w:type="dxa"/>
                  <w:vAlign w:val="center"/>
                </w:tcPr>
                <w:p>
                  <w:pPr>
                    <w:widowControl/>
                    <w:spacing w:line="300" w:lineRule="exact"/>
                    <w:jc w:val="center"/>
                    <w:textAlignment w:val="center"/>
                    <w:rPr>
                      <w:sz w:val="18"/>
                      <w:szCs w:val="18"/>
                    </w:rPr>
                  </w:pPr>
                  <w:r>
                    <w:rPr>
                      <w:sz w:val="18"/>
                      <w:szCs w:val="18"/>
                    </w:rPr>
                    <w:t>10</w:t>
                  </w:r>
                  <w:r>
                    <w:rPr>
                      <w:rFonts w:ascii="宋体" w:hAnsi="宋体"/>
                      <w:sz w:val="18"/>
                      <w:szCs w:val="18"/>
                    </w:rPr>
                    <w:t>月</w:t>
                  </w:r>
                </w:p>
              </w:tc>
              <w:tc>
                <w:tcPr>
                  <w:tcW w:w="552" w:type="dxa"/>
                  <w:vAlign w:val="center"/>
                </w:tcPr>
                <w:p>
                  <w:pPr>
                    <w:widowControl/>
                    <w:spacing w:line="300" w:lineRule="exact"/>
                    <w:jc w:val="center"/>
                    <w:textAlignment w:val="center"/>
                    <w:rPr>
                      <w:sz w:val="18"/>
                      <w:szCs w:val="18"/>
                    </w:rPr>
                  </w:pPr>
                  <w:r>
                    <w:rPr>
                      <w:rFonts w:hint="eastAsia"/>
                      <w:sz w:val="18"/>
                      <w:szCs w:val="18"/>
                    </w:rPr>
                    <w:t>6</w:t>
                  </w:r>
                </w:p>
              </w:tc>
              <w:tc>
                <w:tcPr>
                  <w:tcW w:w="530" w:type="dxa"/>
                  <w:vAlign w:val="center"/>
                </w:tcPr>
                <w:p>
                  <w:pPr>
                    <w:widowControl/>
                    <w:spacing w:line="300" w:lineRule="exact"/>
                    <w:jc w:val="center"/>
                    <w:textAlignment w:val="center"/>
                    <w:rPr>
                      <w:sz w:val="18"/>
                      <w:szCs w:val="18"/>
                    </w:rPr>
                  </w:pPr>
                  <w:r>
                    <w:rPr>
                      <w:rFonts w:hint="eastAsia"/>
                      <w:sz w:val="18"/>
                      <w:szCs w:val="18"/>
                    </w:rPr>
                    <w:t>22</w:t>
                  </w:r>
                </w:p>
              </w:tc>
              <w:tc>
                <w:tcPr>
                  <w:tcW w:w="572" w:type="dxa"/>
                  <w:vAlign w:val="center"/>
                </w:tcPr>
                <w:p>
                  <w:pPr>
                    <w:widowControl/>
                    <w:spacing w:line="300" w:lineRule="exact"/>
                    <w:jc w:val="center"/>
                    <w:textAlignment w:val="center"/>
                    <w:rPr>
                      <w:sz w:val="18"/>
                      <w:szCs w:val="18"/>
                    </w:rPr>
                  </w:pPr>
                  <w:r>
                    <w:rPr>
                      <w:rFonts w:hint="eastAsia"/>
                      <w:sz w:val="18"/>
                      <w:szCs w:val="18"/>
                    </w:rPr>
                    <w:t>1.0</w:t>
                  </w:r>
                </w:p>
              </w:tc>
              <w:tc>
                <w:tcPr>
                  <w:tcW w:w="577" w:type="dxa"/>
                  <w:vAlign w:val="center"/>
                </w:tcPr>
                <w:p>
                  <w:pPr>
                    <w:widowControl/>
                    <w:spacing w:line="300" w:lineRule="exact"/>
                    <w:jc w:val="center"/>
                    <w:textAlignment w:val="center"/>
                    <w:rPr>
                      <w:sz w:val="18"/>
                      <w:szCs w:val="18"/>
                    </w:rPr>
                  </w:pPr>
                  <w:r>
                    <w:rPr>
                      <w:rFonts w:hint="eastAsia"/>
                      <w:sz w:val="18"/>
                      <w:szCs w:val="18"/>
                    </w:rPr>
                    <w:t>122</w:t>
                  </w:r>
                </w:p>
              </w:tc>
              <w:tc>
                <w:tcPr>
                  <w:tcW w:w="567" w:type="dxa"/>
                  <w:vAlign w:val="center"/>
                </w:tcPr>
                <w:p>
                  <w:pPr>
                    <w:widowControl/>
                    <w:spacing w:line="300" w:lineRule="exact"/>
                    <w:jc w:val="center"/>
                    <w:textAlignment w:val="center"/>
                    <w:rPr>
                      <w:sz w:val="18"/>
                      <w:szCs w:val="18"/>
                    </w:rPr>
                  </w:pPr>
                  <w:r>
                    <w:rPr>
                      <w:rFonts w:hint="eastAsia"/>
                      <w:sz w:val="18"/>
                      <w:szCs w:val="18"/>
                    </w:rPr>
                    <w:t>35</w:t>
                  </w:r>
                </w:p>
              </w:tc>
              <w:tc>
                <w:tcPr>
                  <w:tcW w:w="567" w:type="dxa"/>
                  <w:vAlign w:val="center"/>
                </w:tcPr>
                <w:p>
                  <w:pPr>
                    <w:widowControl/>
                    <w:spacing w:line="300" w:lineRule="exact"/>
                    <w:jc w:val="center"/>
                    <w:textAlignment w:val="center"/>
                    <w:rPr>
                      <w:sz w:val="18"/>
                      <w:szCs w:val="18"/>
                    </w:rPr>
                  </w:pPr>
                  <w:r>
                    <w:rPr>
                      <w:rFonts w:hint="eastAsia"/>
                      <w:sz w:val="18"/>
                      <w:szCs w:val="18"/>
                    </w:rPr>
                    <w:t>52</w:t>
                  </w:r>
                </w:p>
              </w:tc>
              <w:tc>
                <w:tcPr>
                  <w:tcW w:w="850" w:type="dxa"/>
                  <w:vAlign w:val="center"/>
                </w:tcPr>
                <w:p>
                  <w:pPr>
                    <w:widowControl/>
                    <w:spacing w:line="300" w:lineRule="exact"/>
                    <w:jc w:val="center"/>
                    <w:textAlignment w:val="center"/>
                    <w:rPr>
                      <w:sz w:val="18"/>
                      <w:szCs w:val="18"/>
                    </w:rPr>
                  </w:pPr>
                  <w:r>
                    <w:rPr>
                      <w:rFonts w:hint="eastAsia"/>
                      <w:sz w:val="18"/>
                      <w:szCs w:val="18"/>
                    </w:rPr>
                    <w:t>31</w:t>
                  </w:r>
                </w:p>
              </w:tc>
              <w:tc>
                <w:tcPr>
                  <w:tcW w:w="849" w:type="dxa"/>
                  <w:vAlign w:val="center"/>
                </w:tcPr>
                <w:p>
                  <w:pPr>
                    <w:widowControl/>
                    <w:spacing w:line="300" w:lineRule="exact"/>
                    <w:jc w:val="center"/>
                    <w:textAlignment w:val="center"/>
                    <w:rPr>
                      <w:sz w:val="18"/>
                      <w:szCs w:val="18"/>
                    </w:rPr>
                  </w:pPr>
                  <w:r>
                    <w:rPr>
                      <w:rFonts w:hint="eastAsia"/>
                      <w:sz w:val="18"/>
                      <w:szCs w:val="18"/>
                    </w:rPr>
                    <w:t>29</w:t>
                  </w:r>
                </w:p>
              </w:tc>
              <w:tc>
                <w:tcPr>
                  <w:tcW w:w="612" w:type="dxa"/>
                  <w:vAlign w:val="center"/>
                </w:tcPr>
                <w:p>
                  <w:pPr>
                    <w:widowControl/>
                    <w:spacing w:line="300" w:lineRule="exact"/>
                    <w:jc w:val="center"/>
                    <w:textAlignment w:val="center"/>
                    <w:rPr>
                      <w:sz w:val="18"/>
                      <w:szCs w:val="18"/>
                    </w:rPr>
                  </w:pPr>
                  <w:r>
                    <w:rPr>
                      <w:rFonts w:hint="eastAsia"/>
                      <w:sz w:val="18"/>
                      <w:szCs w:val="18"/>
                    </w:rPr>
                    <w:t>93.5</w:t>
                  </w:r>
                </w:p>
              </w:tc>
              <w:tc>
                <w:tcPr>
                  <w:tcW w:w="874" w:type="dxa"/>
                  <w:vAlign w:val="center"/>
                </w:tcPr>
                <w:p>
                  <w:pPr>
                    <w:widowControl/>
                    <w:spacing w:line="300" w:lineRule="exact"/>
                    <w:jc w:val="center"/>
                    <w:textAlignment w:val="center"/>
                    <w:rPr>
                      <w:sz w:val="18"/>
                      <w:szCs w:val="18"/>
                    </w:rPr>
                  </w:pPr>
                  <w:r>
                    <w:rPr>
                      <w:rFonts w:hint="eastAsia"/>
                      <w:sz w:val="18"/>
                      <w:szCs w:val="18"/>
                    </w:rPr>
                    <w:t>-6.5</w:t>
                  </w:r>
                </w:p>
              </w:tc>
              <w:tc>
                <w:tcPr>
                  <w:tcW w:w="805" w:type="dxa"/>
                  <w:vAlign w:val="center"/>
                </w:tcPr>
                <w:p>
                  <w:pPr>
                    <w:widowControl/>
                    <w:spacing w:line="300" w:lineRule="exact"/>
                    <w:jc w:val="center"/>
                    <w:textAlignment w:val="center"/>
                    <w:rPr>
                      <w:sz w:val="18"/>
                      <w:szCs w:val="18"/>
                    </w:rPr>
                  </w:pPr>
                  <w:r>
                    <w:rPr>
                      <w:rFonts w:hint="eastAsia"/>
                      <w:sz w:val="18"/>
                      <w:szCs w:val="18"/>
                    </w:rPr>
                    <w:t>3.40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 w:hRule="atLeast"/>
                <w:jc w:val="center"/>
              </w:trPr>
              <w:tc>
                <w:tcPr>
                  <w:tcW w:w="628" w:type="dxa"/>
                  <w:vAlign w:val="center"/>
                </w:tcPr>
                <w:p>
                  <w:pPr>
                    <w:widowControl/>
                    <w:spacing w:line="300" w:lineRule="exact"/>
                    <w:jc w:val="center"/>
                    <w:textAlignment w:val="center"/>
                    <w:rPr>
                      <w:sz w:val="18"/>
                      <w:szCs w:val="18"/>
                    </w:rPr>
                  </w:pPr>
                  <w:r>
                    <w:rPr>
                      <w:sz w:val="18"/>
                      <w:szCs w:val="18"/>
                    </w:rPr>
                    <w:t>11</w:t>
                  </w:r>
                  <w:r>
                    <w:rPr>
                      <w:rFonts w:ascii="宋体" w:hAnsi="宋体"/>
                      <w:sz w:val="18"/>
                      <w:szCs w:val="18"/>
                    </w:rPr>
                    <w:t>月</w:t>
                  </w:r>
                </w:p>
              </w:tc>
              <w:tc>
                <w:tcPr>
                  <w:tcW w:w="552" w:type="dxa"/>
                  <w:vAlign w:val="center"/>
                </w:tcPr>
                <w:p>
                  <w:pPr>
                    <w:widowControl/>
                    <w:spacing w:line="300" w:lineRule="exact"/>
                    <w:jc w:val="center"/>
                    <w:textAlignment w:val="center"/>
                    <w:rPr>
                      <w:sz w:val="18"/>
                      <w:szCs w:val="18"/>
                    </w:rPr>
                  </w:pPr>
                  <w:r>
                    <w:rPr>
                      <w:rFonts w:hint="eastAsia"/>
                      <w:sz w:val="18"/>
                      <w:szCs w:val="18"/>
                    </w:rPr>
                    <w:t>6</w:t>
                  </w:r>
                </w:p>
              </w:tc>
              <w:tc>
                <w:tcPr>
                  <w:tcW w:w="530" w:type="dxa"/>
                  <w:vAlign w:val="center"/>
                </w:tcPr>
                <w:p>
                  <w:pPr>
                    <w:widowControl/>
                    <w:spacing w:line="300" w:lineRule="exact"/>
                    <w:jc w:val="center"/>
                    <w:textAlignment w:val="center"/>
                    <w:rPr>
                      <w:sz w:val="18"/>
                      <w:szCs w:val="18"/>
                    </w:rPr>
                  </w:pPr>
                  <w:r>
                    <w:rPr>
                      <w:rFonts w:hint="eastAsia"/>
                      <w:sz w:val="18"/>
                      <w:szCs w:val="18"/>
                    </w:rPr>
                    <w:t>23</w:t>
                  </w:r>
                </w:p>
              </w:tc>
              <w:tc>
                <w:tcPr>
                  <w:tcW w:w="572" w:type="dxa"/>
                  <w:vAlign w:val="center"/>
                </w:tcPr>
                <w:p>
                  <w:pPr>
                    <w:widowControl/>
                    <w:spacing w:line="300" w:lineRule="exact"/>
                    <w:jc w:val="center"/>
                    <w:textAlignment w:val="center"/>
                    <w:rPr>
                      <w:sz w:val="18"/>
                      <w:szCs w:val="18"/>
                    </w:rPr>
                  </w:pPr>
                  <w:r>
                    <w:rPr>
                      <w:rFonts w:hint="eastAsia"/>
                      <w:sz w:val="18"/>
                      <w:szCs w:val="18"/>
                    </w:rPr>
                    <w:t>1.2</w:t>
                  </w:r>
                </w:p>
              </w:tc>
              <w:tc>
                <w:tcPr>
                  <w:tcW w:w="577" w:type="dxa"/>
                  <w:vAlign w:val="center"/>
                </w:tcPr>
                <w:p>
                  <w:pPr>
                    <w:widowControl/>
                    <w:spacing w:line="300" w:lineRule="exact"/>
                    <w:jc w:val="center"/>
                    <w:textAlignment w:val="center"/>
                    <w:rPr>
                      <w:sz w:val="18"/>
                      <w:szCs w:val="18"/>
                    </w:rPr>
                  </w:pPr>
                  <w:r>
                    <w:rPr>
                      <w:rFonts w:hint="eastAsia"/>
                      <w:sz w:val="18"/>
                      <w:szCs w:val="18"/>
                    </w:rPr>
                    <w:t>77</w:t>
                  </w:r>
                </w:p>
              </w:tc>
              <w:tc>
                <w:tcPr>
                  <w:tcW w:w="567" w:type="dxa"/>
                  <w:vAlign w:val="center"/>
                </w:tcPr>
                <w:p>
                  <w:pPr>
                    <w:widowControl/>
                    <w:spacing w:line="300" w:lineRule="exact"/>
                    <w:jc w:val="center"/>
                    <w:textAlignment w:val="center"/>
                    <w:rPr>
                      <w:sz w:val="18"/>
                      <w:szCs w:val="18"/>
                    </w:rPr>
                  </w:pPr>
                  <w:r>
                    <w:rPr>
                      <w:rFonts w:hint="eastAsia"/>
                      <w:sz w:val="18"/>
                      <w:szCs w:val="18"/>
                    </w:rPr>
                    <w:t>35</w:t>
                  </w:r>
                </w:p>
              </w:tc>
              <w:tc>
                <w:tcPr>
                  <w:tcW w:w="567" w:type="dxa"/>
                  <w:vAlign w:val="center"/>
                </w:tcPr>
                <w:p>
                  <w:pPr>
                    <w:widowControl/>
                    <w:spacing w:line="300" w:lineRule="exact"/>
                    <w:jc w:val="center"/>
                    <w:textAlignment w:val="center"/>
                    <w:rPr>
                      <w:sz w:val="18"/>
                      <w:szCs w:val="18"/>
                    </w:rPr>
                  </w:pPr>
                  <w:r>
                    <w:rPr>
                      <w:rFonts w:hint="eastAsia"/>
                      <w:sz w:val="18"/>
                      <w:szCs w:val="18"/>
                    </w:rPr>
                    <w:t>52</w:t>
                  </w:r>
                </w:p>
              </w:tc>
              <w:tc>
                <w:tcPr>
                  <w:tcW w:w="850" w:type="dxa"/>
                  <w:vAlign w:val="center"/>
                </w:tcPr>
                <w:p>
                  <w:pPr>
                    <w:widowControl/>
                    <w:spacing w:line="300" w:lineRule="exact"/>
                    <w:jc w:val="center"/>
                    <w:textAlignment w:val="center"/>
                    <w:rPr>
                      <w:sz w:val="18"/>
                      <w:szCs w:val="18"/>
                    </w:rPr>
                  </w:pPr>
                  <w:r>
                    <w:rPr>
                      <w:rFonts w:hint="eastAsia"/>
                      <w:sz w:val="18"/>
                      <w:szCs w:val="18"/>
                    </w:rPr>
                    <w:t>30</w:t>
                  </w:r>
                </w:p>
              </w:tc>
              <w:tc>
                <w:tcPr>
                  <w:tcW w:w="849" w:type="dxa"/>
                  <w:vAlign w:val="center"/>
                </w:tcPr>
                <w:p>
                  <w:pPr>
                    <w:widowControl/>
                    <w:spacing w:line="300" w:lineRule="exact"/>
                    <w:jc w:val="center"/>
                    <w:textAlignment w:val="center"/>
                    <w:rPr>
                      <w:sz w:val="18"/>
                      <w:szCs w:val="18"/>
                    </w:rPr>
                  </w:pPr>
                  <w:r>
                    <w:rPr>
                      <w:rFonts w:hint="eastAsia"/>
                      <w:sz w:val="18"/>
                      <w:szCs w:val="18"/>
                    </w:rPr>
                    <w:t>30</w:t>
                  </w:r>
                </w:p>
              </w:tc>
              <w:tc>
                <w:tcPr>
                  <w:tcW w:w="612" w:type="dxa"/>
                  <w:vAlign w:val="center"/>
                </w:tcPr>
                <w:p>
                  <w:pPr>
                    <w:widowControl/>
                    <w:spacing w:line="300" w:lineRule="exact"/>
                    <w:jc w:val="center"/>
                    <w:textAlignment w:val="center"/>
                    <w:rPr>
                      <w:sz w:val="18"/>
                      <w:szCs w:val="18"/>
                    </w:rPr>
                  </w:pPr>
                  <w:r>
                    <w:rPr>
                      <w:rFonts w:hint="eastAsia"/>
                      <w:sz w:val="18"/>
                      <w:szCs w:val="18"/>
                    </w:rPr>
                    <w:t>100</w:t>
                  </w:r>
                </w:p>
              </w:tc>
              <w:tc>
                <w:tcPr>
                  <w:tcW w:w="874" w:type="dxa"/>
                  <w:vAlign w:val="center"/>
                </w:tcPr>
                <w:p>
                  <w:pPr>
                    <w:widowControl/>
                    <w:spacing w:line="300" w:lineRule="exact"/>
                    <w:jc w:val="center"/>
                    <w:textAlignment w:val="center"/>
                    <w:rPr>
                      <w:sz w:val="18"/>
                      <w:szCs w:val="18"/>
                    </w:rPr>
                  </w:pPr>
                  <w:r>
                    <w:rPr>
                      <w:rFonts w:hint="eastAsia"/>
                      <w:sz w:val="18"/>
                      <w:szCs w:val="18"/>
                    </w:rPr>
                    <w:t>20.0</w:t>
                  </w:r>
                </w:p>
              </w:tc>
              <w:tc>
                <w:tcPr>
                  <w:tcW w:w="805" w:type="dxa"/>
                  <w:vAlign w:val="center"/>
                </w:tcPr>
                <w:p>
                  <w:pPr>
                    <w:widowControl/>
                    <w:spacing w:line="300" w:lineRule="exact"/>
                    <w:jc w:val="center"/>
                    <w:textAlignment w:val="center"/>
                    <w:rPr>
                      <w:sz w:val="18"/>
                      <w:szCs w:val="18"/>
                    </w:rPr>
                  </w:pPr>
                  <w:r>
                    <w:rPr>
                      <w:rFonts w:hint="eastAsia"/>
                      <w:sz w:val="18"/>
                      <w:szCs w:val="18"/>
                    </w:rPr>
                    <w:t>3.20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 w:hRule="atLeast"/>
                <w:jc w:val="center"/>
              </w:trPr>
              <w:tc>
                <w:tcPr>
                  <w:tcW w:w="628" w:type="dxa"/>
                  <w:vAlign w:val="center"/>
                </w:tcPr>
                <w:p>
                  <w:pPr>
                    <w:widowControl/>
                    <w:spacing w:line="300" w:lineRule="exact"/>
                    <w:jc w:val="center"/>
                    <w:textAlignment w:val="center"/>
                    <w:rPr>
                      <w:sz w:val="18"/>
                      <w:szCs w:val="18"/>
                    </w:rPr>
                  </w:pPr>
                  <w:r>
                    <w:rPr>
                      <w:sz w:val="18"/>
                      <w:szCs w:val="18"/>
                    </w:rPr>
                    <w:t>12</w:t>
                  </w:r>
                  <w:r>
                    <w:rPr>
                      <w:rFonts w:ascii="宋体" w:hAnsi="宋体"/>
                      <w:sz w:val="18"/>
                      <w:szCs w:val="18"/>
                    </w:rPr>
                    <w:t>月</w:t>
                  </w:r>
                </w:p>
              </w:tc>
              <w:tc>
                <w:tcPr>
                  <w:tcW w:w="552" w:type="dxa"/>
                </w:tcPr>
                <w:p>
                  <w:pPr>
                    <w:widowControl/>
                    <w:spacing w:line="300" w:lineRule="exact"/>
                    <w:jc w:val="center"/>
                    <w:textAlignment w:val="center"/>
                    <w:rPr>
                      <w:sz w:val="18"/>
                      <w:szCs w:val="18"/>
                    </w:rPr>
                  </w:pPr>
                  <w:r>
                    <w:rPr>
                      <w:rFonts w:hint="eastAsia"/>
                      <w:sz w:val="18"/>
                      <w:szCs w:val="18"/>
                    </w:rPr>
                    <w:t>5</w:t>
                  </w:r>
                </w:p>
              </w:tc>
              <w:tc>
                <w:tcPr>
                  <w:tcW w:w="530" w:type="dxa"/>
                </w:tcPr>
                <w:p>
                  <w:pPr>
                    <w:widowControl/>
                    <w:spacing w:line="300" w:lineRule="exact"/>
                    <w:jc w:val="center"/>
                    <w:textAlignment w:val="center"/>
                    <w:rPr>
                      <w:sz w:val="18"/>
                      <w:szCs w:val="18"/>
                    </w:rPr>
                  </w:pPr>
                  <w:r>
                    <w:rPr>
                      <w:rFonts w:hint="eastAsia"/>
                      <w:sz w:val="18"/>
                      <w:szCs w:val="18"/>
                    </w:rPr>
                    <w:t>27</w:t>
                  </w:r>
                </w:p>
              </w:tc>
              <w:tc>
                <w:tcPr>
                  <w:tcW w:w="572" w:type="dxa"/>
                </w:tcPr>
                <w:p>
                  <w:pPr>
                    <w:widowControl/>
                    <w:spacing w:line="300" w:lineRule="exact"/>
                    <w:jc w:val="center"/>
                    <w:textAlignment w:val="center"/>
                    <w:rPr>
                      <w:sz w:val="18"/>
                      <w:szCs w:val="18"/>
                    </w:rPr>
                  </w:pPr>
                  <w:r>
                    <w:rPr>
                      <w:rFonts w:hint="eastAsia"/>
                      <w:sz w:val="18"/>
                      <w:szCs w:val="18"/>
                    </w:rPr>
                    <w:t>1.4</w:t>
                  </w:r>
                </w:p>
              </w:tc>
              <w:tc>
                <w:tcPr>
                  <w:tcW w:w="577" w:type="dxa"/>
                </w:tcPr>
                <w:p>
                  <w:pPr>
                    <w:widowControl/>
                    <w:spacing w:line="300" w:lineRule="exact"/>
                    <w:jc w:val="center"/>
                    <w:textAlignment w:val="center"/>
                    <w:rPr>
                      <w:sz w:val="18"/>
                      <w:szCs w:val="18"/>
                    </w:rPr>
                  </w:pPr>
                  <w:r>
                    <w:rPr>
                      <w:rFonts w:hint="eastAsia"/>
                      <w:sz w:val="18"/>
                      <w:szCs w:val="18"/>
                    </w:rPr>
                    <w:t>66</w:t>
                  </w:r>
                </w:p>
              </w:tc>
              <w:tc>
                <w:tcPr>
                  <w:tcW w:w="567" w:type="dxa"/>
                </w:tcPr>
                <w:p>
                  <w:pPr>
                    <w:widowControl/>
                    <w:spacing w:line="300" w:lineRule="exact"/>
                    <w:jc w:val="center"/>
                    <w:textAlignment w:val="center"/>
                    <w:rPr>
                      <w:sz w:val="18"/>
                      <w:szCs w:val="18"/>
                    </w:rPr>
                  </w:pPr>
                  <w:r>
                    <w:rPr>
                      <w:rFonts w:hint="eastAsia"/>
                      <w:sz w:val="18"/>
                      <w:szCs w:val="18"/>
                    </w:rPr>
                    <w:t>74</w:t>
                  </w:r>
                </w:p>
              </w:tc>
              <w:tc>
                <w:tcPr>
                  <w:tcW w:w="567" w:type="dxa"/>
                </w:tcPr>
                <w:p>
                  <w:pPr>
                    <w:widowControl/>
                    <w:spacing w:line="300" w:lineRule="exact"/>
                    <w:jc w:val="center"/>
                    <w:textAlignment w:val="center"/>
                    <w:rPr>
                      <w:sz w:val="18"/>
                      <w:szCs w:val="18"/>
                    </w:rPr>
                  </w:pPr>
                  <w:r>
                    <w:rPr>
                      <w:rFonts w:hint="eastAsia"/>
                      <w:sz w:val="18"/>
                      <w:szCs w:val="18"/>
                    </w:rPr>
                    <w:t>92</w:t>
                  </w:r>
                </w:p>
              </w:tc>
              <w:tc>
                <w:tcPr>
                  <w:tcW w:w="850" w:type="dxa"/>
                  <w:vAlign w:val="center"/>
                </w:tcPr>
                <w:p>
                  <w:pPr>
                    <w:widowControl/>
                    <w:spacing w:line="300" w:lineRule="exact"/>
                    <w:jc w:val="center"/>
                    <w:textAlignment w:val="center"/>
                    <w:rPr>
                      <w:sz w:val="18"/>
                      <w:szCs w:val="18"/>
                    </w:rPr>
                  </w:pPr>
                  <w:r>
                    <w:rPr>
                      <w:rFonts w:hint="eastAsia"/>
                      <w:sz w:val="18"/>
                      <w:szCs w:val="18"/>
                    </w:rPr>
                    <w:t>31</w:t>
                  </w:r>
                </w:p>
              </w:tc>
              <w:tc>
                <w:tcPr>
                  <w:tcW w:w="849" w:type="dxa"/>
                </w:tcPr>
                <w:p>
                  <w:pPr>
                    <w:widowControl/>
                    <w:spacing w:line="300" w:lineRule="exact"/>
                    <w:jc w:val="center"/>
                    <w:textAlignment w:val="center"/>
                    <w:rPr>
                      <w:sz w:val="18"/>
                      <w:szCs w:val="18"/>
                    </w:rPr>
                  </w:pPr>
                  <w:r>
                    <w:rPr>
                      <w:rFonts w:hint="eastAsia"/>
                      <w:sz w:val="18"/>
                      <w:szCs w:val="18"/>
                    </w:rPr>
                    <w:t>17</w:t>
                  </w:r>
                </w:p>
              </w:tc>
              <w:tc>
                <w:tcPr>
                  <w:tcW w:w="612" w:type="dxa"/>
                </w:tcPr>
                <w:p>
                  <w:pPr>
                    <w:widowControl/>
                    <w:spacing w:line="300" w:lineRule="exact"/>
                    <w:jc w:val="center"/>
                    <w:textAlignment w:val="center"/>
                    <w:rPr>
                      <w:sz w:val="18"/>
                      <w:szCs w:val="18"/>
                    </w:rPr>
                  </w:pPr>
                  <w:r>
                    <w:rPr>
                      <w:rFonts w:hint="eastAsia"/>
                      <w:sz w:val="18"/>
                      <w:szCs w:val="18"/>
                    </w:rPr>
                    <w:t>54.8</w:t>
                  </w:r>
                </w:p>
              </w:tc>
              <w:tc>
                <w:tcPr>
                  <w:tcW w:w="874" w:type="dxa"/>
                </w:tcPr>
                <w:p>
                  <w:pPr>
                    <w:widowControl/>
                    <w:spacing w:line="300" w:lineRule="exact"/>
                    <w:jc w:val="center"/>
                    <w:textAlignment w:val="center"/>
                    <w:rPr>
                      <w:sz w:val="18"/>
                      <w:szCs w:val="18"/>
                    </w:rPr>
                  </w:pPr>
                  <w:r>
                    <w:rPr>
                      <w:rFonts w:hint="eastAsia"/>
                      <w:sz w:val="18"/>
                      <w:szCs w:val="18"/>
                    </w:rPr>
                    <w:t>-9.7</w:t>
                  </w:r>
                </w:p>
              </w:tc>
              <w:tc>
                <w:tcPr>
                  <w:tcW w:w="805" w:type="dxa"/>
                  <w:vAlign w:val="center"/>
                </w:tcPr>
                <w:p>
                  <w:pPr>
                    <w:widowControl/>
                    <w:spacing w:line="300" w:lineRule="exact"/>
                    <w:jc w:val="center"/>
                    <w:textAlignment w:val="center"/>
                    <w:rPr>
                      <w:sz w:val="18"/>
                      <w:szCs w:val="18"/>
                    </w:rPr>
                  </w:pPr>
                  <w:r>
                    <w:rPr>
                      <w:rFonts w:hint="eastAsia"/>
                      <w:sz w:val="18"/>
                      <w:szCs w:val="18"/>
                    </w:rPr>
                    <w:t>4.94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 w:hRule="atLeast"/>
                <w:jc w:val="center"/>
              </w:trPr>
              <w:tc>
                <w:tcPr>
                  <w:tcW w:w="628" w:type="dxa"/>
                  <w:vAlign w:val="center"/>
                </w:tcPr>
                <w:p>
                  <w:pPr>
                    <w:pStyle w:val="18"/>
                    <w:autoSpaceDE w:val="0"/>
                    <w:spacing w:before="0" w:beforeAutospacing="0" w:after="0" w:afterAutospacing="0" w:line="300" w:lineRule="exact"/>
                    <w:jc w:val="center"/>
                    <w:rPr>
                      <w:rFonts w:ascii="Times New Roman" w:hAnsi="Times New Roman"/>
                      <w:sz w:val="18"/>
                      <w:szCs w:val="18"/>
                    </w:rPr>
                  </w:pPr>
                  <w:r>
                    <w:rPr>
                      <w:sz w:val="18"/>
                      <w:szCs w:val="18"/>
                    </w:rPr>
                    <w:t>平均值</w:t>
                  </w:r>
                </w:p>
              </w:tc>
              <w:tc>
                <w:tcPr>
                  <w:tcW w:w="552" w:type="dxa"/>
                  <w:vAlign w:val="center"/>
                </w:tcPr>
                <w:p>
                  <w:pPr>
                    <w:widowControl/>
                    <w:spacing w:line="300" w:lineRule="exact"/>
                    <w:jc w:val="center"/>
                    <w:textAlignment w:val="center"/>
                    <w:rPr>
                      <w:sz w:val="18"/>
                      <w:szCs w:val="18"/>
                    </w:rPr>
                  </w:pPr>
                  <w:r>
                    <w:rPr>
                      <w:rFonts w:hint="eastAsia"/>
                      <w:sz w:val="18"/>
                      <w:szCs w:val="18"/>
                    </w:rPr>
                    <w:t>7</w:t>
                  </w:r>
                </w:p>
              </w:tc>
              <w:tc>
                <w:tcPr>
                  <w:tcW w:w="530" w:type="dxa"/>
                  <w:vAlign w:val="center"/>
                </w:tcPr>
                <w:p>
                  <w:pPr>
                    <w:widowControl/>
                    <w:spacing w:line="300" w:lineRule="exact"/>
                    <w:jc w:val="center"/>
                    <w:textAlignment w:val="center"/>
                    <w:rPr>
                      <w:sz w:val="18"/>
                      <w:szCs w:val="18"/>
                    </w:rPr>
                  </w:pPr>
                  <w:r>
                    <w:rPr>
                      <w:rFonts w:hint="eastAsia"/>
                      <w:sz w:val="18"/>
                      <w:szCs w:val="18"/>
                    </w:rPr>
                    <w:t>20</w:t>
                  </w:r>
                </w:p>
              </w:tc>
              <w:tc>
                <w:tcPr>
                  <w:tcW w:w="572" w:type="dxa"/>
                  <w:vAlign w:val="center"/>
                </w:tcPr>
                <w:p>
                  <w:pPr>
                    <w:widowControl/>
                    <w:spacing w:line="300" w:lineRule="exact"/>
                    <w:jc w:val="center"/>
                    <w:textAlignment w:val="center"/>
                    <w:rPr>
                      <w:sz w:val="18"/>
                      <w:szCs w:val="18"/>
                    </w:rPr>
                  </w:pPr>
                  <w:r>
                    <w:rPr>
                      <w:rFonts w:hint="eastAsia"/>
                      <w:sz w:val="18"/>
                      <w:szCs w:val="18"/>
                    </w:rPr>
                    <w:t>1.0</w:t>
                  </w:r>
                </w:p>
              </w:tc>
              <w:tc>
                <w:tcPr>
                  <w:tcW w:w="577" w:type="dxa"/>
                  <w:vAlign w:val="center"/>
                </w:tcPr>
                <w:p>
                  <w:pPr>
                    <w:widowControl/>
                    <w:spacing w:line="300" w:lineRule="exact"/>
                    <w:jc w:val="center"/>
                    <w:textAlignment w:val="center"/>
                    <w:rPr>
                      <w:sz w:val="18"/>
                      <w:szCs w:val="18"/>
                    </w:rPr>
                  </w:pPr>
                  <w:r>
                    <w:rPr>
                      <w:rFonts w:hint="eastAsia"/>
                      <w:sz w:val="18"/>
                      <w:szCs w:val="18"/>
                    </w:rPr>
                    <w:t>108</w:t>
                  </w:r>
                </w:p>
              </w:tc>
              <w:tc>
                <w:tcPr>
                  <w:tcW w:w="567" w:type="dxa"/>
                  <w:vAlign w:val="center"/>
                </w:tcPr>
                <w:p>
                  <w:pPr>
                    <w:widowControl/>
                    <w:spacing w:line="300" w:lineRule="exact"/>
                    <w:jc w:val="center"/>
                    <w:textAlignment w:val="center"/>
                    <w:rPr>
                      <w:sz w:val="18"/>
                      <w:szCs w:val="18"/>
                    </w:rPr>
                  </w:pPr>
                  <w:r>
                    <w:rPr>
                      <w:rFonts w:hint="eastAsia"/>
                      <w:sz w:val="18"/>
                      <w:szCs w:val="18"/>
                    </w:rPr>
                    <w:t>33</w:t>
                  </w:r>
                </w:p>
              </w:tc>
              <w:tc>
                <w:tcPr>
                  <w:tcW w:w="567" w:type="dxa"/>
                  <w:vAlign w:val="center"/>
                </w:tcPr>
                <w:p>
                  <w:pPr>
                    <w:widowControl/>
                    <w:spacing w:line="300" w:lineRule="exact"/>
                    <w:jc w:val="center"/>
                    <w:textAlignment w:val="center"/>
                    <w:rPr>
                      <w:sz w:val="18"/>
                      <w:szCs w:val="18"/>
                    </w:rPr>
                  </w:pPr>
                  <w:r>
                    <w:rPr>
                      <w:rFonts w:hint="eastAsia"/>
                      <w:sz w:val="18"/>
                      <w:szCs w:val="18"/>
                    </w:rPr>
                    <w:t>52</w:t>
                  </w:r>
                </w:p>
              </w:tc>
              <w:tc>
                <w:tcPr>
                  <w:tcW w:w="850" w:type="dxa"/>
                  <w:vAlign w:val="center"/>
                </w:tcPr>
                <w:p>
                  <w:pPr>
                    <w:widowControl/>
                    <w:spacing w:line="300" w:lineRule="exact"/>
                    <w:jc w:val="center"/>
                    <w:textAlignment w:val="center"/>
                    <w:rPr>
                      <w:sz w:val="18"/>
                      <w:szCs w:val="18"/>
                    </w:rPr>
                  </w:pPr>
                  <w:r>
                    <w:rPr>
                      <w:rFonts w:hint="eastAsia"/>
                      <w:sz w:val="18"/>
                      <w:szCs w:val="18"/>
                    </w:rPr>
                    <w:t>365</w:t>
                  </w:r>
                </w:p>
                <w:p>
                  <w:pPr>
                    <w:widowControl/>
                    <w:spacing w:line="300" w:lineRule="exact"/>
                    <w:jc w:val="center"/>
                    <w:textAlignment w:val="center"/>
                    <w:rPr>
                      <w:sz w:val="18"/>
                      <w:szCs w:val="18"/>
                    </w:rPr>
                  </w:pPr>
                  <w:r>
                    <w:rPr>
                      <w:rFonts w:ascii="宋体" w:hAnsi="宋体"/>
                      <w:sz w:val="18"/>
                      <w:szCs w:val="18"/>
                    </w:rPr>
                    <w:t>（总天数）</w:t>
                  </w:r>
                </w:p>
              </w:tc>
              <w:tc>
                <w:tcPr>
                  <w:tcW w:w="849" w:type="dxa"/>
                  <w:vAlign w:val="center"/>
                </w:tcPr>
                <w:p>
                  <w:pPr>
                    <w:widowControl/>
                    <w:spacing w:line="300" w:lineRule="exact"/>
                    <w:jc w:val="center"/>
                    <w:textAlignment w:val="center"/>
                    <w:rPr>
                      <w:sz w:val="18"/>
                      <w:szCs w:val="18"/>
                    </w:rPr>
                  </w:pPr>
                  <w:r>
                    <w:rPr>
                      <w:rFonts w:hint="eastAsia"/>
                      <w:sz w:val="18"/>
                      <w:szCs w:val="18"/>
                    </w:rPr>
                    <w:t>336</w:t>
                  </w:r>
                </w:p>
                <w:p>
                  <w:pPr>
                    <w:widowControl/>
                    <w:spacing w:line="300" w:lineRule="exact"/>
                    <w:jc w:val="center"/>
                    <w:textAlignment w:val="center"/>
                    <w:rPr>
                      <w:sz w:val="18"/>
                      <w:szCs w:val="18"/>
                    </w:rPr>
                  </w:pPr>
                  <w:r>
                    <w:rPr>
                      <w:rFonts w:ascii="宋体" w:hAnsi="宋体"/>
                      <w:sz w:val="18"/>
                      <w:szCs w:val="18"/>
                    </w:rPr>
                    <w:t>（总天数）</w:t>
                  </w:r>
                </w:p>
              </w:tc>
              <w:tc>
                <w:tcPr>
                  <w:tcW w:w="612" w:type="dxa"/>
                  <w:vAlign w:val="center"/>
                </w:tcPr>
                <w:p>
                  <w:pPr>
                    <w:widowControl/>
                    <w:spacing w:line="300" w:lineRule="exact"/>
                    <w:jc w:val="center"/>
                    <w:textAlignment w:val="center"/>
                    <w:rPr>
                      <w:sz w:val="18"/>
                      <w:szCs w:val="18"/>
                    </w:rPr>
                  </w:pPr>
                  <w:r>
                    <w:rPr>
                      <w:sz w:val="18"/>
                      <w:szCs w:val="18"/>
                    </w:rPr>
                    <w:t>9</w:t>
                  </w:r>
                  <w:r>
                    <w:rPr>
                      <w:rFonts w:hint="eastAsia"/>
                      <w:sz w:val="18"/>
                      <w:szCs w:val="18"/>
                    </w:rPr>
                    <w:t>2.1</w:t>
                  </w:r>
                </w:p>
              </w:tc>
              <w:tc>
                <w:tcPr>
                  <w:tcW w:w="874" w:type="dxa"/>
                  <w:vAlign w:val="center"/>
                </w:tcPr>
                <w:p>
                  <w:pPr>
                    <w:widowControl/>
                    <w:spacing w:line="300" w:lineRule="exact"/>
                    <w:jc w:val="center"/>
                    <w:textAlignment w:val="center"/>
                    <w:rPr>
                      <w:sz w:val="18"/>
                      <w:szCs w:val="18"/>
                    </w:rPr>
                  </w:pPr>
                  <w:r>
                    <w:rPr>
                      <w:rFonts w:hint="eastAsia"/>
                      <w:sz w:val="18"/>
                      <w:szCs w:val="18"/>
                    </w:rPr>
                    <w:t>3.7</w:t>
                  </w:r>
                </w:p>
              </w:tc>
              <w:tc>
                <w:tcPr>
                  <w:tcW w:w="805" w:type="dxa"/>
                  <w:vAlign w:val="center"/>
                </w:tcPr>
                <w:p>
                  <w:pPr>
                    <w:widowControl/>
                    <w:spacing w:line="300" w:lineRule="exact"/>
                    <w:jc w:val="center"/>
                    <w:textAlignment w:val="center"/>
                    <w:rPr>
                      <w:sz w:val="18"/>
                      <w:szCs w:val="18"/>
                    </w:rPr>
                  </w:pPr>
                  <w:r>
                    <w:rPr>
                      <w:sz w:val="18"/>
                      <w:szCs w:val="18"/>
                    </w:rPr>
                    <w:t>3.</w:t>
                  </w:r>
                  <w:r>
                    <w:rPr>
                      <w:rFonts w:hint="eastAsia"/>
                      <w:sz w:val="18"/>
                      <w:szCs w:val="18"/>
                    </w:rPr>
                    <w:t>24</w:t>
                  </w:r>
                </w:p>
              </w:tc>
            </w:tr>
          </w:tbl>
          <w:p>
            <w:pPr>
              <w:autoSpaceDE w:val="0"/>
              <w:autoSpaceDN w:val="0"/>
              <w:adjustRightInd w:val="0"/>
              <w:snapToGrid w:val="0"/>
              <w:spacing w:line="400" w:lineRule="exact"/>
              <w:ind w:firstLine="420" w:firstLineChars="200"/>
              <w:jc w:val="left"/>
              <w:rPr>
                <w:kern w:val="0"/>
                <w:szCs w:val="21"/>
              </w:rPr>
            </w:pPr>
            <w:r>
              <w:rPr>
                <w:rFonts w:cs="宋体"/>
                <w:kern w:val="0"/>
                <w:szCs w:val="21"/>
              </w:rPr>
              <w:t>根据《达州市</w:t>
            </w:r>
            <w:r>
              <w:rPr>
                <w:rFonts w:hint="eastAsia" w:cs="宋体"/>
                <w:kern w:val="0"/>
                <w:szCs w:val="21"/>
              </w:rPr>
              <w:t>2022年环境空气质量状况</w:t>
            </w:r>
            <w:r>
              <w:rPr>
                <w:rFonts w:cs="宋体"/>
                <w:kern w:val="0"/>
                <w:szCs w:val="21"/>
              </w:rPr>
              <w:t>》及上表数据可知，达州市大竹县</w:t>
            </w:r>
            <w:r>
              <w:rPr>
                <w:rFonts w:hint="eastAsia" w:cs="宋体"/>
                <w:kern w:val="0"/>
                <w:szCs w:val="21"/>
              </w:rPr>
              <w:t>2022年环境空气质量达标率为92.1%。项目所在区域为环境空气质量达标区。项目所在区域为环境空气质量达标区。</w:t>
            </w:r>
          </w:p>
          <w:p>
            <w:pPr>
              <w:autoSpaceDE w:val="0"/>
              <w:autoSpaceDN w:val="0"/>
              <w:adjustRightInd w:val="0"/>
              <w:snapToGrid w:val="0"/>
              <w:spacing w:line="400" w:lineRule="exact"/>
              <w:ind w:firstLine="422" w:firstLineChars="200"/>
              <w:jc w:val="left"/>
              <w:rPr>
                <w:b/>
                <w:bCs/>
                <w:kern w:val="0"/>
                <w:szCs w:val="21"/>
              </w:rPr>
            </w:pPr>
            <w:r>
              <w:rPr>
                <w:b/>
                <w:bCs/>
                <w:kern w:val="0"/>
                <w:szCs w:val="21"/>
              </w:rPr>
              <w:t>（2）</w:t>
            </w:r>
            <w:r>
              <w:rPr>
                <w:rFonts w:hint="eastAsia"/>
                <w:b/>
                <w:bCs/>
                <w:kern w:val="0"/>
                <w:szCs w:val="21"/>
              </w:rPr>
              <w:t>补充监测环境质量现状</w:t>
            </w:r>
          </w:p>
          <w:p>
            <w:pPr>
              <w:autoSpaceDE w:val="0"/>
              <w:autoSpaceDN w:val="0"/>
              <w:adjustRightInd w:val="0"/>
              <w:snapToGrid w:val="0"/>
              <w:spacing w:line="400" w:lineRule="exact"/>
              <w:ind w:firstLine="420" w:firstLineChars="200"/>
              <w:jc w:val="left"/>
              <w:rPr>
                <w:kern w:val="0"/>
                <w:szCs w:val="21"/>
              </w:rPr>
            </w:pPr>
            <w:r>
              <w:rPr>
                <w:kern w:val="0"/>
                <w:szCs w:val="21"/>
              </w:rPr>
              <w:t>建设单位委托</w:t>
            </w:r>
            <w:r>
              <w:rPr>
                <w:rFonts w:hint="eastAsia"/>
                <w:kern w:val="0"/>
                <w:szCs w:val="21"/>
              </w:rPr>
              <w:t>四川凯乐检测技术有限公司</w:t>
            </w:r>
            <w:r>
              <w:rPr>
                <w:kern w:val="0"/>
                <w:szCs w:val="21"/>
              </w:rPr>
              <w:t>于202</w:t>
            </w:r>
            <w:r>
              <w:rPr>
                <w:rFonts w:hint="eastAsia"/>
                <w:kern w:val="0"/>
                <w:szCs w:val="21"/>
              </w:rPr>
              <w:t>3</w:t>
            </w:r>
            <w:r>
              <w:rPr>
                <w:kern w:val="0"/>
                <w:szCs w:val="21"/>
              </w:rPr>
              <w:t>年</w:t>
            </w:r>
            <w:r>
              <w:rPr>
                <w:rFonts w:hint="eastAsia"/>
                <w:kern w:val="0"/>
                <w:szCs w:val="21"/>
              </w:rPr>
              <w:t>2</w:t>
            </w:r>
            <w:r>
              <w:rPr>
                <w:kern w:val="0"/>
                <w:szCs w:val="21"/>
              </w:rPr>
              <w:t>月</w:t>
            </w:r>
            <w:r>
              <w:rPr>
                <w:rFonts w:hint="eastAsia"/>
                <w:kern w:val="0"/>
                <w:szCs w:val="21"/>
              </w:rPr>
              <w:t>21</w:t>
            </w:r>
            <w:r>
              <w:rPr>
                <w:kern w:val="0"/>
                <w:szCs w:val="21"/>
              </w:rPr>
              <w:t>日~</w:t>
            </w:r>
            <w:r>
              <w:rPr>
                <w:rFonts w:hint="eastAsia"/>
                <w:kern w:val="0"/>
                <w:szCs w:val="21"/>
              </w:rPr>
              <w:t>2月27</w:t>
            </w:r>
            <w:r>
              <w:rPr>
                <w:kern w:val="0"/>
                <w:szCs w:val="21"/>
              </w:rPr>
              <w:t>日对项目区环境空气质量特征因子进行现状监测。</w:t>
            </w:r>
            <w:r>
              <w:rPr>
                <w:rFonts w:hint="eastAsia"/>
                <w:kern w:val="0"/>
                <w:szCs w:val="21"/>
              </w:rPr>
              <w:t>根据监测结果</w:t>
            </w:r>
            <w:r>
              <w:rPr>
                <w:kern w:val="0"/>
                <w:szCs w:val="21"/>
              </w:rPr>
              <w:t>，</w:t>
            </w:r>
            <w:r>
              <w:rPr>
                <w:rFonts w:hint="eastAsia"/>
                <w:kern w:val="0"/>
                <w:szCs w:val="21"/>
              </w:rPr>
              <w:t>环境空气监测点各监测因子，</w:t>
            </w:r>
            <w:r>
              <w:rPr>
                <w:kern w:val="0"/>
                <w:szCs w:val="21"/>
              </w:rPr>
              <w:t>评价指标的占标率均小于100%</w:t>
            </w:r>
            <w:r>
              <w:rPr>
                <w:rFonts w:hint="eastAsia"/>
                <w:kern w:val="0"/>
                <w:szCs w:val="21"/>
              </w:rPr>
              <w:t>，均满足《环境空气质量标准》（G</w:t>
            </w:r>
            <w:r>
              <w:rPr>
                <w:kern w:val="0"/>
                <w:szCs w:val="21"/>
              </w:rPr>
              <w:t>B3095-2012</w:t>
            </w:r>
            <w:r>
              <w:rPr>
                <w:rFonts w:hint="eastAsia"/>
                <w:kern w:val="0"/>
                <w:szCs w:val="21"/>
              </w:rPr>
              <w:t>）二级标准限值、</w:t>
            </w:r>
            <w:r>
              <w:rPr>
                <w:kern w:val="0"/>
                <w:szCs w:val="21"/>
              </w:rPr>
              <w:t>《环境影响评价技术导则大气环境》（HJ 2.2-2018）中附录D参考限值要求</w:t>
            </w:r>
            <w:r>
              <w:rPr>
                <w:rFonts w:hint="eastAsia"/>
                <w:kern w:val="0"/>
                <w:szCs w:val="21"/>
              </w:rPr>
              <w:t>。</w:t>
            </w:r>
          </w:p>
          <w:p>
            <w:pPr>
              <w:autoSpaceDE w:val="0"/>
              <w:autoSpaceDN w:val="0"/>
              <w:adjustRightInd w:val="0"/>
              <w:snapToGrid w:val="0"/>
              <w:spacing w:line="400" w:lineRule="exact"/>
              <w:ind w:firstLine="420" w:firstLineChars="200"/>
              <w:jc w:val="left"/>
              <w:rPr>
                <w:kern w:val="0"/>
                <w:szCs w:val="21"/>
              </w:rPr>
            </w:pPr>
            <w:r>
              <w:rPr>
                <w:kern w:val="0"/>
                <w:szCs w:val="21"/>
              </w:rPr>
              <w:t>环境空气质量特征因子</w:t>
            </w:r>
            <w:r>
              <w:rPr>
                <w:rFonts w:hint="eastAsia"/>
                <w:kern w:val="0"/>
                <w:szCs w:val="21"/>
              </w:rPr>
              <w:t>现状</w:t>
            </w:r>
            <w:r>
              <w:rPr>
                <w:kern w:val="0"/>
                <w:szCs w:val="21"/>
              </w:rPr>
              <w:t>监测</w:t>
            </w:r>
            <w:r>
              <w:rPr>
                <w:rFonts w:hint="eastAsia"/>
                <w:kern w:val="0"/>
                <w:szCs w:val="21"/>
              </w:rPr>
              <w:t>及评价详见大气专题。</w:t>
            </w:r>
          </w:p>
          <w:p>
            <w:pPr>
              <w:adjustRightInd w:val="0"/>
              <w:snapToGrid w:val="0"/>
              <w:spacing w:line="400" w:lineRule="exact"/>
              <w:ind w:left="-53" w:leftChars="-25" w:right="-53" w:rightChars="-25"/>
              <w:jc w:val="left"/>
              <w:rPr>
                <w:rFonts w:eastAsia="黑体"/>
                <w:bCs/>
                <w:szCs w:val="21"/>
              </w:rPr>
            </w:pPr>
            <w:r>
              <w:rPr>
                <w:rFonts w:eastAsia="黑体"/>
                <w:bCs/>
                <w:szCs w:val="21"/>
              </w:rPr>
              <w:t>2、地表水环境质量现状及评价</w:t>
            </w:r>
          </w:p>
          <w:p>
            <w:pPr>
              <w:autoSpaceDE w:val="0"/>
              <w:autoSpaceDN w:val="0"/>
              <w:spacing w:line="400" w:lineRule="exact"/>
              <w:ind w:firstLine="420" w:firstLineChars="200"/>
              <w:jc w:val="left"/>
              <w:rPr>
                <w:rFonts w:eastAsia="黑体"/>
                <w:szCs w:val="21"/>
              </w:rPr>
            </w:pPr>
            <w:r>
              <w:rPr>
                <w:rFonts w:hint="eastAsia" w:ascii="黑体" w:eastAsia="黑体" w:cs="黑体"/>
                <w:szCs w:val="21"/>
              </w:rPr>
              <w:t>（1）地表水监测结果</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2023年2月全市35个河流断面中，优（Ⅰ~Ⅱ类）良（Ⅲ类）水质断面33个，占比94.3%；轻度污染（Ⅳ类）水质断面2个，占比5.7%。全市河流超标情况为：流江河白兔乡断面受到轻度污染，主要污染指标为高锰酸盐指数；东柳河墩子河断面受到轻度污染，主要污染指标为氨氮、化学需氧量、高锰酸盐指数。</w:t>
            </w:r>
          </w:p>
          <w:p>
            <w:pPr>
              <w:autoSpaceDE w:val="0"/>
              <w:autoSpaceDN w:val="0"/>
              <w:adjustRightInd w:val="0"/>
              <w:snapToGrid w:val="0"/>
              <w:spacing w:line="400" w:lineRule="exact"/>
              <w:ind w:firstLine="420" w:firstLineChars="200"/>
              <w:jc w:val="left"/>
              <w:rPr>
                <w:rFonts w:cs="宋体"/>
                <w:kern w:val="0"/>
                <w:sz w:val="24"/>
                <w:szCs w:val="21"/>
              </w:rPr>
            </w:pPr>
            <w:r>
              <w:rPr>
                <w:rFonts w:hint="eastAsia" w:cs="宋体"/>
                <w:kern w:val="0"/>
                <w:szCs w:val="21"/>
              </w:rPr>
              <w:t>水质评价结果表见下表。</w:t>
            </w:r>
          </w:p>
          <w:p>
            <w:pPr>
              <w:overflowPunct w:val="0"/>
              <w:autoSpaceDE w:val="0"/>
              <w:autoSpaceDN w:val="0"/>
              <w:spacing w:line="400" w:lineRule="exact"/>
              <w:ind w:left="57" w:right="57" w:firstLine="360" w:firstLineChars="200"/>
              <w:jc w:val="center"/>
              <w:rPr>
                <w:rFonts w:eastAsia="黑体"/>
                <w:sz w:val="18"/>
                <w:szCs w:val="18"/>
              </w:rPr>
            </w:pPr>
            <w:r>
              <w:rPr>
                <w:rFonts w:hint="eastAsia" w:ascii="黑体" w:hAnsi="宋体" w:eastAsia="黑体" w:cs="黑体"/>
                <w:sz w:val="18"/>
                <w:szCs w:val="18"/>
              </w:rPr>
              <w:t xml:space="preserve">表3-1    </w:t>
            </w:r>
            <w:r>
              <w:rPr>
                <w:rFonts w:eastAsia="黑体"/>
                <w:sz w:val="18"/>
                <w:szCs w:val="18"/>
              </w:rPr>
              <w:t>20</w:t>
            </w:r>
            <w:r>
              <w:rPr>
                <w:rFonts w:hint="eastAsia" w:ascii="黑体" w:hAnsi="宋体" w:eastAsia="黑体" w:cs="黑体"/>
                <w:sz w:val="18"/>
                <w:szCs w:val="18"/>
              </w:rPr>
              <w:t>23年2月达州市河流水质评价结果表</w:t>
            </w:r>
          </w:p>
          <w:tbl>
            <w:tblPr>
              <w:tblStyle w:val="20"/>
              <w:tblW w:w="7775" w:type="dxa"/>
              <w:jc w:val="center"/>
              <w:tblInd w:w="0"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0" w:type="dxa"/>
                <w:bottom w:w="0" w:type="dxa"/>
                <w:right w:w="0" w:type="dxa"/>
              </w:tblCellMar>
            </w:tblPr>
            <w:tblGrid>
              <w:gridCol w:w="500"/>
              <w:gridCol w:w="1212"/>
              <w:gridCol w:w="884"/>
              <w:gridCol w:w="1456"/>
              <w:gridCol w:w="808"/>
              <w:gridCol w:w="504"/>
              <w:gridCol w:w="596"/>
              <w:gridCol w:w="603"/>
              <w:gridCol w:w="1212"/>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0" w:type="dxa"/>
                  <w:bottom w:w="0" w:type="dxa"/>
                  <w:right w:w="0" w:type="dxa"/>
                </w:tblCellMar>
              </w:tblPrEx>
              <w:trPr>
                <w:trHeight w:val="295" w:hRule="atLeast"/>
                <w:jc w:val="center"/>
              </w:trPr>
              <w:tc>
                <w:tcPr>
                  <w:tcW w:w="500" w:type="dxa"/>
                  <w:tcBorders>
                    <w:top w:val="single" w:color="000000" w:sz="2" w:space="0"/>
                    <w:left w:val="single" w:color="000000" w:sz="2" w:space="0"/>
                    <w:bottom w:val="single" w:color="000000" w:sz="6" w:space="0"/>
                    <w:right w:val="single" w:color="auto" w:sz="4"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ascii="Times New Roman" w:hAnsi="Times New Roman" w:cs="Times New Roman"/>
                      <w:sz w:val="18"/>
                      <w:szCs w:val="18"/>
                    </w:rPr>
                    <w:t>序号</w:t>
                  </w:r>
                </w:p>
              </w:tc>
              <w:tc>
                <w:tcPr>
                  <w:tcW w:w="1212" w:type="dxa"/>
                  <w:tcBorders>
                    <w:top w:val="single" w:color="000000" w:sz="2" w:space="0"/>
                    <w:left w:val="single" w:color="auto" w:sz="4" w:space="0"/>
                    <w:bottom w:val="single" w:color="000000" w:sz="6" w:space="0"/>
                    <w:right w:val="single" w:color="000000" w:sz="6"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ascii="Times New Roman" w:hAnsi="Times New Roman" w:cs="Times New Roman"/>
                      <w:sz w:val="18"/>
                      <w:szCs w:val="18"/>
                    </w:rPr>
                    <w:t>河流</w:t>
                  </w:r>
                </w:p>
              </w:tc>
              <w:tc>
                <w:tcPr>
                  <w:tcW w:w="884" w:type="dxa"/>
                  <w:tcBorders>
                    <w:top w:val="single" w:color="000000" w:sz="2" w:space="0"/>
                    <w:left w:val="single" w:color="000000" w:sz="6" w:space="0"/>
                    <w:bottom w:val="single" w:color="000000" w:sz="6" w:space="0"/>
                    <w:right w:val="single" w:color="000000" w:sz="6"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ascii="Times New Roman" w:hAnsi="Times New Roman" w:cs="Times New Roman"/>
                      <w:sz w:val="18"/>
                      <w:szCs w:val="18"/>
                    </w:rPr>
                    <w:t>断面名称</w:t>
                  </w:r>
                </w:p>
              </w:tc>
              <w:tc>
                <w:tcPr>
                  <w:tcW w:w="1456" w:type="dxa"/>
                  <w:tcBorders>
                    <w:top w:val="single" w:color="000000" w:sz="2" w:space="0"/>
                    <w:left w:val="single" w:color="000000" w:sz="6" w:space="0"/>
                    <w:bottom w:val="single" w:color="000000" w:sz="6" w:space="0"/>
                    <w:right w:val="single" w:color="auto" w:sz="4"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cs="Times New Roman"/>
                      <w:sz w:val="18"/>
                      <w:szCs w:val="18"/>
                    </w:rPr>
                    <w:t>交界情况</w:t>
                  </w:r>
                </w:p>
              </w:tc>
              <w:tc>
                <w:tcPr>
                  <w:tcW w:w="808" w:type="dxa"/>
                  <w:tcBorders>
                    <w:top w:val="single" w:color="000000" w:sz="2" w:space="0"/>
                    <w:left w:val="single" w:color="auto" w:sz="4" w:space="0"/>
                    <w:bottom w:val="single" w:color="000000" w:sz="6" w:space="0"/>
                    <w:right w:val="single" w:color="000000" w:sz="6"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cs="Times New Roman"/>
                      <w:sz w:val="18"/>
                      <w:szCs w:val="18"/>
                    </w:rPr>
                    <w:t>断面性质</w:t>
                  </w:r>
                </w:p>
              </w:tc>
              <w:tc>
                <w:tcPr>
                  <w:tcW w:w="504" w:type="dxa"/>
                  <w:tcBorders>
                    <w:top w:val="single" w:color="000000" w:sz="2" w:space="0"/>
                    <w:left w:val="single" w:color="000000" w:sz="6" w:space="0"/>
                    <w:bottom w:val="single" w:color="000000" w:sz="6" w:space="0"/>
                    <w:right w:val="single" w:color="000000" w:sz="6"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cs="Times New Roman"/>
                      <w:sz w:val="18"/>
                      <w:szCs w:val="18"/>
                    </w:rPr>
                    <w:t>上年</w:t>
                  </w:r>
                </w:p>
                <w:p>
                  <w:pPr>
                    <w:pStyle w:val="18"/>
                    <w:spacing w:before="0" w:beforeAutospacing="0" w:after="0" w:afterAutospacing="0" w:line="320" w:lineRule="exact"/>
                    <w:jc w:val="center"/>
                    <w:rPr>
                      <w:rFonts w:cs="Times New Roman"/>
                      <w:sz w:val="18"/>
                      <w:szCs w:val="18"/>
                    </w:rPr>
                  </w:pPr>
                  <w:r>
                    <w:rPr>
                      <w:rFonts w:cs="Times New Roman"/>
                      <w:sz w:val="18"/>
                      <w:szCs w:val="18"/>
                    </w:rPr>
                    <w:t>同</w:t>
                  </w:r>
                </w:p>
              </w:tc>
              <w:tc>
                <w:tcPr>
                  <w:tcW w:w="596" w:type="dxa"/>
                  <w:tcBorders>
                    <w:top w:val="single" w:color="000000" w:sz="2" w:space="0"/>
                    <w:left w:val="single" w:color="000000" w:sz="6" w:space="0"/>
                    <w:bottom w:val="single" w:color="000000" w:sz="6" w:space="0"/>
                    <w:right w:val="single" w:color="000000" w:sz="6"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cs="Times New Roman"/>
                      <w:sz w:val="18"/>
                      <w:szCs w:val="18"/>
                    </w:rPr>
                    <w:t>上月</w:t>
                  </w:r>
                </w:p>
                <w:p>
                  <w:pPr>
                    <w:pStyle w:val="18"/>
                    <w:spacing w:before="0" w:beforeAutospacing="0" w:after="0" w:afterAutospacing="0" w:line="320" w:lineRule="exact"/>
                    <w:jc w:val="center"/>
                    <w:rPr>
                      <w:rFonts w:cs="Times New Roman"/>
                      <w:sz w:val="18"/>
                      <w:szCs w:val="18"/>
                    </w:rPr>
                  </w:pPr>
                  <w:r>
                    <w:rPr>
                      <w:rFonts w:cs="Times New Roman"/>
                      <w:sz w:val="18"/>
                      <w:szCs w:val="18"/>
                    </w:rPr>
                    <w:t>类别</w:t>
                  </w:r>
                </w:p>
              </w:tc>
              <w:tc>
                <w:tcPr>
                  <w:tcW w:w="603" w:type="dxa"/>
                  <w:tcBorders>
                    <w:top w:val="single" w:color="000000" w:sz="2" w:space="0"/>
                    <w:left w:val="single" w:color="000000" w:sz="6" w:space="0"/>
                    <w:bottom w:val="single" w:color="000000" w:sz="6" w:space="0"/>
                    <w:right w:val="single" w:color="000000" w:sz="6"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cs="Times New Roman"/>
                      <w:sz w:val="18"/>
                      <w:szCs w:val="18"/>
                    </w:rPr>
                    <w:t>本月</w:t>
                  </w:r>
                </w:p>
                <w:p>
                  <w:pPr>
                    <w:pStyle w:val="18"/>
                    <w:spacing w:before="0" w:beforeAutospacing="0" w:after="0" w:afterAutospacing="0" w:line="320" w:lineRule="exact"/>
                    <w:jc w:val="center"/>
                    <w:rPr>
                      <w:rFonts w:cs="Times New Roman"/>
                      <w:sz w:val="18"/>
                      <w:szCs w:val="18"/>
                    </w:rPr>
                  </w:pPr>
                  <w:r>
                    <w:rPr>
                      <w:rFonts w:cs="Times New Roman"/>
                      <w:sz w:val="18"/>
                      <w:szCs w:val="18"/>
                    </w:rPr>
                    <w:t>类别</w:t>
                  </w:r>
                </w:p>
              </w:tc>
              <w:tc>
                <w:tcPr>
                  <w:tcW w:w="1212" w:type="dxa"/>
                  <w:tcBorders>
                    <w:top w:val="single" w:color="000000" w:sz="2" w:space="0"/>
                    <w:left w:val="single" w:color="000000" w:sz="6" w:space="0"/>
                    <w:bottom w:val="single" w:color="000000" w:sz="6" w:space="0"/>
                    <w:right w:val="single" w:color="000000" w:sz="6"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ascii="Times New Roman" w:hAnsi="Times New Roman" w:cs="Times New Roman"/>
                      <w:sz w:val="18"/>
                      <w:szCs w:val="18"/>
                    </w:rPr>
                    <w:t>主要污染指标（类别）</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0" w:type="dxa"/>
                  <w:bottom w:w="0" w:type="dxa"/>
                  <w:right w:w="0" w:type="dxa"/>
                </w:tblCellMar>
              </w:tblPrEx>
              <w:trPr>
                <w:trHeight w:val="306" w:hRule="atLeast"/>
                <w:jc w:val="center"/>
              </w:trPr>
              <w:tc>
                <w:tcPr>
                  <w:tcW w:w="500" w:type="dxa"/>
                  <w:tcBorders>
                    <w:top w:val="single" w:color="000000" w:sz="6" w:space="0"/>
                    <w:left w:val="single" w:color="000000" w:sz="2" w:space="0"/>
                    <w:bottom w:val="single" w:color="000000" w:sz="6" w:space="0"/>
                    <w:right w:val="single" w:color="auto" w:sz="4"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cs="Times New Roman"/>
                      <w:sz w:val="18"/>
                      <w:szCs w:val="18"/>
                    </w:rPr>
                    <w:t>1</w:t>
                  </w:r>
                </w:p>
              </w:tc>
              <w:tc>
                <w:tcPr>
                  <w:tcW w:w="1212" w:type="dxa"/>
                  <w:tcBorders>
                    <w:top w:val="single" w:color="000000" w:sz="6" w:space="0"/>
                    <w:left w:val="single" w:color="auto" w:sz="4" w:space="0"/>
                    <w:bottom w:val="single" w:color="000000" w:sz="6" w:space="0"/>
                    <w:right w:val="single" w:color="000000" w:sz="6"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hint="eastAsia" w:cs="Times New Roman"/>
                      <w:sz w:val="18"/>
                      <w:szCs w:val="18"/>
                    </w:rPr>
                    <w:t>大洪河</w:t>
                  </w:r>
                </w:p>
              </w:tc>
              <w:tc>
                <w:tcPr>
                  <w:tcW w:w="884"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hint="eastAsia" w:cs="Times New Roman"/>
                      <w:sz w:val="18"/>
                      <w:szCs w:val="18"/>
                    </w:rPr>
                    <w:t xml:space="preserve">岗架大桥 </w:t>
                  </w:r>
                </w:p>
              </w:tc>
              <w:tc>
                <w:tcPr>
                  <w:tcW w:w="1456" w:type="dxa"/>
                  <w:tcBorders>
                    <w:top w:val="single" w:color="000000" w:sz="6" w:space="0"/>
                    <w:left w:val="single" w:color="000000" w:sz="6" w:space="0"/>
                    <w:bottom w:val="single" w:color="000000" w:sz="6" w:space="0"/>
                    <w:right w:val="single" w:color="auto" w:sz="4"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hint="eastAsia" w:cs="Times New Roman"/>
                      <w:sz w:val="18"/>
                      <w:szCs w:val="18"/>
                    </w:rPr>
                    <w:t>市界</w:t>
                  </w:r>
                </w:p>
                <w:p>
                  <w:pPr>
                    <w:pStyle w:val="18"/>
                    <w:spacing w:before="0" w:beforeAutospacing="0" w:after="0" w:afterAutospacing="0" w:line="320" w:lineRule="exact"/>
                    <w:jc w:val="center"/>
                    <w:rPr>
                      <w:rFonts w:cs="Times New Roman"/>
                      <w:sz w:val="18"/>
                      <w:szCs w:val="18"/>
                    </w:rPr>
                  </w:pPr>
                  <w:r>
                    <w:rPr>
                      <w:rFonts w:hint="eastAsia" w:cs="Times New Roman"/>
                      <w:sz w:val="18"/>
                      <w:szCs w:val="18"/>
                    </w:rPr>
                    <w:t>(达州市→广安市)</w:t>
                  </w:r>
                </w:p>
              </w:tc>
              <w:tc>
                <w:tcPr>
                  <w:tcW w:w="808" w:type="dxa"/>
                  <w:tcBorders>
                    <w:top w:val="single" w:color="000000" w:sz="6" w:space="0"/>
                    <w:left w:val="single" w:color="auto" w:sz="4" w:space="0"/>
                    <w:bottom w:val="single" w:color="000000" w:sz="6" w:space="0"/>
                    <w:right w:val="single" w:color="000000" w:sz="6"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hint="eastAsia" w:cs="Times New Roman"/>
                      <w:sz w:val="18"/>
                      <w:szCs w:val="18"/>
                    </w:rPr>
                    <w:t>国考</w:t>
                  </w:r>
                </w:p>
              </w:tc>
              <w:tc>
                <w:tcPr>
                  <w:tcW w:w="504"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hint="eastAsia" w:cs="Times New Roman"/>
                      <w:sz w:val="18"/>
                      <w:szCs w:val="18"/>
                    </w:rPr>
                    <w:t>/</w:t>
                  </w:r>
                </w:p>
              </w:tc>
              <w:tc>
                <w:tcPr>
                  <w:tcW w:w="596"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hint="eastAsia" w:cs="Times New Roman"/>
                      <w:sz w:val="18"/>
                      <w:szCs w:val="18"/>
                    </w:rPr>
                    <w:t>Ⅱ</w:t>
                  </w:r>
                </w:p>
              </w:tc>
              <w:tc>
                <w:tcPr>
                  <w:tcW w:w="603"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cs="Times New Roman"/>
                      <w:sz w:val="18"/>
                      <w:szCs w:val="18"/>
                    </w:rPr>
                    <w:t>Ⅲ</w:t>
                  </w:r>
                </w:p>
              </w:tc>
              <w:tc>
                <w:tcPr>
                  <w:tcW w:w="1212"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8"/>
                    <w:spacing w:before="0" w:beforeAutospacing="0" w:after="0" w:afterAutospacing="0" w:line="320" w:lineRule="exact"/>
                    <w:jc w:val="center"/>
                    <w:rPr>
                      <w:rFonts w:cs="Times New Roman"/>
                      <w:sz w:val="18"/>
                      <w:szCs w:val="18"/>
                    </w:rPr>
                  </w:pPr>
                  <w:r>
                    <w:rPr>
                      <w:rFonts w:hint="eastAsia" w:cs="Times New Roman"/>
                      <w:sz w:val="18"/>
                      <w:szCs w:val="18"/>
                    </w:rPr>
                    <w:t>/</w:t>
                  </w:r>
                </w:p>
              </w:tc>
            </w:tr>
          </w:tbl>
          <w:p>
            <w:pPr>
              <w:autoSpaceDE w:val="0"/>
              <w:autoSpaceDN w:val="0"/>
              <w:adjustRightInd w:val="0"/>
              <w:snapToGrid w:val="0"/>
              <w:spacing w:line="400" w:lineRule="exact"/>
              <w:ind w:firstLine="420" w:firstLineChars="200"/>
              <w:jc w:val="left"/>
              <w:rPr>
                <w:kern w:val="0"/>
                <w:szCs w:val="21"/>
              </w:rPr>
            </w:pPr>
            <w:r>
              <w:rPr>
                <w:rFonts w:hint="eastAsia" w:cs="宋体"/>
                <w:kern w:val="0"/>
                <w:szCs w:val="21"/>
              </w:rPr>
              <w:t>与本项目有关的地表水体为高滩河，属于大洪河支流。根据上表例行监测数据表明：项目所属大洪河的岗架大桥监测断面水质能够满足《地表水环境质量标准》（</w:t>
            </w:r>
            <w:r>
              <w:rPr>
                <w:rFonts w:cs="宋体"/>
                <w:kern w:val="0"/>
                <w:szCs w:val="21"/>
              </w:rPr>
              <w:t>GB3838-2002</w:t>
            </w:r>
            <w:r>
              <w:rPr>
                <w:rFonts w:hint="eastAsia" w:cs="宋体"/>
                <w:kern w:val="0"/>
                <w:szCs w:val="21"/>
              </w:rPr>
              <w:t>）Ⅲ类水域水质标准。</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3、声环境质量现状监测及评价</w:t>
            </w:r>
          </w:p>
          <w:p>
            <w:pPr>
              <w:autoSpaceDE w:val="0"/>
              <w:autoSpaceDN w:val="0"/>
              <w:adjustRightInd w:val="0"/>
              <w:snapToGrid w:val="0"/>
              <w:spacing w:line="400" w:lineRule="exact"/>
              <w:ind w:firstLine="420" w:firstLineChars="200"/>
              <w:jc w:val="left"/>
              <w:rPr>
                <w:kern w:val="0"/>
                <w:szCs w:val="21"/>
              </w:rPr>
            </w:pPr>
            <w:r>
              <w:rPr>
                <w:rFonts w:hint="eastAsia" w:eastAsia="新宋体"/>
                <w:kern w:val="0"/>
                <w:szCs w:val="21"/>
              </w:rPr>
              <w:t>四川凯乐检测技术有限公司</w:t>
            </w:r>
            <w:r>
              <w:rPr>
                <w:rFonts w:eastAsia="新宋体"/>
                <w:kern w:val="0"/>
                <w:szCs w:val="21"/>
              </w:rPr>
              <w:t>于20</w:t>
            </w:r>
            <w:r>
              <w:rPr>
                <w:rFonts w:hint="eastAsia" w:eastAsia="新宋体"/>
                <w:kern w:val="0"/>
                <w:szCs w:val="21"/>
              </w:rPr>
              <w:t>23</w:t>
            </w:r>
            <w:r>
              <w:rPr>
                <w:rFonts w:eastAsia="新宋体"/>
                <w:kern w:val="0"/>
                <w:szCs w:val="21"/>
              </w:rPr>
              <w:t>年</w:t>
            </w:r>
            <w:r>
              <w:rPr>
                <w:rFonts w:hint="eastAsia" w:eastAsia="新宋体"/>
                <w:kern w:val="0"/>
                <w:szCs w:val="21"/>
              </w:rPr>
              <w:t>2</w:t>
            </w:r>
            <w:r>
              <w:rPr>
                <w:rFonts w:eastAsia="新宋体"/>
                <w:kern w:val="0"/>
                <w:szCs w:val="21"/>
              </w:rPr>
              <w:t>月</w:t>
            </w:r>
            <w:r>
              <w:rPr>
                <w:rFonts w:hint="eastAsia" w:eastAsia="新宋体"/>
                <w:kern w:val="0"/>
                <w:szCs w:val="21"/>
              </w:rPr>
              <w:t>25</w:t>
            </w:r>
            <w:r>
              <w:rPr>
                <w:rFonts w:eastAsia="新宋体"/>
                <w:kern w:val="0"/>
                <w:szCs w:val="21"/>
              </w:rPr>
              <w:t>日，对项目区域声环境质量进行了监测，共设</w:t>
            </w:r>
            <w:r>
              <w:rPr>
                <w:rFonts w:hint="eastAsia" w:eastAsia="新宋体"/>
                <w:kern w:val="0"/>
                <w:szCs w:val="21"/>
              </w:rPr>
              <w:t>6</w:t>
            </w:r>
            <w:r>
              <w:rPr>
                <w:rFonts w:eastAsia="新宋体"/>
                <w:kern w:val="0"/>
                <w:szCs w:val="21"/>
              </w:rPr>
              <w:t>个监测点位。监测频次：监测</w:t>
            </w:r>
            <w:r>
              <w:rPr>
                <w:rFonts w:hint="eastAsia" w:eastAsia="新宋体"/>
                <w:kern w:val="0"/>
                <w:szCs w:val="21"/>
              </w:rPr>
              <w:t>1</w:t>
            </w:r>
            <w:r>
              <w:rPr>
                <w:rFonts w:eastAsia="新宋体"/>
                <w:kern w:val="0"/>
                <w:szCs w:val="21"/>
              </w:rPr>
              <w:t>天，昼间夜间各1次。</w:t>
            </w:r>
          </w:p>
          <w:p>
            <w:pPr>
              <w:autoSpaceDE w:val="0"/>
              <w:autoSpaceDN w:val="0"/>
              <w:adjustRightInd w:val="0"/>
              <w:snapToGrid w:val="0"/>
              <w:spacing w:line="400" w:lineRule="exact"/>
              <w:ind w:firstLine="420" w:firstLineChars="200"/>
              <w:jc w:val="left"/>
              <w:rPr>
                <w:kern w:val="0"/>
                <w:sz w:val="24"/>
                <w:szCs w:val="21"/>
              </w:rPr>
            </w:pPr>
            <w:r>
              <w:rPr>
                <w:kern w:val="0"/>
                <w:szCs w:val="21"/>
              </w:rPr>
              <w:t>将监测结果与评价标准进行对照，得出评价结果如下表。</w:t>
            </w:r>
          </w:p>
          <w:p>
            <w:pPr>
              <w:spacing w:line="400" w:lineRule="exact"/>
              <w:jc w:val="center"/>
              <w:rPr>
                <w:rFonts w:eastAsia="黑体"/>
                <w:sz w:val="18"/>
                <w:szCs w:val="18"/>
              </w:rPr>
            </w:pPr>
            <w:r>
              <w:rPr>
                <w:rFonts w:eastAsia="黑体"/>
                <w:sz w:val="18"/>
                <w:szCs w:val="18"/>
              </w:rPr>
              <w:t>表</w:t>
            </w:r>
            <w:r>
              <w:rPr>
                <w:rFonts w:hint="eastAsia" w:eastAsia="黑体"/>
                <w:sz w:val="18"/>
                <w:szCs w:val="18"/>
              </w:rPr>
              <w:t xml:space="preserve">3-2   </w:t>
            </w:r>
            <w:r>
              <w:rPr>
                <w:rFonts w:eastAsia="黑体"/>
                <w:sz w:val="18"/>
                <w:szCs w:val="18"/>
              </w:rPr>
              <w:t>噪声环境现状评价结果单位：dB(A)</w:t>
            </w:r>
          </w:p>
          <w:tbl>
            <w:tblPr>
              <w:tblStyle w:val="20"/>
              <w:tblW w:w="76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882"/>
              <w:gridCol w:w="574"/>
              <w:gridCol w:w="565"/>
              <w:gridCol w:w="547"/>
              <w:gridCol w:w="591"/>
              <w:gridCol w:w="1456"/>
              <w:gridCol w:w="662"/>
              <w:gridCol w:w="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 w:hRule="atLeast"/>
                <w:jc w:val="center"/>
              </w:trPr>
              <w:tc>
                <w:tcPr>
                  <w:tcW w:w="17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bookmarkStart w:id="2" w:name="OLE_LINK2"/>
                  <w:r>
                    <w:rPr>
                      <w:kern w:val="0"/>
                      <w:sz w:val="18"/>
                      <w:szCs w:val="18"/>
                    </w:rPr>
                    <w:t>监测点位</w:t>
                  </w:r>
                </w:p>
              </w:tc>
              <w:tc>
                <w:tcPr>
                  <w:tcW w:w="882" w:type="dxa"/>
                  <w:vMerge w:val="restart"/>
                  <w:tcBorders>
                    <w:top w:val="single" w:color="auto" w:sz="4" w:space="0"/>
                    <w:left w:val="nil"/>
                    <w:bottom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r>
                    <w:rPr>
                      <w:kern w:val="0"/>
                      <w:sz w:val="18"/>
                      <w:szCs w:val="18"/>
                    </w:rPr>
                    <w:t>监测时间</w:t>
                  </w:r>
                </w:p>
              </w:tc>
              <w:tc>
                <w:tcPr>
                  <w:tcW w:w="1139" w:type="dxa"/>
                  <w:gridSpan w:val="2"/>
                  <w:tcBorders>
                    <w:top w:val="single" w:color="auto" w:sz="4" w:space="0"/>
                    <w:left w:val="nil"/>
                    <w:bottom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r>
                    <w:rPr>
                      <w:kern w:val="0"/>
                      <w:sz w:val="18"/>
                      <w:szCs w:val="18"/>
                    </w:rPr>
                    <w:t>监测结果</w:t>
                  </w:r>
                </w:p>
              </w:tc>
              <w:tc>
                <w:tcPr>
                  <w:tcW w:w="1138" w:type="dxa"/>
                  <w:gridSpan w:val="2"/>
                  <w:tcBorders>
                    <w:top w:val="single" w:color="auto" w:sz="4" w:space="0"/>
                    <w:left w:val="nil"/>
                    <w:bottom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r>
                    <w:rPr>
                      <w:kern w:val="0"/>
                      <w:sz w:val="18"/>
                      <w:szCs w:val="18"/>
                    </w:rPr>
                    <w:t>评价标准</w:t>
                  </w:r>
                </w:p>
              </w:tc>
              <w:tc>
                <w:tcPr>
                  <w:tcW w:w="1456" w:type="dxa"/>
                  <w:vMerge w:val="restart"/>
                  <w:tcBorders>
                    <w:top w:val="single" w:color="auto" w:sz="4" w:space="0"/>
                    <w:left w:val="nil"/>
                    <w:right w:val="single" w:color="auto" w:sz="4" w:space="0"/>
                  </w:tcBorders>
                  <w:vAlign w:val="center"/>
                </w:tcPr>
                <w:p>
                  <w:pPr>
                    <w:widowControl/>
                    <w:spacing w:line="280" w:lineRule="exact"/>
                    <w:ind w:left="-53" w:leftChars="-25" w:right="-53" w:rightChars="-25"/>
                    <w:jc w:val="center"/>
                    <w:rPr>
                      <w:kern w:val="0"/>
                      <w:sz w:val="18"/>
                      <w:szCs w:val="18"/>
                    </w:rPr>
                  </w:pPr>
                  <w:r>
                    <w:rPr>
                      <w:rFonts w:hint="eastAsia"/>
                      <w:kern w:val="0"/>
                      <w:sz w:val="18"/>
                      <w:szCs w:val="18"/>
                    </w:rPr>
                    <w:t>《GB3096-2008》</w:t>
                  </w:r>
                  <w:r>
                    <w:rPr>
                      <w:kern w:val="0"/>
                      <w:sz w:val="18"/>
                      <w:szCs w:val="18"/>
                    </w:rPr>
                    <w:t>声环境功能区</w:t>
                  </w:r>
                </w:p>
              </w:tc>
              <w:tc>
                <w:tcPr>
                  <w:tcW w:w="1273" w:type="dxa"/>
                  <w:gridSpan w:val="2"/>
                  <w:tcBorders>
                    <w:top w:val="single" w:color="auto" w:sz="4" w:space="0"/>
                    <w:left w:val="nil"/>
                    <w:bottom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r>
                    <w:rPr>
                      <w:kern w:val="0"/>
                      <w:sz w:val="18"/>
                      <w:szCs w:val="18"/>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 w:hRule="atLeast"/>
                <w:jc w:val="center"/>
              </w:trPr>
              <w:tc>
                <w:tcPr>
                  <w:tcW w:w="17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ind w:left="-53" w:leftChars="-25" w:right="-53" w:rightChars="-25"/>
                    <w:jc w:val="left"/>
                    <w:rPr>
                      <w:kern w:val="0"/>
                      <w:sz w:val="18"/>
                      <w:szCs w:val="18"/>
                    </w:rPr>
                  </w:pPr>
                </w:p>
              </w:tc>
              <w:tc>
                <w:tcPr>
                  <w:tcW w:w="882" w:type="dxa"/>
                  <w:vMerge w:val="continue"/>
                  <w:tcBorders>
                    <w:top w:val="single" w:color="auto" w:sz="4" w:space="0"/>
                    <w:left w:val="nil"/>
                    <w:bottom w:val="single" w:color="auto" w:sz="4" w:space="0"/>
                    <w:right w:val="single" w:color="auto" w:sz="4" w:space="0"/>
                  </w:tcBorders>
                  <w:vAlign w:val="center"/>
                </w:tcPr>
                <w:p>
                  <w:pPr>
                    <w:widowControl/>
                    <w:spacing w:line="280" w:lineRule="exact"/>
                    <w:ind w:left="-53" w:leftChars="-25" w:right="-53" w:rightChars="-25"/>
                    <w:jc w:val="left"/>
                    <w:rPr>
                      <w:kern w:val="0"/>
                      <w:sz w:val="18"/>
                      <w:szCs w:val="18"/>
                    </w:rPr>
                  </w:pPr>
                </w:p>
              </w:tc>
              <w:tc>
                <w:tcPr>
                  <w:tcW w:w="574" w:type="dxa"/>
                  <w:tcBorders>
                    <w:top w:val="single" w:color="auto" w:sz="4" w:space="0"/>
                    <w:left w:val="nil"/>
                    <w:bottom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r>
                    <w:rPr>
                      <w:kern w:val="0"/>
                      <w:sz w:val="18"/>
                      <w:szCs w:val="18"/>
                    </w:rPr>
                    <w:t>昼间</w:t>
                  </w:r>
                </w:p>
              </w:tc>
              <w:tc>
                <w:tcPr>
                  <w:tcW w:w="565" w:type="dxa"/>
                  <w:tcBorders>
                    <w:top w:val="single" w:color="auto" w:sz="4" w:space="0"/>
                    <w:left w:val="nil"/>
                    <w:bottom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r>
                    <w:rPr>
                      <w:kern w:val="0"/>
                      <w:sz w:val="18"/>
                      <w:szCs w:val="18"/>
                    </w:rPr>
                    <w:t>夜间</w:t>
                  </w:r>
                </w:p>
              </w:tc>
              <w:tc>
                <w:tcPr>
                  <w:tcW w:w="547" w:type="dxa"/>
                  <w:tcBorders>
                    <w:top w:val="single" w:color="auto" w:sz="4" w:space="0"/>
                    <w:left w:val="nil"/>
                    <w:bottom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r>
                    <w:rPr>
                      <w:kern w:val="0"/>
                      <w:sz w:val="18"/>
                      <w:szCs w:val="18"/>
                    </w:rPr>
                    <w:t>昼间</w:t>
                  </w:r>
                </w:p>
              </w:tc>
              <w:tc>
                <w:tcPr>
                  <w:tcW w:w="591" w:type="dxa"/>
                  <w:tcBorders>
                    <w:top w:val="single" w:color="auto" w:sz="4" w:space="0"/>
                    <w:left w:val="nil"/>
                    <w:bottom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r>
                    <w:rPr>
                      <w:kern w:val="0"/>
                      <w:sz w:val="18"/>
                      <w:szCs w:val="18"/>
                    </w:rPr>
                    <w:t>夜间</w:t>
                  </w:r>
                </w:p>
              </w:tc>
              <w:tc>
                <w:tcPr>
                  <w:tcW w:w="1456" w:type="dxa"/>
                  <w:vMerge w:val="continue"/>
                  <w:tcBorders>
                    <w:left w:val="nil"/>
                    <w:bottom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p>
              </w:tc>
              <w:tc>
                <w:tcPr>
                  <w:tcW w:w="662" w:type="dxa"/>
                  <w:tcBorders>
                    <w:top w:val="single" w:color="auto" w:sz="4" w:space="0"/>
                    <w:left w:val="nil"/>
                    <w:bottom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r>
                    <w:rPr>
                      <w:kern w:val="0"/>
                      <w:sz w:val="18"/>
                      <w:szCs w:val="18"/>
                    </w:rPr>
                    <w:t>昼间</w:t>
                  </w:r>
                </w:p>
              </w:tc>
              <w:tc>
                <w:tcPr>
                  <w:tcW w:w="611" w:type="dxa"/>
                  <w:tcBorders>
                    <w:top w:val="single" w:color="auto" w:sz="4" w:space="0"/>
                    <w:left w:val="nil"/>
                    <w:bottom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r>
                    <w:rPr>
                      <w:kern w:val="0"/>
                      <w:sz w:val="18"/>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744" w:type="dxa"/>
                  <w:tcBorders>
                    <w:top w:val="single" w:color="auto" w:sz="4" w:space="0"/>
                    <w:left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bookmarkStart w:id="3" w:name="OLE_LINK1"/>
                  <w:r>
                    <w:rPr>
                      <w:rFonts w:hint="eastAsia"/>
                      <w:kern w:val="0"/>
                      <w:sz w:val="18"/>
                      <w:szCs w:val="18"/>
                    </w:rPr>
                    <w:t>1#</w:t>
                  </w:r>
                  <w:bookmarkEnd w:id="3"/>
                  <w:r>
                    <w:rPr>
                      <w:rFonts w:hint="eastAsia"/>
                      <w:kern w:val="0"/>
                      <w:sz w:val="18"/>
                      <w:szCs w:val="18"/>
                    </w:rPr>
                    <w:t>（项目东面住户）</w:t>
                  </w:r>
                </w:p>
              </w:tc>
              <w:tc>
                <w:tcPr>
                  <w:tcW w:w="882"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2023.2.25</w:t>
                  </w:r>
                </w:p>
              </w:tc>
              <w:tc>
                <w:tcPr>
                  <w:tcW w:w="574"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56</w:t>
                  </w:r>
                </w:p>
              </w:tc>
              <w:tc>
                <w:tcPr>
                  <w:tcW w:w="565"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47</w:t>
                  </w:r>
                </w:p>
              </w:tc>
              <w:tc>
                <w:tcPr>
                  <w:tcW w:w="547"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60</w:t>
                  </w:r>
                </w:p>
              </w:tc>
              <w:tc>
                <w:tcPr>
                  <w:tcW w:w="591"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50</w:t>
                  </w:r>
                </w:p>
              </w:tc>
              <w:tc>
                <w:tcPr>
                  <w:tcW w:w="1456" w:type="dxa"/>
                  <w:tcBorders>
                    <w:top w:val="single" w:color="auto" w:sz="4" w:space="0"/>
                    <w:left w:val="nil"/>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2类</w:t>
                  </w:r>
                </w:p>
              </w:tc>
              <w:tc>
                <w:tcPr>
                  <w:tcW w:w="662"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达标</w:t>
                  </w:r>
                </w:p>
              </w:tc>
              <w:tc>
                <w:tcPr>
                  <w:tcW w:w="611"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1744" w:type="dxa"/>
                  <w:tcBorders>
                    <w:top w:val="single" w:color="auto" w:sz="4" w:space="0"/>
                    <w:left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r>
                    <w:rPr>
                      <w:rFonts w:hint="eastAsia"/>
                      <w:kern w:val="0"/>
                      <w:sz w:val="18"/>
                      <w:szCs w:val="18"/>
                    </w:rPr>
                    <w:t>2#（项目东南面住户）</w:t>
                  </w:r>
                </w:p>
              </w:tc>
              <w:tc>
                <w:tcPr>
                  <w:tcW w:w="882"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2023.2.25</w:t>
                  </w:r>
                </w:p>
              </w:tc>
              <w:tc>
                <w:tcPr>
                  <w:tcW w:w="574"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57</w:t>
                  </w:r>
                </w:p>
              </w:tc>
              <w:tc>
                <w:tcPr>
                  <w:tcW w:w="565"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47</w:t>
                  </w:r>
                </w:p>
              </w:tc>
              <w:tc>
                <w:tcPr>
                  <w:tcW w:w="547"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60</w:t>
                  </w:r>
                </w:p>
              </w:tc>
              <w:tc>
                <w:tcPr>
                  <w:tcW w:w="591"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50</w:t>
                  </w:r>
                </w:p>
              </w:tc>
              <w:tc>
                <w:tcPr>
                  <w:tcW w:w="1456" w:type="dxa"/>
                  <w:tcBorders>
                    <w:top w:val="single" w:color="auto" w:sz="4" w:space="0"/>
                    <w:left w:val="nil"/>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2类</w:t>
                  </w:r>
                </w:p>
              </w:tc>
              <w:tc>
                <w:tcPr>
                  <w:tcW w:w="662"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达标</w:t>
                  </w:r>
                </w:p>
              </w:tc>
              <w:tc>
                <w:tcPr>
                  <w:tcW w:w="611"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jc w:val="center"/>
              </w:trPr>
              <w:tc>
                <w:tcPr>
                  <w:tcW w:w="1744" w:type="dxa"/>
                  <w:tcBorders>
                    <w:top w:val="single" w:color="auto" w:sz="4" w:space="0"/>
                    <w:left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r>
                    <w:rPr>
                      <w:rFonts w:hint="eastAsia"/>
                      <w:kern w:val="0"/>
                      <w:sz w:val="18"/>
                      <w:szCs w:val="18"/>
                    </w:rPr>
                    <w:t>3#（项目南厂界）</w:t>
                  </w:r>
                </w:p>
              </w:tc>
              <w:tc>
                <w:tcPr>
                  <w:tcW w:w="882"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2023.2.25</w:t>
                  </w:r>
                </w:p>
              </w:tc>
              <w:tc>
                <w:tcPr>
                  <w:tcW w:w="574"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58</w:t>
                  </w:r>
                </w:p>
              </w:tc>
              <w:tc>
                <w:tcPr>
                  <w:tcW w:w="565"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47</w:t>
                  </w:r>
                </w:p>
              </w:tc>
              <w:tc>
                <w:tcPr>
                  <w:tcW w:w="547"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60</w:t>
                  </w:r>
                </w:p>
              </w:tc>
              <w:tc>
                <w:tcPr>
                  <w:tcW w:w="591"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50</w:t>
                  </w:r>
                </w:p>
              </w:tc>
              <w:tc>
                <w:tcPr>
                  <w:tcW w:w="1456" w:type="dxa"/>
                  <w:tcBorders>
                    <w:top w:val="single" w:color="auto" w:sz="4" w:space="0"/>
                    <w:left w:val="nil"/>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2类</w:t>
                  </w:r>
                </w:p>
              </w:tc>
              <w:tc>
                <w:tcPr>
                  <w:tcW w:w="662"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达标</w:t>
                  </w:r>
                </w:p>
              </w:tc>
              <w:tc>
                <w:tcPr>
                  <w:tcW w:w="611"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1744" w:type="dxa"/>
                  <w:tcBorders>
                    <w:top w:val="single" w:color="auto" w:sz="4" w:space="0"/>
                    <w:left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r>
                    <w:rPr>
                      <w:rFonts w:hint="eastAsia"/>
                      <w:kern w:val="0"/>
                      <w:sz w:val="18"/>
                      <w:szCs w:val="18"/>
                    </w:rPr>
                    <w:t>4#（项目西南面住户）</w:t>
                  </w:r>
                </w:p>
              </w:tc>
              <w:tc>
                <w:tcPr>
                  <w:tcW w:w="882"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2023.2.25</w:t>
                  </w:r>
                </w:p>
              </w:tc>
              <w:tc>
                <w:tcPr>
                  <w:tcW w:w="574"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55</w:t>
                  </w:r>
                </w:p>
              </w:tc>
              <w:tc>
                <w:tcPr>
                  <w:tcW w:w="565"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46</w:t>
                  </w:r>
                </w:p>
              </w:tc>
              <w:tc>
                <w:tcPr>
                  <w:tcW w:w="547"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60</w:t>
                  </w:r>
                </w:p>
              </w:tc>
              <w:tc>
                <w:tcPr>
                  <w:tcW w:w="591"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50</w:t>
                  </w:r>
                </w:p>
              </w:tc>
              <w:tc>
                <w:tcPr>
                  <w:tcW w:w="1456" w:type="dxa"/>
                  <w:tcBorders>
                    <w:top w:val="single" w:color="auto" w:sz="4" w:space="0"/>
                    <w:left w:val="nil"/>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2类</w:t>
                  </w:r>
                </w:p>
              </w:tc>
              <w:tc>
                <w:tcPr>
                  <w:tcW w:w="662"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达标</w:t>
                  </w:r>
                </w:p>
              </w:tc>
              <w:tc>
                <w:tcPr>
                  <w:tcW w:w="611"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1744" w:type="dxa"/>
                  <w:tcBorders>
                    <w:top w:val="single" w:color="auto" w:sz="4" w:space="0"/>
                    <w:left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r>
                    <w:rPr>
                      <w:rFonts w:hint="eastAsia"/>
                      <w:kern w:val="0"/>
                      <w:sz w:val="18"/>
                      <w:szCs w:val="18"/>
                    </w:rPr>
                    <w:t>5#（项目西厂界）</w:t>
                  </w:r>
                </w:p>
              </w:tc>
              <w:tc>
                <w:tcPr>
                  <w:tcW w:w="882"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2023.2.25</w:t>
                  </w:r>
                </w:p>
              </w:tc>
              <w:tc>
                <w:tcPr>
                  <w:tcW w:w="574"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58</w:t>
                  </w:r>
                </w:p>
              </w:tc>
              <w:tc>
                <w:tcPr>
                  <w:tcW w:w="565"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48</w:t>
                  </w:r>
                </w:p>
              </w:tc>
              <w:tc>
                <w:tcPr>
                  <w:tcW w:w="547"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60</w:t>
                  </w:r>
                </w:p>
              </w:tc>
              <w:tc>
                <w:tcPr>
                  <w:tcW w:w="591"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50</w:t>
                  </w:r>
                </w:p>
              </w:tc>
              <w:tc>
                <w:tcPr>
                  <w:tcW w:w="1456" w:type="dxa"/>
                  <w:tcBorders>
                    <w:top w:val="single" w:color="auto" w:sz="4" w:space="0"/>
                    <w:left w:val="nil"/>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2类</w:t>
                  </w:r>
                </w:p>
              </w:tc>
              <w:tc>
                <w:tcPr>
                  <w:tcW w:w="662"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达标</w:t>
                  </w:r>
                </w:p>
              </w:tc>
              <w:tc>
                <w:tcPr>
                  <w:tcW w:w="611"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jc w:val="center"/>
              </w:trPr>
              <w:tc>
                <w:tcPr>
                  <w:tcW w:w="1744" w:type="dxa"/>
                  <w:tcBorders>
                    <w:left w:val="single" w:color="auto" w:sz="4" w:space="0"/>
                    <w:bottom w:val="single" w:color="auto" w:sz="4" w:space="0"/>
                    <w:right w:val="single" w:color="auto" w:sz="4" w:space="0"/>
                  </w:tcBorders>
                  <w:vAlign w:val="center"/>
                </w:tcPr>
                <w:p>
                  <w:pPr>
                    <w:widowControl/>
                    <w:spacing w:line="280" w:lineRule="exact"/>
                    <w:ind w:left="-53" w:leftChars="-25" w:right="-53" w:rightChars="-25"/>
                    <w:jc w:val="center"/>
                    <w:rPr>
                      <w:kern w:val="0"/>
                      <w:sz w:val="18"/>
                      <w:szCs w:val="18"/>
                    </w:rPr>
                  </w:pPr>
                  <w:r>
                    <w:rPr>
                      <w:rFonts w:hint="eastAsia"/>
                      <w:kern w:val="0"/>
                      <w:sz w:val="18"/>
                      <w:szCs w:val="18"/>
                    </w:rPr>
                    <w:t>6#（项目东北面住户）</w:t>
                  </w:r>
                </w:p>
              </w:tc>
              <w:tc>
                <w:tcPr>
                  <w:tcW w:w="882"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2023.2.25</w:t>
                  </w:r>
                </w:p>
              </w:tc>
              <w:tc>
                <w:tcPr>
                  <w:tcW w:w="574"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54</w:t>
                  </w:r>
                </w:p>
              </w:tc>
              <w:tc>
                <w:tcPr>
                  <w:tcW w:w="565"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45</w:t>
                  </w:r>
                </w:p>
              </w:tc>
              <w:tc>
                <w:tcPr>
                  <w:tcW w:w="547" w:type="dxa"/>
                  <w:tcBorders>
                    <w:top w:val="single" w:color="auto" w:sz="4" w:space="0"/>
                    <w:left w:val="nil"/>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60</w:t>
                  </w:r>
                </w:p>
              </w:tc>
              <w:tc>
                <w:tcPr>
                  <w:tcW w:w="591" w:type="dxa"/>
                  <w:tcBorders>
                    <w:top w:val="single" w:color="auto" w:sz="4" w:space="0"/>
                    <w:left w:val="nil"/>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50</w:t>
                  </w:r>
                </w:p>
              </w:tc>
              <w:tc>
                <w:tcPr>
                  <w:tcW w:w="1456" w:type="dxa"/>
                  <w:tcBorders>
                    <w:left w:val="nil"/>
                    <w:right w:val="single" w:color="auto" w:sz="4" w:space="0"/>
                  </w:tcBorders>
                  <w:vAlign w:val="center"/>
                </w:tcPr>
                <w:p>
                  <w:pPr>
                    <w:spacing w:line="280" w:lineRule="exact"/>
                    <w:ind w:left="-53" w:leftChars="-25" w:right="-53" w:rightChars="-25"/>
                    <w:jc w:val="center"/>
                    <w:rPr>
                      <w:kern w:val="0"/>
                      <w:sz w:val="18"/>
                      <w:szCs w:val="18"/>
                    </w:rPr>
                  </w:pPr>
                  <w:r>
                    <w:rPr>
                      <w:rFonts w:hint="eastAsia"/>
                      <w:kern w:val="0"/>
                      <w:sz w:val="18"/>
                      <w:szCs w:val="18"/>
                    </w:rPr>
                    <w:t>2类</w:t>
                  </w:r>
                </w:p>
              </w:tc>
              <w:tc>
                <w:tcPr>
                  <w:tcW w:w="662"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达标</w:t>
                  </w:r>
                </w:p>
              </w:tc>
              <w:tc>
                <w:tcPr>
                  <w:tcW w:w="611" w:type="dxa"/>
                  <w:tcBorders>
                    <w:top w:val="single" w:color="auto" w:sz="4" w:space="0"/>
                    <w:left w:val="nil"/>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达标</w:t>
                  </w:r>
                </w:p>
              </w:tc>
            </w:tr>
            <w:bookmarkEnd w:id="2"/>
          </w:tbl>
          <w:p>
            <w:pPr>
              <w:autoSpaceDE w:val="0"/>
              <w:autoSpaceDN w:val="0"/>
              <w:adjustRightInd w:val="0"/>
              <w:snapToGrid w:val="0"/>
              <w:spacing w:line="400" w:lineRule="exact"/>
              <w:ind w:firstLine="420" w:firstLineChars="200"/>
              <w:rPr>
                <w:kern w:val="0"/>
                <w:szCs w:val="21"/>
              </w:rPr>
            </w:pPr>
            <w:r>
              <w:rPr>
                <w:kern w:val="0"/>
                <w:szCs w:val="21"/>
              </w:rPr>
              <w:t>由监测结果可知，项目区周围环境噪声值能够满足《声环境质量标准》（GB3096-2008）中的</w:t>
            </w:r>
            <w:r>
              <w:rPr>
                <w:rFonts w:hint="eastAsia"/>
                <w:kern w:val="0"/>
                <w:szCs w:val="21"/>
              </w:rPr>
              <w:t>2</w:t>
            </w:r>
            <w:r>
              <w:rPr>
                <w:kern w:val="0"/>
                <w:szCs w:val="21"/>
              </w:rPr>
              <w:t>类区域标准要求。</w:t>
            </w:r>
          </w:p>
          <w:p>
            <w:pPr>
              <w:adjustRightInd w:val="0"/>
              <w:snapToGrid w:val="0"/>
              <w:spacing w:line="400" w:lineRule="exact"/>
              <w:jc w:val="left"/>
              <w:rPr>
                <w:rFonts w:eastAsia="黑体"/>
                <w:bCs/>
                <w:szCs w:val="21"/>
              </w:rPr>
            </w:pPr>
            <w:r>
              <w:rPr>
                <w:rFonts w:eastAsia="黑体"/>
                <w:bCs/>
                <w:szCs w:val="21"/>
              </w:rPr>
              <w:t>4、生态环境质量现状及评价</w:t>
            </w:r>
          </w:p>
          <w:p>
            <w:pPr>
              <w:autoSpaceDE w:val="0"/>
              <w:autoSpaceDN w:val="0"/>
              <w:adjustRightInd w:val="0"/>
              <w:snapToGrid w:val="0"/>
              <w:spacing w:line="400" w:lineRule="exact"/>
              <w:ind w:firstLine="420" w:firstLineChars="200"/>
              <w:jc w:val="left"/>
              <w:rPr>
                <w:szCs w:val="21"/>
                <w:lang w:val="zh-CN"/>
              </w:rPr>
            </w:pPr>
            <w:r>
              <w:rPr>
                <w:kern w:val="0"/>
                <w:szCs w:val="21"/>
              </w:rPr>
              <w:t>本项目位于</w:t>
            </w:r>
            <w:r>
              <w:rPr>
                <w:rFonts w:hint="eastAsia"/>
                <w:kern w:val="0"/>
                <w:szCs w:val="21"/>
              </w:rPr>
              <w:t>大竹县高明镇同心村9组，占地</w:t>
            </w:r>
            <w:r>
              <w:rPr>
                <w:kern w:val="0"/>
                <w:szCs w:val="21"/>
              </w:rPr>
              <w:t>区域主要以人类活动为主，周围主要是</w:t>
            </w:r>
            <w:r>
              <w:rPr>
                <w:rFonts w:hint="eastAsia"/>
                <w:kern w:val="0"/>
                <w:szCs w:val="21"/>
              </w:rPr>
              <w:t>农业</w:t>
            </w:r>
            <w:r>
              <w:rPr>
                <w:kern w:val="0"/>
                <w:szCs w:val="21"/>
              </w:rPr>
              <w:t>生态系统</w:t>
            </w:r>
            <w:r>
              <w:rPr>
                <w:rFonts w:hint="eastAsia"/>
                <w:kern w:val="0"/>
                <w:szCs w:val="21"/>
              </w:rPr>
              <w:t>，以坡地、农田为主。</w:t>
            </w:r>
            <w:r>
              <w:rPr>
                <w:kern w:val="0"/>
                <w:szCs w:val="21"/>
              </w:rPr>
              <w:t>区域土壤主要为紫色土</w:t>
            </w:r>
            <w:r>
              <w:rPr>
                <w:rFonts w:hint="eastAsia"/>
                <w:kern w:val="0"/>
                <w:szCs w:val="21"/>
              </w:rPr>
              <w:t>，植被主要以低矮树木、玉米、红薯等农作物为主，农田主要为水稻。动物以家禽家畜为主，野生动物主要有乌鸦、燕子、麻雀、蛇、鼠等。</w:t>
            </w:r>
            <w:r>
              <w:rPr>
                <w:kern w:val="0"/>
                <w:szCs w:val="21"/>
              </w:rPr>
              <w:t>区域</w:t>
            </w:r>
            <w:r>
              <w:rPr>
                <w:rFonts w:hint="eastAsia"/>
                <w:kern w:val="0"/>
                <w:szCs w:val="21"/>
              </w:rPr>
              <w:t>内</w:t>
            </w:r>
            <w:r>
              <w:rPr>
                <w:kern w:val="0"/>
                <w:szCs w:val="21"/>
              </w:rPr>
              <w:t>无大型野生动物及古、大、珍稀等需特殊保护的植物，无自然保护区、湿地、生态脆弱区、文物景点、风景名胜区等环境敏感区域。项目区及周围的生态环境质量一般。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792"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保护</w:t>
            </w:r>
          </w:p>
          <w:p>
            <w:pPr>
              <w:adjustRightInd w:val="0"/>
              <w:snapToGrid w:val="0"/>
              <w:jc w:val="center"/>
              <w:rPr>
                <w:kern w:val="0"/>
                <w:szCs w:val="21"/>
              </w:rPr>
            </w:pPr>
            <w:r>
              <w:rPr>
                <w:kern w:val="0"/>
                <w:szCs w:val="21"/>
              </w:rPr>
              <w:t>目标</w:t>
            </w:r>
          </w:p>
        </w:tc>
        <w:tc>
          <w:tcPr>
            <w:tcW w:w="812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400" w:lineRule="exact"/>
              <w:jc w:val="left"/>
              <w:rPr>
                <w:rFonts w:eastAsia="黑体"/>
                <w:bCs/>
                <w:szCs w:val="21"/>
              </w:rPr>
            </w:pPr>
            <w:r>
              <w:rPr>
                <w:rFonts w:eastAsia="黑体"/>
                <w:bCs/>
                <w:szCs w:val="21"/>
              </w:rPr>
              <w:t>1、大气环境</w:t>
            </w:r>
          </w:p>
          <w:p>
            <w:pPr>
              <w:autoSpaceDE w:val="0"/>
              <w:autoSpaceDN w:val="0"/>
              <w:adjustRightInd w:val="0"/>
              <w:snapToGrid w:val="0"/>
              <w:spacing w:line="400" w:lineRule="exact"/>
              <w:ind w:firstLine="420" w:firstLineChars="200"/>
              <w:jc w:val="left"/>
              <w:rPr>
                <w:rFonts w:eastAsia="黑体"/>
                <w:bCs/>
                <w:szCs w:val="21"/>
              </w:rPr>
            </w:pPr>
            <w:r>
              <w:rPr>
                <w:rFonts w:hint="eastAsia"/>
                <w:kern w:val="0"/>
                <w:szCs w:val="21"/>
              </w:rPr>
              <w:t>本项目设置大气专项评价，相关大气环境分析见大气专题。</w:t>
            </w:r>
          </w:p>
          <w:p>
            <w:pPr>
              <w:autoSpaceDE w:val="0"/>
              <w:autoSpaceDN w:val="0"/>
              <w:adjustRightInd w:val="0"/>
              <w:snapToGrid w:val="0"/>
              <w:spacing w:line="400" w:lineRule="exact"/>
              <w:jc w:val="left"/>
              <w:rPr>
                <w:rFonts w:eastAsia="黑体"/>
                <w:bCs/>
                <w:szCs w:val="21"/>
              </w:rPr>
            </w:pPr>
            <w:r>
              <w:rPr>
                <w:rFonts w:eastAsia="黑体"/>
                <w:bCs/>
                <w:szCs w:val="21"/>
              </w:rPr>
              <w:t>2、声环境</w:t>
            </w:r>
          </w:p>
          <w:p>
            <w:pPr>
              <w:autoSpaceDE w:val="0"/>
              <w:autoSpaceDN w:val="0"/>
              <w:adjustRightInd w:val="0"/>
              <w:snapToGrid w:val="0"/>
              <w:spacing w:line="400" w:lineRule="exact"/>
              <w:ind w:firstLine="420" w:firstLineChars="200"/>
              <w:jc w:val="left"/>
              <w:rPr>
                <w:kern w:val="0"/>
                <w:szCs w:val="21"/>
              </w:rPr>
            </w:pPr>
            <w:r>
              <w:rPr>
                <w:kern w:val="0"/>
                <w:szCs w:val="21"/>
              </w:rPr>
              <w:t>项目厂界外</w:t>
            </w:r>
            <w:r>
              <w:rPr>
                <w:rFonts w:hint="eastAsia"/>
                <w:kern w:val="0"/>
                <w:szCs w:val="21"/>
              </w:rPr>
              <w:t>50</w:t>
            </w:r>
            <w:r>
              <w:rPr>
                <w:kern w:val="0"/>
                <w:szCs w:val="21"/>
              </w:rPr>
              <w:t>米范围内的声环境保护目标如下。</w:t>
            </w:r>
          </w:p>
          <w:p>
            <w:pPr>
              <w:pStyle w:val="14"/>
              <w:spacing w:after="0" w:line="400" w:lineRule="exact"/>
              <w:ind w:left="0" w:leftChars="0"/>
              <w:jc w:val="center"/>
              <w:rPr>
                <w:rFonts w:ascii="黑体" w:hAnsi="黑体" w:eastAsia="黑体" w:cs="黑体"/>
                <w:kern w:val="0"/>
                <w:sz w:val="18"/>
                <w:szCs w:val="18"/>
              </w:rPr>
            </w:pPr>
            <w:r>
              <w:rPr>
                <w:rFonts w:hint="eastAsia" w:ascii="黑体" w:hAnsi="黑体" w:eastAsia="黑体" w:cs="黑体"/>
                <w:kern w:val="0"/>
                <w:sz w:val="18"/>
                <w:szCs w:val="18"/>
              </w:rPr>
              <w:t>表3-3    声环境保护目标表</w:t>
            </w:r>
          </w:p>
          <w:tbl>
            <w:tblPr>
              <w:tblStyle w:val="21"/>
              <w:tblW w:w="7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134"/>
              <w:gridCol w:w="1041"/>
              <w:gridCol w:w="1721"/>
              <w:gridCol w:w="1133"/>
              <w:gridCol w:w="1153"/>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634" w:type="dxa"/>
                  <w:vAlign w:val="center"/>
                </w:tcPr>
                <w:p>
                  <w:pPr>
                    <w:pStyle w:val="14"/>
                    <w:spacing w:after="0" w:line="300" w:lineRule="exact"/>
                    <w:ind w:left="0" w:leftChars="0"/>
                    <w:jc w:val="center"/>
                    <w:rPr>
                      <w:b/>
                      <w:bCs/>
                      <w:kern w:val="0"/>
                      <w:sz w:val="18"/>
                      <w:szCs w:val="18"/>
                    </w:rPr>
                  </w:pPr>
                  <w:r>
                    <w:rPr>
                      <w:rFonts w:hint="eastAsia"/>
                      <w:b/>
                      <w:bCs/>
                      <w:kern w:val="0"/>
                      <w:sz w:val="18"/>
                      <w:szCs w:val="18"/>
                    </w:rPr>
                    <w:t>序号</w:t>
                  </w:r>
                </w:p>
              </w:tc>
              <w:tc>
                <w:tcPr>
                  <w:tcW w:w="1134" w:type="dxa"/>
                  <w:vAlign w:val="center"/>
                </w:tcPr>
                <w:p>
                  <w:pPr>
                    <w:pStyle w:val="14"/>
                    <w:spacing w:after="0" w:line="300" w:lineRule="exact"/>
                    <w:ind w:left="0" w:leftChars="0"/>
                    <w:jc w:val="center"/>
                    <w:rPr>
                      <w:b/>
                      <w:bCs/>
                      <w:kern w:val="0"/>
                      <w:sz w:val="18"/>
                      <w:szCs w:val="18"/>
                    </w:rPr>
                  </w:pPr>
                  <w:r>
                    <w:rPr>
                      <w:rFonts w:hint="eastAsia"/>
                      <w:b/>
                      <w:bCs/>
                      <w:kern w:val="0"/>
                      <w:sz w:val="18"/>
                      <w:szCs w:val="18"/>
                    </w:rPr>
                    <w:t>名称</w:t>
                  </w:r>
                </w:p>
              </w:tc>
              <w:tc>
                <w:tcPr>
                  <w:tcW w:w="1041" w:type="dxa"/>
                  <w:vAlign w:val="center"/>
                </w:tcPr>
                <w:p>
                  <w:pPr>
                    <w:pStyle w:val="14"/>
                    <w:spacing w:after="0" w:line="300" w:lineRule="exact"/>
                    <w:ind w:left="0" w:leftChars="0"/>
                    <w:jc w:val="center"/>
                    <w:rPr>
                      <w:b/>
                      <w:bCs/>
                      <w:kern w:val="0"/>
                      <w:sz w:val="18"/>
                      <w:szCs w:val="18"/>
                    </w:rPr>
                  </w:pPr>
                  <w:r>
                    <w:rPr>
                      <w:rFonts w:hint="eastAsia"/>
                      <w:b/>
                      <w:bCs/>
                      <w:kern w:val="0"/>
                      <w:sz w:val="18"/>
                      <w:szCs w:val="18"/>
                    </w:rPr>
                    <w:t>规模</w:t>
                  </w:r>
                </w:p>
              </w:tc>
              <w:tc>
                <w:tcPr>
                  <w:tcW w:w="1721" w:type="dxa"/>
                  <w:vAlign w:val="center"/>
                </w:tcPr>
                <w:p>
                  <w:pPr>
                    <w:pStyle w:val="14"/>
                    <w:spacing w:after="0" w:line="300" w:lineRule="exact"/>
                    <w:ind w:left="0" w:leftChars="0"/>
                    <w:jc w:val="center"/>
                    <w:rPr>
                      <w:b/>
                      <w:bCs/>
                      <w:kern w:val="0"/>
                      <w:sz w:val="18"/>
                      <w:szCs w:val="18"/>
                    </w:rPr>
                  </w:pPr>
                  <w:r>
                    <w:rPr>
                      <w:rFonts w:hint="eastAsia"/>
                      <w:b/>
                      <w:bCs/>
                      <w:kern w:val="0"/>
                      <w:sz w:val="18"/>
                      <w:szCs w:val="18"/>
                    </w:rPr>
                    <w:t>坐标</w:t>
                  </w:r>
                </w:p>
              </w:tc>
              <w:tc>
                <w:tcPr>
                  <w:tcW w:w="1133" w:type="dxa"/>
                  <w:vAlign w:val="center"/>
                </w:tcPr>
                <w:p>
                  <w:pPr>
                    <w:pStyle w:val="14"/>
                    <w:spacing w:after="0" w:line="300" w:lineRule="exact"/>
                    <w:ind w:left="0" w:leftChars="0"/>
                    <w:jc w:val="center"/>
                    <w:rPr>
                      <w:b/>
                      <w:bCs/>
                      <w:kern w:val="0"/>
                      <w:sz w:val="18"/>
                      <w:szCs w:val="18"/>
                    </w:rPr>
                  </w:pPr>
                  <w:r>
                    <w:rPr>
                      <w:rFonts w:hint="eastAsia"/>
                      <w:b/>
                      <w:bCs/>
                      <w:kern w:val="0"/>
                      <w:sz w:val="18"/>
                      <w:szCs w:val="18"/>
                    </w:rPr>
                    <w:t>所处声环境功能区</w:t>
                  </w:r>
                </w:p>
              </w:tc>
              <w:tc>
                <w:tcPr>
                  <w:tcW w:w="1153" w:type="dxa"/>
                  <w:vAlign w:val="center"/>
                </w:tcPr>
                <w:p>
                  <w:pPr>
                    <w:pStyle w:val="14"/>
                    <w:spacing w:after="0" w:line="300" w:lineRule="exact"/>
                    <w:ind w:left="0" w:leftChars="0"/>
                    <w:jc w:val="center"/>
                    <w:rPr>
                      <w:b/>
                      <w:bCs/>
                      <w:kern w:val="0"/>
                      <w:sz w:val="18"/>
                      <w:szCs w:val="18"/>
                    </w:rPr>
                  </w:pPr>
                  <w:r>
                    <w:rPr>
                      <w:rFonts w:hint="eastAsia"/>
                      <w:b/>
                      <w:bCs/>
                      <w:kern w:val="0"/>
                      <w:sz w:val="18"/>
                      <w:szCs w:val="18"/>
                    </w:rPr>
                    <w:t>与项目厂界方位、距离</w:t>
                  </w:r>
                </w:p>
              </w:tc>
              <w:tc>
                <w:tcPr>
                  <w:tcW w:w="1059" w:type="dxa"/>
                  <w:vAlign w:val="center"/>
                </w:tcPr>
                <w:p>
                  <w:pPr>
                    <w:pStyle w:val="14"/>
                    <w:spacing w:after="0" w:line="300" w:lineRule="exact"/>
                    <w:ind w:left="0" w:leftChars="0"/>
                    <w:jc w:val="center"/>
                    <w:rPr>
                      <w:b/>
                      <w:bCs/>
                      <w:kern w:val="0"/>
                      <w:sz w:val="18"/>
                      <w:szCs w:val="18"/>
                    </w:rPr>
                  </w:pPr>
                  <w:r>
                    <w:rPr>
                      <w:rFonts w:hint="eastAsia"/>
                      <w:b/>
                      <w:bCs/>
                      <w:kern w:val="0"/>
                      <w:sz w:val="18"/>
                      <w:szCs w:val="18"/>
                    </w:rPr>
                    <w:t>距车间最近距离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634" w:type="dxa"/>
                  <w:vAlign w:val="center"/>
                </w:tcPr>
                <w:p>
                  <w:pPr>
                    <w:pStyle w:val="14"/>
                    <w:spacing w:after="0" w:line="300" w:lineRule="exact"/>
                    <w:ind w:left="0" w:leftChars="0"/>
                    <w:jc w:val="center"/>
                    <w:rPr>
                      <w:kern w:val="0"/>
                      <w:sz w:val="18"/>
                      <w:szCs w:val="18"/>
                    </w:rPr>
                  </w:pPr>
                  <w:r>
                    <w:rPr>
                      <w:rFonts w:hint="eastAsia"/>
                      <w:kern w:val="0"/>
                      <w:sz w:val="18"/>
                      <w:szCs w:val="18"/>
                    </w:rPr>
                    <w:t>1</w:t>
                  </w:r>
                </w:p>
              </w:tc>
              <w:tc>
                <w:tcPr>
                  <w:tcW w:w="1134" w:type="dxa"/>
                  <w:vAlign w:val="center"/>
                </w:tcPr>
                <w:p>
                  <w:pPr>
                    <w:pStyle w:val="14"/>
                    <w:spacing w:after="0" w:line="300" w:lineRule="exact"/>
                    <w:ind w:left="0" w:leftChars="0"/>
                    <w:jc w:val="center"/>
                    <w:rPr>
                      <w:kern w:val="0"/>
                      <w:sz w:val="18"/>
                      <w:szCs w:val="18"/>
                    </w:rPr>
                  </w:pPr>
                  <w:r>
                    <w:rPr>
                      <w:rFonts w:hint="eastAsia"/>
                      <w:kern w:val="0"/>
                      <w:sz w:val="18"/>
                      <w:szCs w:val="18"/>
                    </w:rPr>
                    <w:t>东北面住户</w:t>
                  </w:r>
                </w:p>
              </w:tc>
              <w:tc>
                <w:tcPr>
                  <w:tcW w:w="1041" w:type="dxa"/>
                  <w:vAlign w:val="center"/>
                </w:tcPr>
                <w:p>
                  <w:pPr>
                    <w:pStyle w:val="14"/>
                    <w:spacing w:after="0" w:line="300" w:lineRule="exact"/>
                    <w:ind w:left="0" w:leftChars="0"/>
                    <w:jc w:val="center"/>
                    <w:rPr>
                      <w:kern w:val="0"/>
                      <w:sz w:val="18"/>
                      <w:szCs w:val="18"/>
                    </w:rPr>
                  </w:pPr>
                  <w:r>
                    <w:rPr>
                      <w:rFonts w:hint="eastAsia"/>
                      <w:kern w:val="0"/>
                      <w:sz w:val="18"/>
                      <w:szCs w:val="18"/>
                    </w:rPr>
                    <w:t>1户、2人</w:t>
                  </w:r>
                </w:p>
              </w:tc>
              <w:tc>
                <w:tcPr>
                  <w:tcW w:w="1721" w:type="dxa"/>
                  <w:vAlign w:val="center"/>
                </w:tcPr>
                <w:p>
                  <w:pPr>
                    <w:pStyle w:val="14"/>
                    <w:spacing w:after="0" w:line="300" w:lineRule="exact"/>
                    <w:ind w:left="0" w:leftChars="0"/>
                    <w:jc w:val="center"/>
                    <w:rPr>
                      <w:kern w:val="0"/>
                      <w:sz w:val="18"/>
                      <w:szCs w:val="18"/>
                    </w:rPr>
                  </w:pPr>
                  <w:r>
                    <w:rPr>
                      <w:rFonts w:hint="eastAsia"/>
                      <w:kern w:val="0"/>
                      <w:sz w:val="18"/>
                      <w:szCs w:val="18"/>
                    </w:rPr>
                    <w:t>E</w:t>
                  </w:r>
                  <w:r>
                    <w:rPr>
                      <w:kern w:val="0"/>
                      <w:sz w:val="18"/>
                      <w:szCs w:val="18"/>
                    </w:rPr>
                    <w:t>107°</w:t>
                  </w:r>
                  <w:r>
                    <w:rPr>
                      <w:rFonts w:hint="eastAsia"/>
                      <w:kern w:val="0"/>
                      <w:sz w:val="18"/>
                      <w:szCs w:val="18"/>
                    </w:rPr>
                    <w:t>22</w:t>
                  </w:r>
                  <w:r>
                    <w:rPr>
                      <w:kern w:val="0"/>
                      <w:sz w:val="18"/>
                      <w:szCs w:val="18"/>
                    </w:rPr>
                    <w:t>′</w:t>
                  </w:r>
                  <w:r>
                    <w:rPr>
                      <w:rFonts w:hint="eastAsia"/>
                      <w:kern w:val="0"/>
                      <w:sz w:val="18"/>
                      <w:szCs w:val="18"/>
                    </w:rPr>
                    <w:t>8.12</w:t>
                  </w:r>
                  <w:r>
                    <w:rPr>
                      <w:kern w:val="0"/>
                      <w:sz w:val="18"/>
                      <w:szCs w:val="18"/>
                    </w:rPr>
                    <w:t>″,</w:t>
                  </w:r>
                  <w:r>
                    <w:rPr>
                      <w:rFonts w:hint="eastAsia"/>
                      <w:kern w:val="0"/>
                      <w:sz w:val="18"/>
                      <w:szCs w:val="18"/>
                    </w:rPr>
                    <w:t>N</w:t>
                  </w:r>
                  <w:r>
                    <w:rPr>
                      <w:kern w:val="0"/>
                      <w:sz w:val="18"/>
                      <w:szCs w:val="18"/>
                    </w:rPr>
                    <w:t>30°</w:t>
                  </w:r>
                  <w:r>
                    <w:rPr>
                      <w:rFonts w:hint="eastAsia"/>
                      <w:kern w:val="0"/>
                      <w:sz w:val="18"/>
                      <w:szCs w:val="18"/>
                    </w:rPr>
                    <w:t>33</w:t>
                  </w:r>
                  <w:r>
                    <w:rPr>
                      <w:kern w:val="0"/>
                      <w:sz w:val="18"/>
                      <w:szCs w:val="18"/>
                    </w:rPr>
                    <w:t>′</w:t>
                  </w:r>
                  <w:r>
                    <w:rPr>
                      <w:rFonts w:hint="eastAsia"/>
                      <w:kern w:val="0"/>
                      <w:sz w:val="18"/>
                      <w:szCs w:val="18"/>
                    </w:rPr>
                    <w:t>30.3</w:t>
                  </w:r>
                  <w:r>
                    <w:rPr>
                      <w:kern w:val="0"/>
                      <w:sz w:val="18"/>
                      <w:szCs w:val="18"/>
                    </w:rPr>
                    <w:t>0″</w:t>
                  </w:r>
                </w:p>
              </w:tc>
              <w:tc>
                <w:tcPr>
                  <w:tcW w:w="1133" w:type="dxa"/>
                  <w:vAlign w:val="center"/>
                </w:tcPr>
                <w:p>
                  <w:pPr>
                    <w:pStyle w:val="14"/>
                    <w:spacing w:after="0" w:line="300" w:lineRule="exact"/>
                    <w:ind w:left="0" w:leftChars="0"/>
                    <w:jc w:val="center"/>
                    <w:rPr>
                      <w:kern w:val="0"/>
                      <w:sz w:val="18"/>
                      <w:szCs w:val="18"/>
                    </w:rPr>
                  </w:pPr>
                  <w:r>
                    <w:rPr>
                      <w:rFonts w:hint="eastAsia"/>
                      <w:kern w:val="0"/>
                      <w:sz w:val="18"/>
                      <w:szCs w:val="18"/>
                    </w:rPr>
                    <w:t>2类</w:t>
                  </w:r>
                </w:p>
              </w:tc>
              <w:tc>
                <w:tcPr>
                  <w:tcW w:w="1153" w:type="dxa"/>
                  <w:vAlign w:val="center"/>
                </w:tcPr>
                <w:p>
                  <w:pPr>
                    <w:pStyle w:val="14"/>
                    <w:spacing w:after="0" w:line="300" w:lineRule="exact"/>
                    <w:ind w:left="0" w:leftChars="0"/>
                    <w:jc w:val="center"/>
                    <w:rPr>
                      <w:kern w:val="0"/>
                      <w:sz w:val="18"/>
                      <w:szCs w:val="18"/>
                    </w:rPr>
                  </w:pPr>
                  <w:r>
                    <w:rPr>
                      <w:rFonts w:hint="eastAsia"/>
                      <w:bCs/>
                      <w:kern w:val="0"/>
                      <w:sz w:val="18"/>
                      <w:szCs w:val="18"/>
                    </w:rPr>
                    <w:t>东北、12m</w:t>
                  </w:r>
                </w:p>
              </w:tc>
              <w:tc>
                <w:tcPr>
                  <w:tcW w:w="1059" w:type="dxa"/>
                  <w:vAlign w:val="center"/>
                </w:tcPr>
                <w:p>
                  <w:pPr>
                    <w:pStyle w:val="14"/>
                    <w:spacing w:after="0" w:line="300" w:lineRule="exact"/>
                    <w:ind w:left="0" w:leftChars="0"/>
                    <w:jc w:val="center"/>
                    <w:rPr>
                      <w:kern w:val="0"/>
                      <w:sz w:val="18"/>
                      <w:szCs w:val="18"/>
                    </w:rPr>
                  </w:pPr>
                  <w:r>
                    <w:rPr>
                      <w:rFonts w:hint="eastAsia"/>
                      <w:kern w:val="0"/>
                      <w:sz w:val="18"/>
                      <w:szCs w:val="18"/>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634" w:type="dxa"/>
                  <w:vAlign w:val="center"/>
                </w:tcPr>
                <w:p>
                  <w:pPr>
                    <w:pStyle w:val="14"/>
                    <w:spacing w:after="0" w:line="300" w:lineRule="exact"/>
                    <w:ind w:left="0" w:leftChars="0"/>
                    <w:jc w:val="center"/>
                    <w:rPr>
                      <w:kern w:val="0"/>
                      <w:sz w:val="18"/>
                      <w:szCs w:val="18"/>
                    </w:rPr>
                  </w:pPr>
                  <w:r>
                    <w:rPr>
                      <w:rFonts w:hint="eastAsia"/>
                      <w:kern w:val="0"/>
                      <w:sz w:val="18"/>
                      <w:szCs w:val="18"/>
                    </w:rPr>
                    <w:t>2</w:t>
                  </w:r>
                </w:p>
              </w:tc>
              <w:tc>
                <w:tcPr>
                  <w:tcW w:w="1134" w:type="dxa"/>
                  <w:vAlign w:val="center"/>
                </w:tcPr>
                <w:p>
                  <w:pPr>
                    <w:pStyle w:val="14"/>
                    <w:spacing w:after="0" w:line="300" w:lineRule="exact"/>
                    <w:ind w:left="0" w:leftChars="0"/>
                    <w:jc w:val="center"/>
                    <w:rPr>
                      <w:kern w:val="0"/>
                      <w:sz w:val="18"/>
                      <w:szCs w:val="18"/>
                    </w:rPr>
                  </w:pPr>
                  <w:r>
                    <w:rPr>
                      <w:rFonts w:hint="eastAsia"/>
                      <w:kern w:val="0"/>
                      <w:sz w:val="18"/>
                      <w:szCs w:val="18"/>
                    </w:rPr>
                    <w:t>东面住户</w:t>
                  </w:r>
                </w:p>
              </w:tc>
              <w:tc>
                <w:tcPr>
                  <w:tcW w:w="1041" w:type="dxa"/>
                  <w:vAlign w:val="center"/>
                </w:tcPr>
                <w:p>
                  <w:pPr>
                    <w:pStyle w:val="14"/>
                    <w:spacing w:after="0" w:line="300" w:lineRule="exact"/>
                    <w:ind w:left="0" w:leftChars="0"/>
                    <w:jc w:val="center"/>
                    <w:rPr>
                      <w:kern w:val="0"/>
                      <w:sz w:val="18"/>
                      <w:szCs w:val="18"/>
                    </w:rPr>
                  </w:pPr>
                  <w:r>
                    <w:rPr>
                      <w:rFonts w:hint="eastAsia"/>
                      <w:kern w:val="0"/>
                      <w:sz w:val="18"/>
                      <w:szCs w:val="18"/>
                    </w:rPr>
                    <w:t>2户、5人</w:t>
                  </w:r>
                </w:p>
              </w:tc>
              <w:tc>
                <w:tcPr>
                  <w:tcW w:w="1721" w:type="dxa"/>
                  <w:vAlign w:val="center"/>
                </w:tcPr>
                <w:p>
                  <w:pPr>
                    <w:pStyle w:val="14"/>
                    <w:spacing w:after="0" w:line="300" w:lineRule="exact"/>
                    <w:ind w:left="0" w:leftChars="0"/>
                    <w:jc w:val="center"/>
                    <w:rPr>
                      <w:kern w:val="0"/>
                      <w:sz w:val="18"/>
                      <w:szCs w:val="18"/>
                    </w:rPr>
                  </w:pPr>
                  <w:r>
                    <w:rPr>
                      <w:rFonts w:hint="eastAsia"/>
                      <w:kern w:val="0"/>
                      <w:sz w:val="18"/>
                      <w:szCs w:val="18"/>
                    </w:rPr>
                    <w:t>E</w:t>
                  </w:r>
                  <w:r>
                    <w:rPr>
                      <w:kern w:val="0"/>
                      <w:sz w:val="18"/>
                      <w:szCs w:val="18"/>
                    </w:rPr>
                    <w:t>107°</w:t>
                  </w:r>
                  <w:r>
                    <w:rPr>
                      <w:rFonts w:hint="eastAsia"/>
                      <w:kern w:val="0"/>
                      <w:sz w:val="18"/>
                      <w:szCs w:val="18"/>
                    </w:rPr>
                    <w:t>22</w:t>
                  </w:r>
                  <w:r>
                    <w:rPr>
                      <w:kern w:val="0"/>
                      <w:sz w:val="18"/>
                      <w:szCs w:val="18"/>
                    </w:rPr>
                    <w:t>′</w:t>
                  </w:r>
                  <w:r>
                    <w:rPr>
                      <w:rFonts w:hint="eastAsia"/>
                      <w:kern w:val="0"/>
                      <w:sz w:val="18"/>
                      <w:szCs w:val="18"/>
                    </w:rPr>
                    <w:t>6.98</w:t>
                  </w:r>
                  <w:r>
                    <w:rPr>
                      <w:kern w:val="0"/>
                      <w:sz w:val="18"/>
                      <w:szCs w:val="18"/>
                    </w:rPr>
                    <w:t>″,</w:t>
                  </w:r>
                  <w:r>
                    <w:rPr>
                      <w:rFonts w:hint="eastAsia"/>
                      <w:kern w:val="0"/>
                      <w:sz w:val="18"/>
                      <w:szCs w:val="18"/>
                    </w:rPr>
                    <w:t>N</w:t>
                  </w:r>
                  <w:r>
                    <w:rPr>
                      <w:kern w:val="0"/>
                      <w:sz w:val="18"/>
                      <w:szCs w:val="18"/>
                    </w:rPr>
                    <w:t>30°</w:t>
                  </w:r>
                  <w:r>
                    <w:rPr>
                      <w:rFonts w:hint="eastAsia"/>
                      <w:kern w:val="0"/>
                      <w:sz w:val="18"/>
                      <w:szCs w:val="18"/>
                    </w:rPr>
                    <w:t>33</w:t>
                  </w:r>
                  <w:r>
                    <w:rPr>
                      <w:kern w:val="0"/>
                      <w:sz w:val="18"/>
                      <w:szCs w:val="18"/>
                    </w:rPr>
                    <w:t>′</w:t>
                  </w:r>
                  <w:r>
                    <w:rPr>
                      <w:rFonts w:hint="eastAsia"/>
                      <w:kern w:val="0"/>
                      <w:sz w:val="18"/>
                      <w:szCs w:val="18"/>
                    </w:rPr>
                    <w:t>27</w:t>
                  </w:r>
                  <w:r>
                    <w:rPr>
                      <w:kern w:val="0"/>
                      <w:sz w:val="18"/>
                      <w:szCs w:val="18"/>
                    </w:rPr>
                    <w:t>.71″</w:t>
                  </w:r>
                </w:p>
              </w:tc>
              <w:tc>
                <w:tcPr>
                  <w:tcW w:w="1133" w:type="dxa"/>
                  <w:vAlign w:val="center"/>
                </w:tcPr>
                <w:p>
                  <w:pPr>
                    <w:pStyle w:val="14"/>
                    <w:spacing w:after="0" w:line="300" w:lineRule="exact"/>
                    <w:ind w:left="0" w:leftChars="0"/>
                    <w:jc w:val="center"/>
                    <w:rPr>
                      <w:kern w:val="0"/>
                      <w:sz w:val="18"/>
                      <w:szCs w:val="18"/>
                    </w:rPr>
                  </w:pPr>
                  <w:r>
                    <w:rPr>
                      <w:rFonts w:hint="eastAsia"/>
                      <w:kern w:val="0"/>
                      <w:sz w:val="18"/>
                      <w:szCs w:val="18"/>
                    </w:rPr>
                    <w:t>2类</w:t>
                  </w:r>
                </w:p>
              </w:tc>
              <w:tc>
                <w:tcPr>
                  <w:tcW w:w="1153" w:type="dxa"/>
                  <w:vAlign w:val="center"/>
                </w:tcPr>
                <w:p>
                  <w:pPr>
                    <w:pStyle w:val="14"/>
                    <w:spacing w:after="0" w:line="300" w:lineRule="exact"/>
                    <w:ind w:left="0" w:leftChars="0"/>
                    <w:jc w:val="center"/>
                    <w:rPr>
                      <w:kern w:val="0"/>
                      <w:sz w:val="18"/>
                      <w:szCs w:val="18"/>
                    </w:rPr>
                  </w:pPr>
                  <w:r>
                    <w:rPr>
                      <w:rFonts w:hint="eastAsia"/>
                      <w:kern w:val="0"/>
                      <w:sz w:val="18"/>
                      <w:szCs w:val="18"/>
                    </w:rPr>
                    <w:t>东、8~16m</w:t>
                  </w:r>
                </w:p>
              </w:tc>
              <w:tc>
                <w:tcPr>
                  <w:tcW w:w="1059" w:type="dxa"/>
                  <w:vAlign w:val="center"/>
                </w:tcPr>
                <w:p>
                  <w:pPr>
                    <w:pStyle w:val="14"/>
                    <w:spacing w:after="0" w:line="300" w:lineRule="exact"/>
                    <w:ind w:left="0" w:leftChars="0"/>
                    <w:jc w:val="center"/>
                    <w:rPr>
                      <w:kern w:val="0"/>
                      <w:sz w:val="18"/>
                      <w:szCs w:val="18"/>
                    </w:rPr>
                  </w:pPr>
                  <w:r>
                    <w:rPr>
                      <w:rFonts w:hint="eastAsia"/>
                      <w:kern w:val="0"/>
                      <w:sz w:val="18"/>
                      <w:szCs w:val="18"/>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634" w:type="dxa"/>
                  <w:vAlign w:val="center"/>
                </w:tcPr>
                <w:p>
                  <w:pPr>
                    <w:pStyle w:val="14"/>
                    <w:spacing w:after="0" w:line="300" w:lineRule="exact"/>
                    <w:ind w:left="0" w:leftChars="0"/>
                    <w:jc w:val="center"/>
                    <w:rPr>
                      <w:kern w:val="0"/>
                      <w:sz w:val="18"/>
                      <w:szCs w:val="18"/>
                    </w:rPr>
                  </w:pPr>
                  <w:r>
                    <w:rPr>
                      <w:rFonts w:hint="eastAsia"/>
                      <w:kern w:val="0"/>
                      <w:sz w:val="18"/>
                      <w:szCs w:val="18"/>
                    </w:rPr>
                    <w:t>3</w:t>
                  </w:r>
                </w:p>
              </w:tc>
              <w:tc>
                <w:tcPr>
                  <w:tcW w:w="1134" w:type="dxa"/>
                  <w:vAlign w:val="center"/>
                </w:tcPr>
                <w:p>
                  <w:pPr>
                    <w:pStyle w:val="14"/>
                    <w:spacing w:after="0" w:line="300" w:lineRule="exact"/>
                    <w:ind w:left="0" w:leftChars="0"/>
                    <w:jc w:val="center"/>
                    <w:rPr>
                      <w:kern w:val="0"/>
                      <w:sz w:val="18"/>
                      <w:szCs w:val="18"/>
                    </w:rPr>
                  </w:pPr>
                  <w:r>
                    <w:rPr>
                      <w:rFonts w:hint="eastAsia"/>
                      <w:kern w:val="0"/>
                      <w:sz w:val="18"/>
                      <w:szCs w:val="18"/>
                    </w:rPr>
                    <w:t>东南面住户</w:t>
                  </w:r>
                </w:p>
              </w:tc>
              <w:tc>
                <w:tcPr>
                  <w:tcW w:w="1041" w:type="dxa"/>
                  <w:vAlign w:val="center"/>
                </w:tcPr>
                <w:p>
                  <w:pPr>
                    <w:pStyle w:val="14"/>
                    <w:spacing w:after="0" w:line="300" w:lineRule="exact"/>
                    <w:ind w:left="0" w:leftChars="0"/>
                    <w:jc w:val="center"/>
                    <w:rPr>
                      <w:kern w:val="0"/>
                      <w:sz w:val="18"/>
                      <w:szCs w:val="18"/>
                    </w:rPr>
                  </w:pPr>
                  <w:r>
                    <w:rPr>
                      <w:rFonts w:hint="eastAsia"/>
                      <w:kern w:val="0"/>
                      <w:sz w:val="18"/>
                      <w:szCs w:val="18"/>
                    </w:rPr>
                    <w:t>1户、3人</w:t>
                  </w:r>
                </w:p>
              </w:tc>
              <w:tc>
                <w:tcPr>
                  <w:tcW w:w="1721" w:type="dxa"/>
                  <w:vAlign w:val="center"/>
                </w:tcPr>
                <w:p>
                  <w:pPr>
                    <w:pStyle w:val="14"/>
                    <w:spacing w:after="0" w:line="300" w:lineRule="exact"/>
                    <w:ind w:left="0" w:leftChars="0"/>
                    <w:jc w:val="center"/>
                    <w:rPr>
                      <w:kern w:val="0"/>
                      <w:sz w:val="18"/>
                      <w:szCs w:val="18"/>
                    </w:rPr>
                  </w:pPr>
                  <w:r>
                    <w:rPr>
                      <w:rFonts w:hint="eastAsia"/>
                      <w:kern w:val="0"/>
                      <w:sz w:val="18"/>
                      <w:szCs w:val="18"/>
                    </w:rPr>
                    <w:t>E</w:t>
                  </w:r>
                  <w:r>
                    <w:rPr>
                      <w:kern w:val="0"/>
                      <w:sz w:val="18"/>
                      <w:szCs w:val="18"/>
                    </w:rPr>
                    <w:t>107°</w:t>
                  </w:r>
                  <w:r>
                    <w:rPr>
                      <w:rFonts w:hint="eastAsia"/>
                      <w:kern w:val="0"/>
                      <w:sz w:val="18"/>
                      <w:szCs w:val="18"/>
                    </w:rPr>
                    <w:t>22</w:t>
                  </w:r>
                  <w:r>
                    <w:rPr>
                      <w:kern w:val="0"/>
                      <w:sz w:val="18"/>
                      <w:szCs w:val="18"/>
                    </w:rPr>
                    <w:t>′</w:t>
                  </w:r>
                  <w:r>
                    <w:rPr>
                      <w:rFonts w:hint="eastAsia"/>
                      <w:kern w:val="0"/>
                      <w:sz w:val="18"/>
                      <w:szCs w:val="18"/>
                    </w:rPr>
                    <w:t>6.76</w:t>
                  </w:r>
                  <w:r>
                    <w:rPr>
                      <w:kern w:val="0"/>
                      <w:sz w:val="18"/>
                      <w:szCs w:val="18"/>
                    </w:rPr>
                    <w:t>″,</w:t>
                  </w:r>
                  <w:r>
                    <w:rPr>
                      <w:rFonts w:hint="eastAsia"/>
                      <w:kern w:val="0"/>
                      <w:sz w:val="18"/>
                      <w:szCs w:val="18"/>
                    </w:rPr>
                    <w:t>N</w:t>
                  </w:r>
                  <w:r>
                    <w:rPr>
                      <w:kern w:val="0"/>
                      <w:sz w:val="18"/>
                      <w:szCs w:val="18"/>
                    </w:rPr>
                    <w:t>30°</w:t>
                  </w:r>
                  <w:r>
                    <w:rPr>
                      <w:rFonts w:hint="eastAsia"/>
                      <w:kern w:val="0"/>
                      <w:sz w:val="18"/>
                      <w:szCs w:val="18"/>
                    </w:rPr>
                    <w:t>33</w:t>
                  </w:r>
                  <w:r>
                    <w:rPr>
                      <w:kern w:val="0"/>
                      <w:sz w:val="18"/>
                      <w:szCs w:val="18"/>
                    </w:rPr>
                    <w:t>′</w:t>
                  </w:r>
                  <w:r>
                    <w:rPr>
                      <w:rFonts w:hint="eastAsia"/>
                      <w:kern w:val="0"/>
                      <w:sz w:val="18"/>
                      <w:szCs w:val="18"/>
                    </w:rPr>
                    <w:t>26.84</w:t>
                  </w:r>
                  <w:r>
                    <w:rPr>
                      <w:kern w:val="0"/>
                      <w:sz w:val="18"/>
                      <w:szCs w:val="18"/>
                    </w:rPr>
                    <w:t>″</w:t>
                  </w:r>
                </w:p>
              </w:tc>
              <w:tc>
                <w:tcPr>
                  <w:tcW w:w="1133" w:type="dxa"/>
                  <w:vAlign w:val="center"/>
                </w:tcPr>
                <w:p>
                  <w:pPr>
                    <w:pStyle w:val="14"/>
                    <w:spacing w:after="0" w:line="300" w:lineRule="exact"/>
                    <w:ind w:left="0" w:leftChars="0"/>
                    <w:jc w:val="center"/>
                    <w:rPr>
                      <w:kern w:val="0"/>
                      <w:sz w:val="18"/>
                      <w:szCs w:val="18"/>
                    </w:rPr>
                  </w:pPr>
                  <w:r>
                    <w:rPr>
                      <w:rFonts w:hint="eastAsia"/>
                      <w:kern w:val="0"/>
                      <w:sz w:val="18"/>
                      <w:szCs w:val="18"/>
                    </w:rPr>
                    <w:t>2类</w:t>
                  </w:r>
                </w:p>
              </w:tc>
              <w:tc>
                <w:tcPr>
                  <w:tcW w:w="1153" w:type="dxa"/>
                  <w:vAlign w:val="center"/>
                </w:tcPr>
                <w:p>
                  <w:pPr>
                    <w:pStyle w:val="14"/>
                    <w:spacing w:after="0" w:line="300" w:lineRule="exact"/>
                    <w:ind w:left="0" w:leftChars="0"/>
                    <w:jc w:val="center"/>
                    <w:rPr>
                      <w:kern w:val="0"/>
                      <w:sz w:val="18"/>
                      <w:szCs w:val="18"/>
                    </w:rPr>
                  </w:pPr>
                  <w:r>
                    <w:rPr>
                      <w:rFonts w:hint="eastAsia"/>
                      <w:kern w:val="0"/>
                      <w:sz w:val="18"/>
                      <w:szCs w:val="18"/>
                    </w:rPr>
                    <w:t>东南、8m</w:t>
                  </w:r>
                </w:p>
              </w:tc>
              <w:tc>
                <w:tcPr>
                  <w:tcW w:w="1059" w:type="dxa"/>
                  <w:vAlign w:val="center"/>
                </w:tcPr>
                <w:p>
                  <w:pPr>
                    <w:pStyle w:val="14"/>
                    <w:spacing w:after="0" w:line="300" w:lineRule="exact"/>
                    <w:ind w:left="0" w:leftChars="0"/>
                    <w:jc w:val="center"/>
                    <w:rPr>
                      <w:kern w:val="0"/>
                      <w:sz w:val="18"/>
                      <w:szCs w:val="18"/>
                    </w:rPr>
                  </w:pPr>
                  <w:r>
                    <w:rPr>
                      <w:rFonts w:hint="eastAsia"/>
                      <w:kern w:val="0"/>
                      <w:sz w:val="18"/>
                      <w:szCs w:val="18"/>
                    </w:rPr>
                    <w:t>16m</w:t>
                  </w:r>
                </w:p>
              </w:tc>
            </w:tr>
          </w:tbl>
          <w:p>
            <w:pPr>
              <w:adjustRightInd w:val="0"/>
              <w:snapToGrid w:val="0"/>
              <w:spacing w:line="400" w:lineRule="exact"/>
              <w:jc w:val="left"/>
              <w:rPr>
                <w:rFonts w:eastAsia="黑体"/>
                <w:bCs/>
                <w:szCs w:val="21"/>
              </w:rPr>
            </w:pPr>
            <w:r>
              <w:rPr>
                <w:rFonts w:eastAsia="黑体"/>
                <w:bCs/>
                <w:szCs w:val="21"/>
              </w:rPr>
              <w:t>3、地表水环境</w:t>
            </w:r>
          </w:p>
          <w:p>
            <w:pPr>
              <w:adjustRightInd w:val="0"/>
              <w:snapToGrid w:val="0"/>
              <w:spacing w:line="400" w:lineRule="exact"/>
              <w:ind w:firstLine="420" w:firstLineChars="200"/>
              <w:jc w:val="left"/>
              <w:rPr>
                <w:kern w:val="0"/>
                <w:szCs w:val="21"/>
              </w:rPr>
            </w:pPr>
            <w:r>
              <w:rPr>
                <w:rFonts w:hint="eastAsia"/>
                <w:kern w:val="0"/>
                <w:szCs w:val="21"/>
              </w:rPr>
              <w:t>与本项目有关的地表水体为西面高滩河。项目区域地表水体评价河段</w:t>
            </w:r>
            <w:r>
              <w:rPr>
                <w:rFonts w:hint="eastAsia" w:cs="宋体"/>
                <w:kern w:val="0"/>
                <w:szCs w:val="21"/>
              </w:rPr>
              <w:t>不涉及饮用水源保护区、饮用水源取水口、涉水的自然保护区等水环境保护目标。</w:t>
            </w:r>
          </w:p>
          <w:p>
            <w:pPr>
              <w:adjustRightInd w:val="0"/>
              <w:snapToGrid w:val="0"/>
              <w:spacing w:line="400" w:lineRule="exact"/>
              <w:jc w:val="left"/>
              <w:rPr>
                <w:rFonts w:eastAsia="黑体"/>
                <w:bCs/>
                <w:szCs w:val="21"/>
              </w:rPr>
            </w:pPr>
            <w:r>
              <w:rPr>
                <w:rFonts w:eastAsia="黑体"/>
                <w:bCs/>
                <w:szCs w:val="21"/>
              </w:rPr>
              <w:t>4、地下水环境</w:t>
            </w:r>
          </w:p>
          <w:p>
            <w:pPr>
              <w:autoSpaceDE w:val="0"/>
              <w:autoSpaceDN w:val="0"/>
              <w:adjustRightInd w:val="0"/>
              <w:snapToGrid w:val="0"/>
              <w:spacing w:line="400" w:lineRule="exact"/>
              <w:ind w:firstLine="420" w:firstLineChars="200"/>
              <w:jc w:val="left"/>
              <w:rPr>
                <w:kern w:val="0"/>
                <w:szCs w:val="21"/>
              </w:rPr>
            </w:pPr>
            <w:r>
              <w:rPr>
                <w:kern w:val="0"/>
                <w:szCs w:val="21"/>
              </w:rPr>
              <w:t>根据调查，项目厂界外500米范围内的无地下水集中式饮用水水源和热水、矿泉水、温泉等特殊地下水资源。</w:t>
            </w:r>
          </w:p>
          <w:p>
            <w:pPr>
              <w:adjustRightInd w:val="0"/>
              <w:snapToGrid w:val="0"/>
              <w:spacing w:line="400" w:lineRule="exact"/>
              <w:jc w:val="left"/>
              <w:rPr>
                <w:rFonts w:eastAsia="黑体"/>
                <w:bCs/>
                <w:szCs w:val="21"/>
              </w:rPr>
            </w:pPr>
            <w:r>
              <w:rPr>
                <w:rFonts w:hint="eastAsia" w:eastAsia="黑体"/>
                <w:bCs/>
                <w:szCs w:val="21"/>
              </w:rPr>
              <w:t>5</w:t>
            </w:r>
            <w:r>
              <w:rPr>
                <w:rFonts w:eastAsia="黑体"/>
                <w:bCs/>
                <w:szCs w:val="21"/>
              </w:rPr>
              <w:t>、土壤环境</w:t>
            </w:r>
          </w:p>
          <w:p>
            <w:pPr>
              <w:autoSpaceDE w:val="0"/>
              <w:autoSpaceDN w:val="0"/>
              <w:adjustRightInd w:val="0"/>
              <w:snapToGrid w:val="0"/>
              <w:spacing w:line="400" w:lineRule="exact"/>
              <w:ind w:firstLine="420" w:firstLineChars="200"/>
              <w:jc w:val="left"/>
              <w:rPr>
                <w:kern w:val="0"/>
                <w:szCs w:val="21"/>
              </w:rPr>
            </w:pPr>
            <w:r>
              <w:rPr>
                <w:kern w:val="0"/>
                <w:szCs w:val="21"/>
              </w:rPr>
              <w:t>根据调查，本项目占地周围50m范围内多为山坡、荒地，不存在土壤环境敏感目标</w:t>
            </w:r>
            <w:r>
              <w:rPr>
                <w:rFonts w:hint="eastAsia"/>
                <w:kern w:val="0"/>
                <w:szCs w:val="21"/>
              </w:rPr>
              <w:t>。</w:t>
            </w:r>
          </w:p>
          <w:p>
            <w:pPr>
              <w:adjustRightInd w:val="0"/>
              <w:snapToGrid w:val="0"/>
              <w:spacing w:line="360" w:lineRule="exact"/>
              <w:jc w:val="left"/>
              <w:rPr>
                <w:rFonts w:eastAsia="黑体"/>
                <w:bCs/>
                <w:szCs w:val="21"/>
              </w:rPr>
            </w:pPr>
            <w:r>
              <w:rPr>
                <w:rFonts w:hint="eastAsia" w:eastAsia="黑体"/>
                <w:bCs/>
                <w:szCs w:val="21"/>
              </w:rPr>
              <w:t>6</w:t>
            </w:r>
            <w:r>
              <w:rPr>
                <w:rFonts w:eastAsia="黑体"/>
                <w:bCs/>
                <w:szCs w:val="21"/>
              </w:rPr>
              <w:t>、生态环境</w:t>
            </w:r>
          </w:p>
          <w:p>
            <w:pPr>
              <w:autoSpaceDE w:val="0"/>
              <w:autoSpaceDN w:val="0"/>
              <w:adjustRightInd w:val="0"/>
              <w:snapToGrid w:val="0"/>
              <w:spacing w:line="400" w:lineRule="exact"/>
              <w:ind w:firstLine="420" w:firstLineChars="200"/>
              <w:jc w:val="left"/>
              <w:rPr>
                <w:szCs w:val="21"/>
              </w:rPr>
            </w:pPr>
            <w:r>
              <w:rPr>
                <w:kern w:val="0"/>
                <w:szCs w:val="21"/>
              </w:rPr>
              <w:t>根据现场调查，项目区域内不涉及自然保护区、森林公园及风景名胜区、生活饮用水水源保护区及其他需要特别保护区域，区域内无国家保护的重点野生动植物，无名木古树及珍稀动植物等，无特殊文物保护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57" w:hRule="atLeast"/>
          <w:jc w:val="center"/>
        </w:trPr>
        <w:tc>
          <w:tcPr>
            <w:tcW w:w="792"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kern w:val="0"/>
                <w:szCs w:val="21"/>
              </w:rPr>
            </w:pPr>
          </w:p>
          <w:p>
            <w:pPr>
              <w:adjustRightInd w:val="0"/>
              <w:snapToGrid w:val="0"/>
              <w:jc w:val="center"/>
              <w:rPr>
                <w:kern w:val="0"/>
                <w:szCs w:val="21"/>
              </w:rPr>
            </w:pPr>
          </w:p>
          <w:p>
            <w:pPr>
              <w:pStyle w:val="14"/>
            </w:pPr>
          </w:p>
          <w:p>
            <w:pPr>
              <w:pStyle w:val="14"/>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kern w:val="0"/>
                <w:szCs w:val="21"/>
              </w:rPr>
            </w:pPr>
            <w:r>
              <w:rPr>
                <w:kern w:val="0"/>
                <w:szCs w:val="21"/>
              </w:rPr>
              <w:t>准</w:t>
            </w:r>
          </w:p>
          <w:p>
            <w:pPr>
              <w:pStyle w:val="14"/>
            </w:pPr>
          </w:p>
          <w:p>
            <w:pPr>
              <w:pStyle w:val="14"/>
            </w:pPr>
          </w:p>
          <w:p>
            <w:pPr>
              <w:pStyle w:val="14"/>
            </w:pPr>
          </w:p>
          <w:p>
            <w:pPr>
              <w:pStyle w:val="14"/>
            </w:pPr>
          </w:p>
          <w:p>
            <w:pPr>
              <w:pStyle w:val="14"/>
            </w:pPr>
          </w:p>
          <w:p>
            <w:pPr>
              <w:pStyle w:val="14"/>
            </w:pPr>
          </w:p>
          <w:p>
            <w:pPr>
              <w:pStyle w:val="14"/>
            </w:pPr>
          </w:p>
          <w:p>
            <w:pPr>
              <w:pStyle w:val="14"/>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pStyle w:val="14"/>
            </w:pPr>
          </w:p>
          <w:p>
            <w:pPr>
              <w:adjustRightInd w:val="0"/>
              <w:snapToGrid w:val="0"/>
              <w:jc w:val="center"/>
              <w:rPr>
                <w:kern w:val="0"/>
                <w:szCs w:val="21"/>
              </w:rPr>
            </w:pPr>
          </w:p>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kern w:val="0"/>
                <w:szCs w:val="21"/>
              </w:rPr>
            </w:pPr>
            <w:r>
              <w:rPr>
                <w:kern w:val="0"/>
                <w:szCs w:val="21"/>
              </w:rPr>
              <w:t>准</w:t>
            </w:r>
          </w:p>
          <w:p>
            <w:pPr>
              <w:pStyle w:val="14"/>
            </w:pPr>
          </w:p>
          <w:p>
            <w:pPr>
              <w:pStyle w:val="14"/>
            </w:pPr>
          </w:p>
          <w:p>
            <w:pPr>
              <w:pStyle w:val="14"/>
            </w:pPr>
          </w:p>
          <w:p>
            <w:pPr>
              <w:pStyle w:val="14"/>
            </w:pPr>
          </w:p>
        </w:tc>
        <w:tc>
          <w:tcPr>
            <w:tcW w:w="8127" w:type="dxa"/>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napToGrid w:val="0"/>
              <w:spacing w:line="400" w:lineRule="exact"/>
              <w:ind w:firstLine="420" w:firstLineChars="200"/>
              <w:jc w:val="left"/>
              <w:rPr>
                <w:rFonts w:cs="宋体"/>
                <w:kern w:val="0"/>
                <w:szCs w:val="21"/>
              </w:rPr>
            </w:pPr>
            <w:r>
              <w:rPr>
                <w:szCs w:val="21"/>
              </w:rPr>
              <w:t>1</w:t>
            </w:r>
            <w:r>
              <w:rPr>
                <w:rFonts w:hint="eastAsia" w:cs="宋体"/>
                <w:szCs w:val="21"/>
              </w:rPr>
              <w:t>．大气污染物：</w:t>
            </w:r>
            <w:r>
              <w:rPr>
                <w:rFonts w:hint="eastAsia" w:cs="宋体"/>
                <w:kern w:val="0"/>
                <w:szCs w:val="21"/>
              </w:rPr>
              <w:t>施工期废气执行《四川省施工场地扬尘排放标准》（</w:t>
            </w:r>
            <w:r>
              <w:rPr>
                <w:rFonts w:cs="宋体"/>
                <w:kern w:val="0"/>
                <w:szCs w:val="21"/>
              </w:rPr>
              <w:t>DB51/2682</w:t>
            </w:r>
            <w:r>
              <w:rPr>
                <w:rFonts w:hint="eastAsia" w:cs="宋体"/>
                <w:kern w:val="0"/>
                <w:szCs w:val="21"/>
              </w:rPr>
              <w:t>）中的标准限值。</w:t>
            </w:r>
          </w:p>
          <w:p>
            <w:pPr>
              <w:spacing w:line="280" w:lineRule="exact"/>
              <w:jc w:val="center"/>
              <w:rPr>
                <w:rFonts w:eastAsia="黑体"/>
                <w:sz w:val="18"/>
                <w:szCs w:val="18"/>
              </w:rPr>
            </w:pPr>
            <w:r>
              <w:rPr>
                <w:rFonts w:hint="eastAsia" w:eastAsia="黑体" w:cs="宋体"/>
                <w:sz w:val="18"/>
                <w:szCs w:val="18"/>
              </w:rPr>
              <w:t>表3-4   四川省施工期场地扬尘排放限值</w:t>
            </w:r>
          </w:p>
          <w:tbl>
            <w:tblPr>
              <w:tblStyle w:val="20"/>
              <w:tblW w:w="76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851"/>
              <w:gridCol w:w="2323"/>
              <w:gridCol w:w="1794"/>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cs="宋体"/>
                      <w:sz w:val="18"/>
                      <w:szCs w:val="18"/>
                    </w:rPr>
                    <w:t>监测项目</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cs="宋体"/>
                      <w:sz w:val="18"/>
                      <w:szCs w:val="18"/>
                    </w:rPr>
                    <w:t>区域</w:t>
                  </w:r>
                </w:p>
              </w:tc>
              <w:tc>
                <w:tcPr>
                  <w:tcW w:w="232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cs="宋体"/>
                      <w:sz w:val="18"/>
                      <w:szCs w:val="18"/>
                    </w:rPr>
                    <w:t>施工阶段</w:t>
                  </w:r>
                </w:p>
              </w:tc>
              <w:tc>
                <w:tcPr>
                  <w:tcW w:w="179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cs="宋体"/>
                      <w:sz w:val="18"/>
                      <w:szCs w:val="18"/>
                    </w:rPr>
                    <w:t>监测点排放限值（</w:t>
                  </w:r>
                  <w:r>
                    <w:rPr>
                      <w:sz w:val="18"/>
                      <w:szCs w:val="18"/>
                    </w:rPr>
                    <w:t>ug/m</w:t>
                  </w:r>
                  <w:r>
                    <w:rPr>
                      <w:sz w:val="18"/>
                      <w:szCs w:val="18"/>
                      <w:vertAlign w:val="superscript"/>
                    </w:rPr>
                    <w:t>3</w:t>
                  </w:r>
                  <w:r>
                    <w:rPr>
                      <w:rFonts w:hint="eastAsia" w:cs="宋体"/>
                      <w:sz w:val="18"/>
                      <w:szCs w:val="18"/>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cs="宋体"/>
                      <w:sz w:val="18"/>
                      <w:szCs w:val="18"/>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14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cs="宋体"/>
                      <w:sz w:val="18"/>
                      <w:szCs w:val="18"/>
                    </w:rPr>
                    <w:t>总悬浮颗粒物（</w:t>
                  </w:r>
                  <w:r>
                    <w:rPr>
                      <w:sz w:val="18"/>
                      <w:szCs w:val="18"/>
                    </w:rPr>
                    <w:t>TSP</w:t>
                  </w:r>
                  <w:r>
                    <w:rPr>
                      <w:rFonts w:hint="eastAsia" w:cs="宋体"/>
                      <w:sz w:val="18"/>
                      <w:szCs w:val="18"/>
                    </w:rPr>
                    <w:t>）</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cs="宋体"/>
                      <w:sz w:val="18"/>
                      <w:szCs w:val="18"/>
                    </w:rPr>
                    <w:t>达州市</w:t>
                  </w:r>
                </w:p>
              </w:tc>
              <w:tc>
                <w:tcPr>
                  <w:tcW w:w="232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cs="宋体"/>
                      <w:sz w:val="18"/>
                      <w:szCs w:val="18"/>
                    </w:rPr>
                    <w:t>拆除工程</w:t>
                  </w:r>
                  <w:r>
                    <w:rPr>
                      <w:sz w:val="18"/>
                      <w:szCs w:val="18"/>
                    </w:rPr>
                    <w:t>/</w:t>
                  </w:r>
                  <w:r>
                    <w:rPr>
                      <w:rFonts w:hint="eastAsia" w:cs="宋体"/>
                      <w:sz w:val="18"/>
                      <w:szCs w:val="18"/>
                    </w:rPr>
                    <w:t>土方开挖</w:t>
                  </w:r>
                  <w:r>
                    <w:rPr>
                      <w:sz w:val="18"/>
                      <w:szCs w:val="18"/>
                    </w:rPr>
                    <w:t>/</w:t>
                  </w:r>
                  <w:r>
                    <w:rPr>
                      <w:rFonts w:hint="eastAsia" w:cs="宋体"/>
                      <w:sz w:val="18"/>
                      <w:szCs w:val="18"/>
                    </w:rPr>
                    <w:t>土方回填阶段</w:t>
                  </w:r>
                </w:p>
              </w:tc>
              <w:tc>
                <w:tcPr>
                  <w:tcW w:w="179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sz w:val="18"/>
                      <w:szCs w:val="18"/>
                    </w:rPr>
                    <w:t>600</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cs="宋体"/>
                      <w:sz w:val="18"/>
                      <w:szCs w:val="18"/>
                    </w:rPr>
                    <w:t>自监测起持续</w:t>
                  </w:r>
                  <w:r>
                    <w:rPr>
                      <w:sz w:val="18"/>
                      <w:szCs w:val="18"/>
                    </w:rPr>
                    <w:t>15</w:t>
                  </w:r>
                  <w:r>
                    <w:rPr>
                      <w:rFonts w:hint="eastAsia" w:cs="宋体"/>
                      <w:sz w:val="18"/>
                      <w:szCs w:val="18"/>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4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rPr>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rPr>
                      <w:sz w:val="18"/>
                      <w:szCs w:val="18"/>
                    </w:rPr>
                  </w:pPr>
                </w:p>
              </w:tc>
              <w:tc>
                <w:tcPr>
                  <w:tcW w:w="232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cs="宋体"/>
                      <w:sz w:val="18"/>
                      <w:szCs w:val="18"/>
                    </w:rPr>
                    <w:t>其他工程阶段</w:t>
                  </w:r>
                </w:p>
              </w:tc>
              <w:tc>
                <w:tcPr>
                  <w:tcW w:w="179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sz w:val="18"/>
                      <w:szCs w:val="18"/>
                    </w:rPr>
                    <w:t>250</w:t>
                  </w: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rPr>
                      <w:sz w:val="18"/>
                      <w:szCs w:val="18"/>
                    </w:rPr>
                  </w:pPr>
                </w:p>
              </w:tc>
            </w:tr>
          </w:tbl>
          <w:p>
            <w:pPr>
              <w:autoSpaceDE w:val="0"/>
              <w:autoSpaceDN w:val="0"/>
              <w:adjustRightInd w:val="0"/>
              <w:snapToGrid w:val="0"/>
              <w:spacing w:line="400" w:lineRule="exact"/>
              <w:ind w:firstLine="420" w:firstLineChars="200"/>
              <w:jc w:val="left"/>
              <w:rPr>
                <w:kern w:val="0"/>
                <w:szCs w:val="21"/>
              </w:rPr>
            </w:pPr>
            <w:r>
              <w:rPr>
                <w:rFonts w:hint="eastAsia"/>
                <w:kern w:val="0"/>
                <w:szCs w:val="21"/>
              </w:rPr>
              <w:t>营运期砖窑废气中的颗粒物、SO</w:t>
            </w:r>
            <w:r>
              <w:rPr>
                <w:rFonts w:hint="eastAsia"/>
                <w:kern w:val="0"/>
                <w:szCs w:val="21"/>
                <w:vertAlign w:val="subscript"/>
              </w:rPr>
              <w:t>2</w:t>
            </w:r>
            <w:r>
              <w:rPr>
                <w:rFonts w:hint="eastAsia"/>
                <w:kern w:val="0"/>
                <w:szCs w:val="21"/>
              </w:rPr>
              <w:t>、NO</w:t>
            </w:r>
            <w:r>
              <w:rPr>
                <w:rFonts w:hint="eastAsia"/>
                <w:kern w:val="0"/>
                <w:szCs w:val="21"/>
                <w:vertAlign w:val="subscript"/>
              </w:rPr>
              <w:t>x</w:t>
            </w:r>
            <w:r>
              <w:rPr>
                <w:rFonts w:hint="eastAsia"/>
                <w:kern w:val="0"/>
                <w:szCs w:val="21"/>
              </w:rPr>
              <w:t>、氟化物的排放执行《砖瓦工业大气污染物排放标准》(GB29620-2013）及修改单的排放限值要求；重金属、氯化氢及二噁英的排放参照执行《生活垃圾焚烧污染控制标准》(GB18485-2014)。原料预处理工艺的粉尘排放执行《砖瓦工业大气污染物排放标准》(GB29620-2013）及修改单的排放限值要求。污泥烘干废气中的</w:t>
            </w:r>
            <w:r>
              <w:rPr>
                <w:rFonts w:hint="eastAsia" w:eastAsiaTheme="minorEastAsia"/>
                <w:bCs/>
                <w:szCs w:val="21"/>
              </w:rPr>
              <w:t>S</w:t>
            </w:r>
            <w:r>
              <w:rPr>
                <w:rFonts w:eastAsiaTheme="minorEastAsia"/>
                <w:bCs/>
                <w:szCs w:val="21"/>
              </w:rPr>
              <w:t>O</w:t>
            </w:r>
            <w:r>
              <w:rPr>
                <w:rFonts w:eastAsiaTheme="minorEastAsia"/>
                <w:bCs/>
                <w:szCs w:val="21"/>
                <w:vertAlign w:val="subscript"/>
              </w:rPr>
              <w:t>2</w:t>
            </w:r>
            <w:r>
              <w:rPr>
                <w:rFonts w:hint="eastAsia" w:eastAsiaTheme="minorEastAsia"/>
                <w:bCs/>
                <w:szCs w:val="21"/>
              </w:rPr>
              <w:t>、TSP、N</w:t>
            </w:r>
            <w:r>
              <w:rPr>
                <w:rFonts w:eastAsiaTheme="minorEastAsia"/>
                <w:bCs/>
                <w:szCs w:val="21"/>
              </w:rPr>
              <w:t>O</w:t>
            </w:r>
            <w:r>
              <w:rPr>
                <w:rFonts w:hint="eastAsia" w:eastAsiaTheme="minorEastAsia"/>
                <w:bCs/>
                <w:szCs w:val="21"/>
                <w:vertAlign w:val="subscript"/>
              </w:rPr>
              <w:t>x</w:t>
            </w:r>
            <w:r>
              <w:rPr>
                <w:rFonts w:hint="eastAsia"/>
                <w:kern w:val="0"/>
                <w:szCs w:val="21"/>
              </w:rPr>
              <w:t>执行《大气污染物综合排放标准》（GB16297-1996），</w:t>
            </w:r>
            <w:r>
              <w:rPr>
                <w:rFonts w:hint="eastAsia" w:eastAsiaTheme="minorEastAsia"/>
                <w:bCs/>
                <w:szCs w:val="21"/>
              </w:rPr>
              <w:t>H</w:t>
            </w:r>
            <w:r>
              <w:rPr>
                <w:rFonts w:hint="eastAsia" w:eastAsiaTheme="minorEastAsia"/>
                <w:bCs/>
                <w:szCs w:val="21"/>
                <w:vertAlign w:val="subscript"/>
              </w:rPr>
              <w:t>2</w:t>
            </w:r>
            <w:r>
              <w:rPr>
                <w:rFonts w:hint="eastAsia" w:eastAsiaTheme="minorEastAsia"/>
                <w:bCs/>
                <w:szCs w:val="21"/>
              </w:rPr>
              <w:t>S、NH</w:t>
            </w:r>
            <w:r>
              <w:rPr>
                <w:rFonts w:hint="eastAsia" w:eastAsiaTheme="minorEastAsia"/>
                <w:bCs/>
                <w:szCs w:val="21"/>
                <w:vertAlign w:val="subscript"/>
              </w:rPr>
              <w:t>3</w:t>
            </w:r>
            <w:r>
              <w:rPr>
                <w:rFonts w:hint="eastAsia" w:eastAsiaTheme="minorEastAsia"/>
                <w:bCs/>
                <w:szCs w:val="21"/>
              </w:rPr>
              <w:t>执行</w:t>
            </w:r>
            <w:r>
              <w:rPr>
                <w:rFonts w:eastAsiaTheme="minorEastAsia"/>
                <w:szCs w:val="21"/>
              </w:rPr>
              <w:t>《恶臭污染物排放标准》（GB14554</w:t>
            </w:r>
            <w:r>
              <w:rPr>
                <w:rFonts w:hint="eastAsia" w:eastAsiaTheme="minorEastAsia"/>
                <w:szCs w:val="21"/>
              </w:rPr>
              <w:t>-93</w:t>
            </w:r>
            <w:r>
              <w:rPr>
                <w:rFonts w:eastAsiaTheme="minorEastAsia"/>
                <w:szCs w:val="21"/>
              </w:rPr>
              <w:t>）</w:t>
            </w:r>
            <w:r>
              <w:rPr>
                <w:rFonts w:hint="eastAsia" w:ascii="Arial" w:hAnsi="Arial" w:cs="Arial"/>
                <w:szCs w:val="21"/>
                <w:shd w:val="clear" w:color="auto" w:fill="FFFFFF"/>
              </w:rPr>
              <w:t>。</w:t>
            </w:r>
          </w:p>
          <w:p>
            <w:pPr>
              <w:spacing w:line="400" w:lineRule="exact"/>
              <w:jc w:val="center"/>
              <w:rPr>
                <w:rFonts w:ascii="黑体" w:hAnsi="黑体" w:eastAsia="黑体" w:cs="宋体"/>
                <w:sz w:val="18"/>
                <w:szCs w:val="18"/>
              </w:rPr>
            </w:pPr>
          </w:p>
          <w:p>
            <w:pPr>
              <w:spacing w:line="400" w:lineRule="exact"/>
              <w:jc w:val="center"/>
              <w:rPr>
                <w:rFonts w:ascii="黑体" w:hAnsi="黑体" w:eastAsia="黑体" w:cs="宋体"/>
                <w:szCs w:val="21"/>
              </w:rPr>
            </w:pPr>
            <w:r>
              <w:rPr>
                <w:rFonts w:hint="eastAsia" w:ascii="黑体" w:hAnsi="黑体" w:eastAsia="黑体" w:cs="宋体"/>
                <w:sz w:val="18"/>
                <w:szCs w:val="18"/>
              </w:rPr>
              <w:t>表3-5   砖瓦工业大气污染物排放标准  单位：m</w:t>
            </w:r>
            <w:r>
              <w:rPr>
                <w:rFonts w:ascii="黑体" w:hAnsi="黑体" w:eastAsia="黑体" w:cs="宋体"/>
                <w:sz w:val="18"/>
                <w:szCs w:val="18"/>
              </w:rPr>
              <w:t>g/m</w:t>
            </w:r>
            <w:r>
              <w:rPr>
                <w:rFonts w:ascii="黑体" w:hAnsi="黑体" w:eastAsia="黑体" w:cs="宋体"/>
                <w:sz w:val="18"/>
                <w:szCs w:val="18"/>
                <w:vertAlign w:val="superscript"/>
              </w:rPr>
              <w:t>3</w:t>
            </w:r>
          </w:p>
          <w:tbl>
            <w:tblPr>
              <w:tblStyle w:val="20"/>
              <w:tblW w:w="76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9"/>
              <w:gridCol w:w="846"/>
              <w:gridCol w:w="847"/>
              <w:gridCol w:w="1283"/>
              <w:gridCol w:w="1147"/>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jc w:val="center"/>
              </w:trPr>
              <w:tc>
                <w:tcPr>
                  <w:tcW w:w="2299" w:type="dxa"/>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sz w:val="18"/>
                      <w:szCs w:val="18"/>
                    </w:rPr>
                  </w:pPr>
                  <w:r>
                    <w:rPr>
                      <w:sz w:val="18"/>
                      <w:szCs w:val="18"/>
                    </w:rPr>
                    <w:t>生产过程</w:t>
                  </w:r>
                </w:p>
              </w:tc>
              <w:tc>
                <w:tcPr>
                  <w:tcW w:w="412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sz w:val="18"/>
                      <w:szCs w:val="18"/>
                    </w:rPr>
                    <w:t>最高允许排放浓度</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sz w:val="18"/>
                      <w:szCs w:val="18"/>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jc w:val="center"/>
              </w:trPr>
              <w:tc>
                <w:tcPr>
                  <w:tcW w:w="2299" w:type="dxa"/>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p>
              </w:tc>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sz w:val="18"/>
                      <w:szCs w:val="18"/>
                    </w:rPr>
                    <w:t>颗粒物</w:t>
                  </w:r>
                </w:p>
              </w:tc>
              <w:tc>
                <w:tcPr>
                  <w:tcW w:w="84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sz w:val="18"/>
                      <w:szCs w:val="18"/>
                    </w:rPr>
                    <w:t>二氧化硫</w:t>
                  </w:r>
                </w:p>
              </w:tc>
              <w:tc>
                <w:tcPr>
                  <w:tcW w:w="128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sz w:val="18"/>
                      <w:szCs w:val="18"/>
                    </w:rPr>
                    <w:t>氮氧化物（以</w:t>
                  </w:r>
                  <w:r>
                    <w:rPr>
                      <w:rFonts w:hint="eastAsia"/>
                      <w:sz w:val="18"/>
                      <w:szCs w:val="18"/>
                    </w:rPr>
                    <w:t>NO</w:t>
                  </w:r>
                  <w:r>
                    <w:rPr>
                      <w:rFonts w:hint="eastAsia"/>
                      <w:sz w:val="18"/>
                      <w:szCs w:val="18"/>
                      <w:vertAlign w:val="subscript"/>
                    </w:rPr>
                    <w:t>2</w:t>
                  </w:r>
                  <w:r>
                    <w:rPr>
                      <w:rFonts w:hint="eastAsia"/>
                      <w:sz w:val="18"/>
                      <w:szCs w:val="18"/>
                    </w:rPr>
                    <w:t>计</w:t>
                  </w:r>
                  <w:r>
                    <w:rPr>
                      <w:sz w:val="18"/>
                      <w:szCs w:val="18"/>
                    </w:rPr>
                    <w:t>）</w:t>
                  </w:r>
                </w:p>
              </w:tc>
              <w:tc>
                <w:tcPr>
                  <w:tcW w:w="114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sz w:val="18"/>
                      <w:szCs w:val="18"/>
                    </w:rPr>
                    <w:t>氟化物（以</w:t>
                  </w:r>
                  <w:r>
                    <w:rPr>
                      <w:rFonts w:hint="eastAsia"/>
                      <w:sz w:val="18"/>
                      <w:szCs w:val="18"/>
                    </w:rPr>
                    <w:t>F计</w:t>
                  </w:r>
                  <w:r>
                    <w:rPr>
                      <w:sz w:val="18"/>
                      <w:szCs w:val="18"/>
                    </w:rPr>
                    <w:t>）</w:t>
                  </w:r>
                </w:p>
              </w:tc>
              <w:tc>
                <w:tcPr>
                  <w:tcW w:w="1277" w:type="dxa"/>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sz w:val="18"/>
                      <w:szCs w:val="18"/>
                    </w:rPr>
                  </w:pPr>
                  <w:r>
                    <w:rPr>
                      <w:sz w:val="18"/>
                      <w:szCs w:val="18"/>
                    </w:rPr>
                    <w:t>车间或生产设施排气筒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sz w:val="18"/>
                      <w:szCs w:val="18"/>
                    </w:rPr>
                    <w:t>原料燃料破碎及制备成型</w:t>
                  </w:r>
                </w:p>
              </w:tc>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sz w:val="18"/>
                      <w:szCs w:val="18"/>
                    </w:rPr>
                    <w:t>30</w:t>
                  </w:r>
                </w:p>
              </w:tc>
              <w:tc>
                <w:tcPr>
                  <w:tcW w:w="84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sz w:val="18"/>
                      <w:szCs w:val="18"/>
                    </w:rPr>
                    <w:t xml:space="preserve">- </w:t>
                  </w:r>
                </w:p>
              </w:tc>
              <w:tc>
                <w:tcPr>
                  <w:tcW w:w="128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sz w:val="18"/>
                      <w:szCs w:val="18"/>
                    </w:rPr>
                    <w:t>-</w:t>
                  </w:r>
                </w:p>
              </w:tc>
              <w:tc>
                <w:tcPr>
                  <w:tcW w:w="114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sz w:val="18"/>
                      <w:szCs w:val="18"/>
                    </w:rPr>
                    <w:t>-</w:t>
                  </w:r>
                </w:p>
              </w:tc>
              <w:tc>
                <w:tcPr>
                  <w:tcW w:w="1277" w:type="dxa"/>
                  <w:vMerge w:val="continue"/>
                  <w:tcBorders>
                    <w:left w:val="single" w:color="auto" w:sz="4" w:space="0"/>
                    <w:right w:val="single" w:color="auto" w:sz="4" w:space="0"/>
                  </w:tcBorders>
                  <w:shd w:val="clear" w:color="auto" w:fill="auto"/>
                  <w:vAlign w:val="center"/>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 w:hRule="atLeast"/>
                <w:jc w:val="center"/>
              </w:trPr>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sz w:val="18"/>
                      <w:szCs w:val="18"/>
                    </w:rPr>
                    <w:t>人工干燥及焙烧</w:t>
                  </w:r>
                </w:p>
              </w:tc>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sz w:val="18"/>
                      <w:szCs w:val="18"/>
                    </w:rPr>
                    <w:t>30</w:t>
                  </w:r>
                </w:p>
              </w:tc>
              <w:tc>
                <w:tcPr>
                  <w:tcW w:w="84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sz w:val="18"/>
                      <w:szCs w:val="18"/>
                    </w:rPr>
                    <w:t>150</w:t>
                  </w:r>
                </w:p>
              </w:tc>
              <w:tc>
                <w:tcPr>
                  <w:tcW w:w="128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sz w:val="18"/>
                      <w:szCs w:val="18"/>
                    </w:rPr>
                    <w:t>200</w:t>
                  </w:r>
                </w:p>
              </w:tc>
              <w:tc>
                <w:tcPr>
                  <w:tcW w:w="114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r>
                    <w:rPr>
                      <w:rFonts w:hint="eastAsia"/>
                      <w:sz w:val="18"/>
                      <w:szCs w:val="18"/>
                    </w:rPr>
                    <w:t>3</w:t>
                  </w:r>
                </w:p>
              </w:tc>
              <w:tc>
                <w:tcPr>
                  <w:tcW w:w="1277" w:type="dxa"/>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sz w:val="18"/>
                      <w:szCs w:val="18"/>
                    </w:rPr>
                  </w:pPr>
                </w:p>
              </w:tc>
            </w:tr>
          </w:tbl>
          <w:p>
            <w:pPr>
              <w:spacing w:line="400" w:lineRule="exact"/>
              <w:jc w:val="center"/>
              <w:rPr>
                <w:rFonts w:ascii="黑体" w:hAnsi="黑体" w:eastAsia="黑体" w:cs="宋体"/>
                <w:sz w:val="18"/>
                <w:szCs w:val="18"/>
              </w:rPr>
            </w:pPr>
            <w:r>
              <w:rPr>
                <w:rFonts w:hint="eastAsia" w:ascii="黑体" w:hAnsi="黑体" w:eastAsia="黑体" w:cs="宋体"/>
                <w:sz w:val="18"/>
                <w:szCs w:val="18"/>
              </w:rPr>
              <w:t>表3-6    生活垃圾焚烧污染控制标准</w:t>
            </w:r>
          </w:p>
          <w:tbl>
            <w:tblPr>
              <w:tblStyle w:val="20"/>
              <w:tblW w:w="78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4546"/>
              <w:gridCol w:w="1306"/>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837" w:type="dxa"/>
                  <w:tcBorders>
                    <w:top w:val="single" w:color="auto" w:sz="4" w:space="0"/>
                    <w:left w:val="single" w:color="auto" w:sz="4" w:space="0"/>
                    <w:right w:val="single" w:color="auto" w:sz="4" w:space="0"/>
                  </w:tcBorders>
                  <w:shd w:val="clear" w:color="auto" w:fill="auto"/>
                  <w:vAlign w:val="center"/>
                </w:tcPr>
                <w:p>
                  <w:pPr>
                    <w:spacing w:line="320" w:lineRule="exact"/>
                    <w:jc w:val="center"/>
                    <w:rPr>
                      <w:sz w:val="18"/>
                      <w:szCs w:val="18"/>
                    </w:rPr>
                  </w:pPr>
                  <w:r>
                    <w:rPr>
                      <w:sz w:val="18"/>
                      <w:szCs w:val="18"/>
                    </w:rPr>
                    <w:t>序号</w:t>
                  </w:r>
                </w:p>
              </w:tc>
              <w:tc>
                <w:tcPr>
                  <w:tcW w:w="4546" w:type="dxa"/>
                  <w:tcBorders>
                    <w:top w:val="single" w:color="auto" w:sz="4" w:space="0"/>
                    <w:left w:val="single" w:color="auto" w:sz="4" w:space="0"/>
                    <w:right w:val="single" w:color="auto" w:sz="4" w:space="0"/>
                  </w:tcBorders>
                  <w:shd w:val="clear" w:color="auto" w:fill="auto"/>
                  <w:vAlign w:val="center"/>
                </w:tcPr>
                <w:p>
                  <w:pPr>
                    <w:spacing w:line="320" w:lineRule="exact"/>
                    <w:jc w:val="center"/>
                    <w:rPr>
                      <w:sz w:val="18"/>
                      <w:szCs w:val="18"/>
                    </w:rPr>
                  </w:pPr>
                  <w:r>
                    <w:rPr>
                      <w:sz w:val="18"/>
                      <w:szCs w:val="18"/>
                    </w:rPr>
                    <w:t>污染物项目</w:t>
                  </w:r>
                </w:p>
              </w:tc>
              <w:tc>
                <w:tcPr>
                  <w:tcW w:w="1306" w:type="dxa"/>
                  <w:tcBorders>
                    <w:top w:val="single" w:color="auto" w:sz="4" w:space="0"/>
                    <w:left w:val="single" w:color="auto" w:sz="4" w:space="0"/>
                    <w:right w:val="single" w:color="auto" w:sz="4" w:space="0"/>
                  </w:tcBorders>
                  <w:shd w:val="clear" w:color="auto" w:fill="auto"/>
                  <w:vAlign w:val="center"/>
                </w:tcPr>
                <w:p>
                  <w:pPr>
                    <w:spacing w:line="320" w:lineRule="exact"/>
                    <w:jc w:val="center"/>
                    <w:rPr>
                      <w:sz w:val="18"/>
                      <w:szCs w:val="18"/>
                    </w:rPr>
                  </w:pPr>
                  <w:r>
                    <w:rPr>
                      <w:sz w:val="18"/>
                      <w:szCs w:val="18"/>
                    </w:rPr>
                    <w:t>限值</w:t>
                  </w:r>
                </w:p>
              </w:tc>
              <w:tc>
                <w:tcPr>
                  <w:tcW w:w="1171" w:type="dxa"/>
                  <w:tcBorders>
                    <w:top w:val="single" w:color="auto" w:sz="4" w:space="0"/>
                    <w:left w:val="single" w:color="auto" w:sz="4" w:space="0"/>
                    <w:right w:val="single" w:color="auto" w:sz="4" w:space="0"/>
                  </w:tcBorders>
                  <w:shd w:val="clear" w:color="auto" w:fill="auto"/>
                  <w:vAlign w:val="center"/>
                </w:tcPr>
                <w:p>
                  <w:pPr>
                    <w:spacing w:line="320" w:lineRule="exact"/>
                    <w:jc w:val="center"/>
                    <w:rPr>
                      <w:sz w:val="18"/>
                      <w:szCs w:val="18"/>
                    </w:rPr>
                  </w:pPr>
                  <w:r>
                    <w:rPr>
                      <w:sz w:val="18"/>
                      <w:szCs w:val="18"/>
                    </w:rPr>
                    <w:t>取值时间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37" w:type="dxa"/>
                  <w:vMerge w:val="restart"/>
                  <w:tcBorders>
                    <w:top w:val="single" w:color="auto" w:sz="4" w:space="0"/>
                    <w:left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1</w:t>
                  </w:r>
                </w:p>
              </w:tc>
              <w:tc>
                <w:tcPr>
                  <w:tcW w:w="4546" w:type="dxa"/>
                  <w:vMerge w:val="restart"/>
                  <w:tcBorders>
                    <w:top w:val="single" w:color="auto" w:sz="4" w:space="0"/>
                    <w:left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氯化氢（HCI)(mg/m</w:t>
                  </w:r>
                  <w:r>
                    <w:rPr>
                      <w:rFonts w:hint="eastAsia"/>
                      <w:sz w:val="18"/>
                      <w:szCs w:val="18"/>
                      <w:vertAlign w:val="superscript"/>
                    </w:rPr>
                    <w:t>3</w:t>
                  </w:r>
                  <w:r>
                    <w:rPr>
                      <w:rFonts w:hint="eastAsia"/>
                      <w:sz w:val="18"/>
                      <w:szCs w:val="18"/>
                    </w:rPr>
                    <w:t>)</w:t>
                  </w: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60</w:t>
                  </w:r>
                </w:p>
              </w:tc>
              <w:tc>
                <w:tcPr>
                  <w:tcW w:w="11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1h均值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37" w:type="dxa"/>
                  <w:vMerge w:val="continue"/>
                  <w:tcBorders>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p>
              </w:tc>
              <w:tc>
                <w:tcPr>
                  <w:tcW w:w="4546" w:type="dxa"/>
                  <w:vMerge w:val="continue"/>
                  <w:tcBorders>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50</w:t>
                  </w:r>
                </w:p>
              </w:tc>
              <w:tc>
                <w:tcPr>
                  <w:tcW w:w="11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24h均值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2</w:t>
                  </w:r>
                </w:p>
              </w:tc>
              <w:tc>
                <w:tcPr>
                  <w:tcW w:w="45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汞及其化合物(以Hg计) (mg/m</w:t>
                  </w:r>
                  <w:r>
                    <w:rPr>
                      <w:rFonts w:hint="eastAsia"/>
                      <w:sz w:val="18"/>
                      <w:szCs w:val="18"/>
                      <w:vertAlign w:val="superscript"/>
                    </w:rPr>
                    <w:t>3</w:t>
                  </w:r>
                  <w:r>
                    <w:rPr>
                      <w:rFonts w:hint="eastAsia"/>
                      <w:sz w:val="18"/>
                      <w:szCs w:val="18"/>
                    </w:rPr>
                    <w:t>)</w:t>
                  </w: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0.05</w:t>
                  </w:r>
                </w:p>
              </w:tc>
              <w:tc>
                <w:tcPr>
                  <w:tcW w:w="11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sz w:val="18"/>
                      <w:szCs w:val="18"/>
                    </w:rPr>
                    <w:t>测定均值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3</w:t>
                  </w:r>
                </w:p>
              </w:tc>
              <w:tc>
                <w:tcPr>
                  <w:tcW w:w="45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镉、铊及其化合物(以Cd+Tl计)(mg/m</w:t>
                  </w:r>
                  <w:r>
                    <w:rPr>
                      <w:rFonts w:hint="eastAsia"/>
                      <w:sz w:val="18"/>
                      <w:szCs w:val="18"/>
                      <w:vertAlign w:val="superscript"/>
                    </w:rPr>
                    <w:t>3</w:t>
                  </w:r>
                  <w:r>
                    <w:rPr>
                      <w:rFonts w:hint="eastAsia"/>
                      <w:sz w:val="18"/>
                      <w:szCs w:val="18"/>
                    </w:rPr>
                    <w:t>)</w:t>
                  </w: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0.1</w:t>
                  </w:r>
                </w:p>
              </w:tc>
              <w:tc>
                <w:tcPr>
                  <w:tcW w:w="11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sz w:val="18"/>
                      <w:szCs w:val="18"/>
                    </w:rPr>
                    <w:t>测定均值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4</w:t>
                  </w:r>
                </w:p>
              </w:tc>
              <w:tc>
                <w:tcPr>
                  <w:tcW w:w="45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锑、砷、铅、铬、钴、铜、锰、镍及其化合物(以Sb+As+Pb+Cr+Co+Cu+Mn+Ni计)(mg/m</w:t>
                  </w:r>
                  <w:r>
                    <w:rPr>
                      <w:rFonts w:hint="eastAsia"/>
                      <w:sz w:val="18"/>
                      <w:szCs w:val="18"/>
                      <w:vertAlign w:val="superscript"/>
                    </w:rPr>
                    <w:t>3</w:t>
                  </w:r>
                  <w:r>
                    <w:rPr>
                      <w:rFonts w:hint="eastAsia"/>
                      <w:sz w:val="18"/>
                      <w:szCs w:val="18"/>
                    </w:rPr>
                    <w:t>)</w:t>
                  </w: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1.0</w:t>
                  </w:r>
                </w:p>
              </w:tc>
              <w:tc>
                <w:tcPr>
                  <w:tcW w:w="11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sz w:val="18"/>
                      <w:szCs w:val="18"/>
                    </w:rPr>
                    <w:t>测定均值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5</w:t>
                  </w:r>
                </w:p>
              </w:tc>
              <w:tc>
                <w:tcPr>
                  <w:tcW w:w="45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二噁英类(ng TEQ/m</w:t>
                  </w:r>
                  <w:r>
                    <w:rPr>
                      <w:rFonts w:hint="eastAsia"/>
                      <w:sz w:val="18"/>
                      <w:szCs w:val="18"/>
                      <w:vertAlign w:val="superscript"/>
                    </w:rPr>
                    <w:t>3</w:t>
                  </w:r>
                  <w:r>
                    <w:rPr>
                      <w:rFonts w:hint="eastAsia"/>
                      <w:sz w:val="18"/>
                      <w:szCs w:val="18"/>
                    </w:rPr>
                    <w:t>)</w:t>
                  </w: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rFonts w:hint="eastAsia"/>
                      <w:sz w:val="18"/>
                      <w:szCs w:val="18"/>
                    </w:rPr>
                    <w:t>0.1</w:t>
                  </w:r>
                </w:p>
              </w:tc>
              <w:tc>
                <w:tcPr>
                  <w:tcW w:w="11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sz w:val="18"/>
                      <w:szCs w:val="18"/>
                    </w:rPr>
                    <w:t>测定均值</w:t>
                  </w:r>
                </w:p>
              </w:tc>
            </w:tr>
          </w:tbl>
          <w:p>
            <w:pPr>
              <w:spacing w:line="400" w:lineRule="exact"/>
              <w:jc w:val="center"/>
              <w:rPr>
                <w:rFonts w:ascii="黑体" w:hAnsi="黑体" w:eastAsia="黑体"/>
                <w:sz w:val="18"/>
                <w:szCs w:val="18"/>
              </w:rPr>
            </w:pPr>
            <w:r>
              <w:rPr>
                <w:rFonts w:hint="eastAsia" w:ascii="黑体" w:hAnsi="黑体" w:eastAsia="黑体" w:cs="宋体"/>
                <w:sz w:val="18"/>
                <w:szCs w:val="18"/>
              </w:rPr>
              <w:t xml:space="preserve">表3-7    </w:t>
            </w:r>
            <w:r>
              <w:rPr>
                <w:rFonts w:hint="eastAsia" w:ascii="黑体" w:hAnsi="黑体" w:eastAsia="黑体"/>
                <w:kern w:val="0"/>
                <w:sz w:val="18"/>
                <w:szCs w:val="18"/>
              </w:rPr>
              <w:t>砖瓦工业企业边界大气污染物浓度</w:t>
            </w:r>
            <w:r>
              <w:rPr>
                <w:rFonts w:hint="eastAsia" w:ascii="黑体" w:hAnsi="黑体" w:eastAsia="黑体" w:cs="宋体"/>
                <w:sz w:val="18"/>
                <w:szCs w:val="18"/>
              </w:rPr>
              <w:t>限值</w:t>
            </w:r>
          </w:p>
          <w:tbl>
            <w:tblPr>
              <w:tblStyle w:val="20"/>
              <w:tblW w:w="73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2"/>
              <w:gridCol w:w="1649"/>
              <w:gridCol w:w="3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24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sz w:val="18"/>
                      <w:szCs w:val="18"/>
                    </w:rPr>
                    <w:t>序号</w:t>
                  </w:r>
                </w:p>
              </w:tc>
              <w:tc>
                <w:tcPr>
                  <w:tcW w:w="164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sz w:val="18"/>
                      <w:szCs w:val="18"/>
                    </w:rPr>
                    <w:t>污染物项目</w:t>
                  </w:r>
                </w:p>
              </w:tc>
              <w:tc>
                <w:tcPr>
                  <w:tcW w:w="32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sz w:val="18"/>
                      <w:szCs w:val="18"/>
                    </w:rPr>
                    <w:t>浓度限值</w:t>
                  </w:r>
                  <w:r>
                    <w:rPr>
                      <w:rFonts w:hint="eastAsia"/>
                      <w:sz w:val="18"/>
                      <w:szCs w:val="18"/>
                    </w:rPr>
                    <w:t>（</w:t>
                  </w:r>
                  <w:r>
                    <w:rPr>
                      <w:rFonts w:hint="eastAsia" w:ascii="黑体" w:hAnsi="黑体" w:eastAsia="黑体" w:cs="宋体"/>
                      <w:sz w:val="18"/>
                      <w:szCs w:val="18"/>
                    </w:rPr>
                    <w:t>m</w:t>
                  </w:r>
                  <w:r>
                    <w:rPr>
                      <w:rFonts w:ascii="黑体" w:hAnsi="黑体" w:eastAsia="黑体" w:cs="宋体"/>
                      <w:sz w:val="18"/>
                      <w:szCs w:val="18"/>
                    </w:rPr>
                    <w:t>g/m</w:t>
                  </w:r>
                  <w:r>
                    <w:rPr>
                      <w:rFonts w:ascii="黑体" w:hAnsi="黑体" w:eastAsia="黑体" w:cs="宋体"/>
                      <w:sz w:val="18"/>
                      <w:szCs w:val="18"/>
                      <w:vertAlign w:val="superscript"/>
                    </w:rPr>
                    <w:t>3</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24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1</w:t>
                  </w:r>
                </w:p>
              </w:tc>
              <w:tc>
                <w:tcPr>
                  <w:tcW w:w="164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sz w:val="18"/>
                      <w:szCs w:val="18"/>
                    </w:rPr>
                    <w:t>总悬浮颗粒物</w:t>
                  </w:r>
                </w:p>
              </w:tc>
              <w:tc>
                <w:tcPr>
                  <w:tcW w:w="32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24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2</w:t>
                  </w:r>
                </w:p>
              </w:tc>
              <w:tc>
                <w:tcPr>
                  <w:tcW w:w="164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sz w:val="18"/>
                      <w:szCs w:val="18"/>
                    </w:rPr>
                    <w:t>二氧化硫</w:t>
                  </w:r>
                </w:p>
              </w:tc>
              <w:tc>
                <w:tcPr>
                  <w:tcW w:w="32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24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3</w:t>
                  </w:r>
                </w:p>
              </w:tc>
              <w:tc>
                <w:tcPr>
                  <w:tcW w:w="164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sz w:val="18"/>
                      <w:szCs w:val="18"/>
                    </w:rPr>
                    <w:t>氟化物</w:t>
                  </w:r>
                </w:p>
              </w:tc>
              <w:tc>
                <w:tcPr>
                  <w:tcW w:w="32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0.02</w:t>
                  </w:r>
                </w:p>
              </w:tc>
            </w:tr>
          </w:tbl>
          <w:p>
            <w:pPr>
              <w:spacing w:line="400" w:lineRule="exact"/>
              <w:jc w:val="center"/>
              <w:rPr>
                <w:rFonts w:ascii="黑体" w:hAnsi="黑体" w:eastAsia="黑体"/>
                <w:kern w:val="0"/>
                <w:sz w:val="18"/>
                <w:szCs w:val="18"/>
              </w:rPr>
            </w:pPr>
            <w:r>
              <w:rPr>
                <w:rFonts w:hint="eastAsia" w:ascii="黑体" w:hAnsi="黑体" w:eastAsia="黑体"/>
                <w:kern w:val="0"/>
                <w:sz w:val="18"/>
                <w:szCs w:val="18"/>
              </w:rPr>
              <w:t>表3-8    污泥烘干废气排放标准</w:t>
            </w:r>
          </w:p>
          <w:tbl>
            <w:tblPr>
              <w:tblStyle w:val="20"/>
              <w:tblW w:w="77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86"/>
              <w:gridCol w:w="1178"/>
              <w:gridCol w:w="1550"/>
              <w:gridCol w:w="943"/>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02" w:type="dxa"/>
                  <w:tcBorders>
                    <w:top w:val="single" w:color="auto" w:sz="4" w:space="0"/>
                    <w:left w:val="single" w:color="auto" w:sz="4" w:space="0"/>
                    <w:right w:val="single" w:color="auto" w:sz="4" w:space="0"/>
                  </w:tcBorders>
                  <w:shd w:val="clear" w:color="auto" w:fill="auto"/>
                  <w:vAlign w:val="center"/>
                </w:tcPr>
                <w:p>
                  <w:pPr>
                    <w:spacing w:line="300" w:lineRule="exact"/>
                    <w:jc w:val="center"/>
                    <w:rPr>
                      <w:sz w:val="18"/>
                      <w:szCs w:val="18"/>
                    </w:rPr>
                  </w:pPr>
                  <w:r>
                    <w:rPr>
                      <w:sz w:val="18"/>
                      <w:szCs w:val="18"/>
                    </w:rPr>
                    <w:t>序号</w:t>
                  </w:r>
                </w:p>
              </w:tc>
              <w:tc>
                <w:tcPr>
                  <w:tcW w:w="1086" w:type="dxa"/>
                  <w:tcBorders>
                    <w:top w:val="single" w:color="auto" w:sz="4" w:space="0"/>
                    <w:left w:val="single" w:color="auto" w:sz="4" w:space="0"/>
                    <w:right w:val="single" w:color="auto" w:sz="4" w:space="0"/>
                  </w:tcBorders>
                  <w:shd w:val="clear" w:color="auto" w:fill="auto"/>
                  <w:vAlign w:val="center"/>
                </w:tcPr>
                <w:p>
                  <w:pPr>
                    <w:spacing w:line="300" w:lineRule="exact"/>
                    <w:jc w:val="center"/>
                    <w:rPr>
                      <w:sz w:val="18"/>
                      <w:szCs w:val="18"/>
                    </w:rPr>
                  </w:pPr>
                  <w:r>
                    <w:rPr>
                      <w:sz w:val="18"/>
                      <w:szCs w:val="18"/>
                    </w:rPr>
                    <w:t>控制项目</w:t>
                  </w:r>
                </w:p>
              </w:tc>
              <w:tc>
                <w:tcPr>
                  <w:tcW w:w="1178" w:type="dxa"/>
                  <w:tcBorders>
                    <w:top w:val="single" w:color="auto" w:sz="4" w:space="0"/>
                    <w:left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最高允许排放浓度</w:t>
                  </w:r>
                </w:p>
              </w:tc>
              <w:tc>
                <w:tcPr>
                  <w:tcW w:w="2493" w:type="dxa"/>
                  <w:gridSpan w:val="2"/>
                  <w:tcBorders>
                    <w:top w:val="single" w:color="auto" w:sz="4" w:space="0"/>
                    <w:left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最高允许排放速率</w:t>
                  </w:r>
                </w:p>
              </w:tc>
              <w:tc>
                <w:tcPr>
                  <w:tcW w:w="225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1</w:t>
                  </w:r>
                </w:p>
              </w:tc>
              <w:tc>
                <w:tcPr>
                  <w:tcW w:w="10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vertAlign w:val="subscript"/>
                    </w:rPr>
                  </w:pPr>
                  <w:r>
                    <w:rPr>
                      <w:rFonts w:hint="eastAsia"/>
                      <w:sz w:val="18"/>
                      <w:szCs w:val="18"/>
                    </w:rPr>
                    <w:t>SO</w:t>
                  </w:r>
                  <w:r>
                    <w:rPr>
                      <w:rFonts w:hint="eastAsia"/>
                      <w:sz w:val="18"/>
                      <w:szCs w:val="18"/>
                      <w:vertAlign w:val="subscript"/>
                    </w:rPr>
                    <w:t>2</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550</w:t>
                  </w:r>
                  <w:r>
                    <w:rPr>
                      <w:rFonts w:eastAsia="黑体"/>
                      <w:sz w:val="18"/>
                      <w:szCs w:val="18"/>
                    </w:rPr>
                    <w:t>mg/m</w:t>
                  </w:r>
                  <w:r>
                    <w:rPr>
                      <w:rFonts w:eastAsia="黑体"/>
                      <w:sz w:val="18"/>
                      <w:szCs w:val="18"/>
                      <w:vertAlign w:val="superscript"/>
                    </w:rPr>
                    <w:t>3</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排气筒高度15m</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2.6kg/h</w:t>
                  </w:r>
                </w:p>
              </w:tc>
              <w:tc>
                <w:tcPr>
                  <w:tcW w:w="2258" w:type="dxa"/>
                  <w:vMerge w:val="restart"/>
                  <w:tcBorders>
                    <w:top w:val="single" w:color="auto" w:sz="4" w:space="0"/>
                    <w:left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《大气污染物综合排放标准》（GB16297）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2</w:t>
                  </w:r>
                </w:p>
              </w:tc>
              <w:tc>
                <w:tcPr>
                  <w:tcW w:w="1086" w:type="dxa"/>
                  <w:tcBorders>
                    <w:top w:val="single" w:color="auto" w:sz="4" w:space="0"/>
                    <w:left w:val="single" w:color="auto" w:sz="4" w:space="0"/>
                    <w:bottom w:val="single" w:color="auto" w:sz="4" w:space="0"/>
                    <w:right w:val="single" w:color="auto" w:sz="4" w:space="0"/>
                  </w:tcBorders>
                  <w:shd w:val="clear" w:color="auto" w:fill="auto"/>
                </w:tcPr>
                <w:p>
                  <w:pPr>
                    <w:spacing w:line="300" w:lineRule="exact"/>
                    <w:jc w:val="center"/>
                    <w:rPr>
                      <w:sz w:val="18"/>
                      <w:szCs w:val="18"/>
                    </w:rPr>
                  </w:pPr>
                  <w:r>
                    <w:rPr>
                      <w:rFonts w:hint="eastAsia"/>
                      <w:sz w:val="18"/>
                      <w:szCs w:val="18"/>
                    </w:rPr>
                    <w:t>颗粒物</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eastAsia="黑体"/>
                      <w:sz w:val="18"/>
                      <w:szCs w:val="18"/>
                    </w:rPr>
                    <w:t>120</w:t>
                  </w:r>
                  <w:r>
                    <w:rPr>
                      <w:rFonts w:eastAsia="黑体"/>
                      <w:sz w:val="18"/>
                      <w:szCs w:val="18"/>
                    </w:rPr>
                    <w:t>mg/m</w:t>
                  </w:r>
                  <w:r>
                    <w:rPr>
                      <w:rFonts w:eastAsia="黑体"/>
                      <w:sz w:val="18"/>
                      <w:szCs w:val="18"/>
                      <w:vertAlign w:val="superscript"/>
                    </w:rPr>
                    <w:t>3</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排气筒高度15m</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3.5kg/h</w:t>
                  </w:r>
                </w:p>
              </w:tc>
              <w:tc>
                <w:tcPr>
                  <w:tcW w:w="2258" w:type="dxa"/>
                  <w:vMerge w:val="continue"/>
                  <w:tcBorders>
                    <w:left w:val="single" w:color="auto" w:sz="4" w:space="0"/>
                    <w:right w:val="single" w:color="auto" w:sz="4" w:space="0"/>
                  </w:tcBorders>
                  <w:shd w:val="clear" w:color="auto" w:fill="auto"/>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3</w:t>
                  </w:r>
                </w:p>
              </w:tc>
              <w:tc>
                <w:tcPr>
                  <w:tcW w:w="10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vertAlign w:val="subscript"/>
                    </w:rPr>
                  </w:pPr>
                  <w:r>
                    <w:rPr>
                      <w:rFonts w:hint="eastAsia"/>
                      <w:sz w:val="18"/>
                      <w:szCs w:val="18"/>
                    </w:rPr>
                    <w:t>NO</w:t>
                  </w:r>
                  <w:r>
                    <w:rPr>
                      <w:rFonts w:hint="eastAsia"/>
                      <w:sz w:val="18"/>
                      <w:szCs w:val="18"/>
                      <w:vertAlign w:val="subscript"/>
                    </w:rPr>
                    <w:t>x</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eastAsia="黑体"/>
                      <w:sz w:val="18"/>
                      <w:szCs w:val="18"/>
                    </w:rPr>
                    <w:t>240</w:t>
                  </w:r>
                  <w:r>
                    <w:rPr>
                      <w:rFonts w:eastAsia="黑体"/>
                      <w:sz w:val="18"/>
                      <w:szCs w:val="18"/>
                    </w:rPr>
                    <w:t>mg/m</w:t>
                  </w:r>
                  <w:r>
                    <w:rPr>
                      <w:rFonts w:eastAsia="黑体"/>
                      <w:sz w:val="18"/>
                      <w:szCs w:val="18"/>
                      <w:vertAlign w:val="superscript"/>
                    </w:rPr>
                    <w:t>3</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排气筒高度15m</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0.77kg/h</w:t>
                  </w:r>
                </w:p>
              </w:tc>
              <w:tc>
                <w:tcPr>
                  <w:tcW w:w="2258" w:type="dxa"/>
                  <w:vMerge w:val="continue"/>
                  <w:tcBorders>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4</w:t>
                  </w:r>
                </w:p>
              </w:tc>
              <w:tc>
                <w:tcPr>
                  <w:tcW w:w="10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vertAlign w:val="subscript"/>
                    </w:rPr>
                  </w:pPr>
                  <w:r>
                    <w:rPr>
                      <w:sz w:val="18"/>
                      <w:szCs w:val="18"/>
                    </w:rPr>
                    <w:t>氨</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sz w:val="18"/>
                      <w:szCs w:val="18"/>
                    </w:rPr>
                    <w:t>1.5</w:t>
                  </w:r>
                  <w:r>
                    <w:rPr>
                      <w:rFonts w:eastAsia="黑体"/>
                      <w:sz w:val="18"/>
                      <w:szCs w:val="18"/>
                    </w:rPr>
                    <w:t>mg/m</w:t>
                  </w:r>
                  <w:r>
                    <w:rPr>
                      <w:rFonts w:eastAsia="黑体"/>
                      <w:sz w:val="18"/>
                      <w:szCs w:val="18"/>
                      <w:vertAlign w:val="superscript"/>
                    </w:rPr>
                    <w:t>3</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排气筒高度15m</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4.9kg/h</w:t>
                  </w:r>
                </w:p>
              </w:tc>
              <w:tc>
                <w:tcPr>
                  <w:tcW w:w="2258" w:type="dxa"/>
                  <w:vMerge w:val="restart"/>
                  <w:tcBorders>
                    <w:top w:val="single" w:color="auto" w:sz="4" w:space="0"/>
                    <w:left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《恶臭污染物排放标准》（GB14554）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5</w:t>
                  </w:r>
                </w:p>
              </w:tc>
              <w:tc>
                <w:tcPr>
                  <w:tcW w:w="10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sz w:val="18"/>
                      <w:szCs w:val="18"/>
                    </w:rPr>
                    <w:t>硫化氢</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sz w:val="18"/>
                      <w:szCs w:val="18"/>
                    </w:rPr>
                    <w:t>0.06</w:t>
                  </w:r>
                  <w:r>
                    <w:rPr>
                      <w:rFonts w:eastAsia="黑体"/>
                      <w:sz w:val="18"/>
                      <w:szCs w:val="18"/>
                    </w:rPr>
                    <w:t>mg/m</w:t>
                  </w:r>
                  <w:r>
                    <w:rPr>
                      <w:rFonts w:eastAsia="黑体"/>
                      <w:sz w:val="18"/>
                      <w:szCs w:val="18"/>
                      <w:vertAlign w:val="superscript"/>
                    </w:rPr>
                    <w:t>3</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排气筒高度15m</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0.33kg/h</w:t>
                  </w:r>
                </w:p>
              </w:tc>
              <w:tc>
                <w:tcPr>
                  <w:tcW w:w="2258" w:type="dxa"/>
                  <w:vMerge w:val="continue"/>
                  <w:tcBorders>
                    <w:left w:val="single" w:color="auto" w:sz="4" w:space="0"/>
                    <w:right w:val="single" w:color="auto" w:sz="4" w:space="0"/>
                  </w:tcBorders>
                  <w:shd w:val="clear" w:color="auto" w:fill="auto"/>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6</w:t>
                  </w:r>
                </w:p>
              </w:tc>
              <w:tc>
                <w:tcPr>
                  <w:tcW w:w="1086" w:type="dxa"/>
                  <w:tcBorders>
                    <w:top w:val="single" w:color="auto" w:sz="4" w:space="0"/>
                    <w:left w:val="single" w:color="auto" w:sz="4" w:space="0"/>
                    <w:bottom w:val="single" w:color="auto" w:sz="4" w:space="0"/>
                    <w:right w:val="single" w:color="auto" w:sz="4" w:space="0"/>
                  </w:tcBorders>
                  <w:shd w:val="clear" w:color="auto" w:fill="auto"/>
                </w:tcPr>
                <w:p>
                  <w:pPr>
                    <w:spacing w:line="300" w:lineRule="exact"/>
                    <w:jc w:val="center"/>
                    <w:rPr>
                      <w:sz w:val="18"/>
                      <w:szCs w:val="18"/>
                    </w:rPr>
                  </w:pPr>
                  <w:r>
                    <w:rPr>
                      <w:rFonts w:hint="eastAsia"/>
                      <w:sz w:val="18"/>
                      <w:szCs w:val="18"/>
                    </w:rPr>
                    <w:t>臭气浓度</w:t>
                  </w:r>
                </w:p>
              </w:tc>
              <w:tc>
                <w:tcPr>
                  <w:tcW w:w="1178" w:type="dxa"/>
                  <w:tcBorders>
                    <w:top w:val="single" w:color="auto" w:sz="4" w:space="0"/>
                    <w:left w:val="single" w:color="auto" w:sz="4" w:space="0"/>
                    <w:bottom w:val="single" w:color="auto" w:sz="4" w:space="0"/>
                    <w:right w:val="single" w:color="auto" w:sz="4" w:space="0"/>
                  </w:tcBorders>
                  <w:shd w:val="clear" w:color="auto" w:fill="auto"/>
                </w:tcPr>
                <w:p>
                  <w:pPr>
                    <w:spacing w:line="300" w:lineRule="exact"/>
                    <w:jc w:val="center"/>
                    <w:rPr>
                      <w:sz w:val="18"/>
                      <w:szCs w:val="18"/>
                    </w:rPr>
                  </w:pPr>
                  <w:r>
                    <w:rPr>
                      <w:sz w:val="18"/>
                      <w:szCs w:val="18"/>
                    </w:rPr>
                    <w:t>20</w:t>
                  </w:r>
                  <w:r>
                    <w:rPr>
                      <w:rFonts w:eastAsia="黑体"/>
                      <w:sz w:val="18"/>
                      <w:szCs w:val="18"/>
                    </w:rPr>
                    <w:t>mg/m</w:t>
                  </w:r>
                  <w:r>
                    <w:rPr>
                      <w:rFonts w:eastAsia="黑体"/>
                      <w:sz w:val="18"/>
                      <w:szCs w:val="18"/>
                      <w:vertAlign w:val="superscript"/>
                    </w:rPr>
                    <w:t>3</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排气筒高度15m</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r>
                    <w:rPr>
                      <w:rFonts w:hint="eastAsia"/>
                      <w:sz w:val="18"/>
                      <w:szCs w:val="18"/>
                    </w:rPr>
                    <w:t>≤2000</w:t>
                  </w:r>
                </w:p>
              </w:tc>
              <w:tc>
                <w:tcPr>
                  <w:tcW w:w="2258" w:type="dxa"/>
                  <w:vMerge w:val="continue"/>
                  <w:tcBorders>
                    <w:left w:val="single" w:color="auto" w:sz="4" w:space="0"/>
                    <w:bottom w:val="single" w:color="auto" w:sz="4" w:space="0"/>
                    <w:right w:val="single" w:color="auto" w:sz="4" w:space="0"/>
                  </w:tcBorders>
                  <w:shd w:val="clear" w:color="auto" w:fill="auto"/>
                  <w:vAlign w:val="center"/>
                </w:tcPr>
                <w:p>
                  <w:pPr>
                    <w:spacing w:line="300" w:lineRule="exact"/>
                    <w:jc w:val="center"/>
                    <w:rPr>
                      <w:sz w:val="18"/>
                      <w:szCs w:val="18"/>
                    </w:rPr>
                  </w:pPr>
                </w:p>
              </w:tc>
            </w:tr>
          </w:tbl>
          <w:p>
            <w:pPr>
              <w:autoSpaceDE w:val="0"/>
              <w:autoSpaceDN w:val="0"/>
              <w:adjustRightInd w:val="0"/>
              <w:snapToGrid w:val="0"/>
              <w:spacing w:line="400" w:lineRule="exact"/>
              <w:ind w:firstLine="420" w:firstLineChars="200"/>
              <w:jc w:val="left"/>
              <w:rPr>
                <w:kern w:val="0"/>
                <w:szCs w:val="21"/>
              </w:rPr>
            </w:pPr>
            <w:r>
              <w:rPr>
                <w:kern w:val="0"/>
                <w:szCs w:val="21"/>
              </w:rPr>
              <w:t>2. 本项目生产废水经自建废水处理设施处理后，全部循环回用不外排。生活污水经化粪池处理后，定期清理做农肥使用，不外排</w:t>
            </w:r>
            <w:r>
              <w:rPr>
                <w:rFonts w:hint="eastAsia"/>
                <w:kern w:val="0"/>
                <w:szCs w:val="21"/>
              </w:rPr>
              <w:t>。</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3.</w:t>
            </w:r>
            <w:r>
              <w:rPr>
                <w:kern w:val="0"/>
                <w:szCs w:val="21"/>
              </w:rPr>
              <w:t>噪声：施工期执行《建筑施工场界环境噪声排放标准》(GBl2523)表1中的排放限值。LAeq：昼间&lt;70</w:t>
            </w:r>
            <w:r>
              <w:rPr>
                <w:szCs w:val="21"/>
              </w:rPr>
              <w:t>dB(A)</w:t>
            </w:r>
            <w:r>
              <w:rPr>
                <w:kern w:val="0"/>
                <w:szCs w:val="21"/>
              </w:rPr>
              <w:t>夜间&lt;55</w:t>
            </w:r>
            <w:r>
              <w:rPr>
                <w:szCs w:val="21"/>
              </w:rPr>
              <w:t>dB(A)</w:t>
            </w:r>
          </w:p>
          <w:p>
            <w:pPr>
              <w:autoSpaceDE w:val="0"/>
              <w:autoSpaceDN w:val="0"/>
              <w:adjustRightInd w:val="0"/>
              <w:snapToGrid w:val="0"/>
              <w:spacing w:line="400" w:lineRule="exact"/>
              <w:ind w:firstLine="420" w:firstLineChars="200"/>
              <w:jc w:val="left"/>
              <w:rPr>
                <w:kern w:val="0"/>
                <w:szCs w:val="21"/>
              </w:rPr>
            </w:pPr>
            <w:r>
              <w:rPr>
                <w:kern w:val="0"/>
                <w:szCs w:val="21"/>
              </w:rPr>
              <w:t xml:space="preserve">营运期厂界噪声执行《工业企业厂界环境噪声排放标准》(GBl2348) </w:t>
            </w:r>
            <w:r>
              <w:rPr>
                <w:rFonts w:hint="eastAsia"/>
                <w:kern w:val="0"/>
                <w:szCs w:val="21"/>
              </w:rPr>
              <w:t>2</w:t>
            </w:r>
            <w:r>
              <w:rPr>
                <w:kern w:val="0"/>
                <w:szCs w:val="21"/>
              </w:rPr>
              <w:t>类标准。环境噪声排放限值见下表。</w:t>
            </w:r>
          </w:p>
          <w:p>
            <w:pPr>
              <w:spacing w:line="400" w:lineRule="exact"/>
              <w:jc w:val="center"/>
              <w:rPr>
                <w:rFonts w:ascii="黑体" w:hAnsi="黑体" w:eastAsia="黑体"/>
                <w:kern w:val="0"/>
                <w:sz w:val="18"/>
                <w:szCs w:val="18"/>
              </w:rPr>
            </w:pPr>
            <w:r>
              <w:rPr>
                <w:rFonts w:hint="eastAsia" w:ascii="黑体" w:hAnsi="黑体" w:eastAsia="黑体"/>
                <w:kern w:val="0"/>
                <w:sz w:val="18"/>
                <w:szCs w:val="18"/>
              </w:rPr>
              <w:t xml:space="preserve">表3-9   </w:t>
            </w:r>
            <w:r>
              <w:rPr>
                <w:rFonts w:eastAsia="黑体"/>
                <w:bCs/>
                <w:sz w:val="18"/>
                <w:szCs w:val="18"/>
              </w:rPr>
              <w:t>工业企业厂界环境噪声排放标准限值</w:t>
            </w:r>
          </w:p>
          <w:tbl>
            <w:tblPr>
              <w:tblStyle w:val="20"/>
              <w:tblW w:w="76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1"/>
              <w:gridCol w:w="2217"/>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3821" w:type="dxa"/>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spacing w:line="300" w:lineRule="exact"/>
                    <w:jc w:val="right"/>
                    <w:rPr>
                      <w:szCs w:val="21"/>
                    </w:rPr>
                  </w:pPr>
                  <w:r>
                    <w:rPr>
                      <w:rFonts w:hint="eastAsia"/>
                      <w:szCs w:val="21"/>
                    </w:rPr>
                    <w:t>时段</w:t>
                  </w:r>
                </w:p>
                <w:p>
                  <w:pPr>
                    <w:spacing w:line="300" w:lineRule="exact"/>
                    <w:jc w:val="left"/>
                    <w:rPr>
                      <w:szCs w:val="21"/>
                    </w:rPr>
                  </w:pPr>
                  <w:r>
                    <w:rPr>
                      <w:rFonts w:hint="eastAsia"/>
                      <w:szCs w:val="21"/>
                    </w:rPr>
                    <w:t>厂界外声环境功能区类别</w:t>
                  </w:r>
                </w:p>
              </w:tc>
              <w:tc>
                <w:tcPr>
                  <w:tcW w:w="22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szCs w:val="21"/>
                    </w:rPr>
                    <w:t>昼间dB(A)</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sz w:val="18"/>
                      <w:szCs w:val="18"/>
                    </w:rPr>
                  </w:pPr>
                  <w:r>
                    <w:rPr>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3821" w:type="dxa"/>
                  <w:tcBorders>
                    <w:top w:val="single" w:color="auto" w:sz="4" w:space="0"/>
                    <w:left w:val="single" w:color="auto" w:sz="4" w:space="0"/>
                    <w:right w:val="single" w:color="auto" w:sz="4" w:space="0"/>
                  </w:tcBorders>
                  <w:shd w:val="clear" w:color="auto" w:fill="auto"/>
                  <w:vAlign w:val="center"/>
                </w:tcPr>
                <w:p>
                  <w:pPr>
                    <w:spacing w:line="320" w:lineRule="exact"/>
                    <w:jc w:val="center"/>
                    <w:rPr>
                      <w:sz w:val="18"/>
                      <w:szCs w:val="18"/>
                    </w:rPr>
                  </w:pPr>
                  <w:r>
                    <w:rPr>
                      <w:rFonts w:hint="eastAsia"/>
                      <w:szCs w:val="21"/>
                    </w:rPr>
                    <w:t>2</w:t>
                  </w:r>
                  <w:r>
                    <w:rPr>
                      <w:szCs w:val="21"/>
                    </w:rPr>
                    <w:t>类</w:t>
                  </w:r>
                </w:p>
              </w:tc>
              <w:tc>
                <w:tcPr>
                  <w:tcW w:w="2217" w:type="dxa"/>
                  <w:tcBorders>
                    <w:top w:val="single" w:color="auto" w:sz="4" w:space="0"/>
                    <w:left w:val="single" w:color="auto" w:sz="4" w:space="0"/>
                    <w:right w:val="single" w:color="auto" w:sz="4" w:space="0"/>
                  </w:tcBorders>
                  <w:shd w:val="clear" w:color="auto" w:fill="auto"/>
                  <w:vAlign w:val="center"/>
                </w:tcPr>
                <w:p>
                  <w:pPr>
                    <w:spacing w:line="320" w:lineRule="exact"/>
                    <w:jc w:val="center"/>
                    <w:rPr>
                      <w:sz w:val="18"/>
                      <w:szCs w:val="18"/>
                    </w:rPr>
                  </w:pPr>
                  <w:r>
                    <w:rPr>
                      <w:rFonts w:hint="eastAsia"/>
                      <w:szCs w:val="21"/>
                    </w:rPr>
                    <w:t>60</w:t>
                  </w:r>
                </w:p>
              </w:tc>
              <w:tc>
                <w:tcPr>
                  <w:tcW w:w="1640" w:type="dxa"/>
                  <w:tcBorders>
                    <w:top w:val="single" w:color="auto" w:sz="4" w:space="0"/>
                    <w:left w:val="single" w:color="auto" w:sz="4" w:space="0"/>
                    <w:right w:val="single" w:color="auto" w:sz="4" w:space="0"/>
                  </w:tcBorders>
                  <w:shd w:val="clear" w:color="auto" w:fill="auto"/>
                  <w:vAlign w:val="center"/>
                </w:tcPr>
                <w:p>
                  <w:pPr>
                    <w:spacing w:line="320" w:lineRule="exact"/>
                    <w:jc w:val="center"/>
                    <w:rPr>
                      <w:sz w:val="18"/>
                      <w:szCs w:val="18"/>
                    </w:rPr>
                  </w:pPr>
                  <w:r>
                    <w:rPr>
                      <w:szCs w:val="21"/>
                    </w:rPr>
                    <w:t>5</w:t>
                  </w:r>
                  <w:r>
                    <w:rPr>
                      <w:rFonts w:hint="eastAsia"/>
                      <w:szCs w:val="21"/>
                    </w:rPr>
                    <w:t>0</w:t>
                  </w:r>
                </w:p>
              </w:tc>
            </w:tr>
          </w:tbl>
          <w:p>
            <w:pPr>
              <w:autoSpaceDE w:val="0"/>
              <w:autoSpaceDN w:val="0"/>
              <w:adjustRightInd w:val="0"/>
              <w:snapToGrid w:val="0"/>
              <w:spacing w:line="380" w:lineRule="exact"/>
              <w:ind w:firstLine="420" w:firstLineChars="200"/>
              <w:jc w:val="left"/>
            </w:pPr>
            <w:r>
              <w:rPr>
                <w:kern w:val="0"/>
                <w:szCs w:val="21"/>
              </w:rPr>
              <w:t>4. 固体废物：</w:t>
            </w:r>
            <w:r>
              <w:rPr>
                <w:rFonts w:hint="eastAsia" w:cs="宋体"/>
                <w:kern w:val="0"/>
                <w:szCs w:val="21"/>
              </w:rPr>
              <w:t>一般固体废物处置执行《一般工业固体废物贮存和填埋污染控制标准》（</w:t>
            </w:r>
            <w:r>
              <w:rPr>
                <w:rFonts w:cs="宋体"/>
                <w:kern w:val="0"/>
                <w:szCs w:val="21"/>
              </w:rPr>
              <w:t>GB18599</w:t>
            </w:r>
            <w:r>
              <w:rPr>
                <w:rFonts w:hint="eastAsia" w:cs="宋体"/>
                <w:kern w:val="0"/>
                <w:szCs w:val="21"/>
              </w:rPr>
              <w:t>-2020）的有关规定。</w:t>
            </w:r>
            <w:r>
              <w:rPr>
                <w:rFonts w:hint="eastAsia"/>
                <w:szCs w:val="21"/>
              </w:rPr>
              <w:t>危险废物执行《危险废物贮存污染控制标准》（</w:t>
            </w:r>
            <w:r>
              <w:rPr>
                <w:szCs w:val="21"/>
              </w:rPr>
              <w:t>GB18597</w:t>
            </w:r>
            <w:r>
              <w:rPr>
                <w:rFonts w:hint="eastAsia"/>
                <w:szCs w:val="21"/>
              </w:rPr>
              <w:t>-2023）的要求。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792"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r>
              <w:rPr>
                <w:kern w:val="0"/>
                <w:szCs w:val="21"/>
              </w:rPr>
              <w:t>总量</w:t>
            </w:r>
          </w:p>
          <w:p>
            <w:pPr>
              <w:adjustRightInd w:val="0"/>
              <w:snapToGrid w:val="0"/>
              <w:jc w:val="center"/>
              <w:rPr>
                <w:kern w:val="0"/>
                <w:szCs w:val="21"/>
              </w:rPr>
            </w:pPr>
            <w:r>
              <w:rPr>
                <w:kern w:val="0"/>
                <w:szCs w:val="21"/>
              </w:rPr>
              <w:t>控制</w:t>
            </w:r>
          </w:p>
          <w:p>
            <w:pPr>
              <w:adjustRightInd w:val="0"/>
              <w:snapToGrid w:val="0"/>
              <w:jc w:val="center"/>
              <w:rPr>
                <w:kern w:val="0"/>
                <w:szCs w:val="21"/>
              </w:rPr>
            </w:pPr>
            <w:r>
              <w:rPr>
                <w:kern w:val="0"/>
                <w:szCs w:val="21"/>
              </w:rPr>
              <w:t>指标</w:t>
            </w: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tc>
        <w:tc>
          <w:tcPr>
            <w:tcW w:w="8127" w:type="dxa"/>
            <w:tcBorders>
              <w:top w:val="single" w:color="auto" w:sz="4" w:space="0"/>
              <w:left w:val="single" w:color="auto" w:sz="4" w:space="0"/>
              <w:bottom w:val="single" w:color="auto" w:sz="8" w:space="0"/>
              <w:right w:val="single" w:color="auto" w:sz="8" w:space="0"/>
            </w:tcBorders>
          </w:tcPr>
          <w:p>
            <w:pPr>
              <w:snapToGrid w:val="0"/>
              <w:spacing w:line="440" w:lineRule="exact"/>
              <w:ind w:firstLine="460" w:firstLineChars="200"/>
              <w:rPr>
                <w:rFonts w:cs="宋体"/>
                <w:spacing w:val="10"/>
              </w:rPr>
            </w:pPr>
            <w:r>
              <w:rPr>
                <w:rFonts w:hint="eastAsia" w:cs="宋体"/>
                <w:spacing w:val="10"/>
              </w:rPr>
              <w:t>本项目依托现有烧结砖生产线进行原料替代实现污泥综合利用处置，生产过程排放的大气污染物主要有颗粒物、二氧化硫、氮氧化物、氟化物、重金属粉尘、二噁英类、硫化氢、氨等，其中涉及国家现行大气总量控制指标的是</w:t>
            </w:r>
            <w:r>
              <w:rPr>
                <w:spacing w:val="10"/>
              </w:rPr>
              <w:t>NO</w:t>
            </w:r>
            <w:r>
              <w:rPr>
                <w:rFonts w:hint="eastAsia"/>
                <w:spacing w:val="10"/>
                <w:vertAlign w:val="subscript"/>
              </w:rPr>
              <w:t>x</w:t>
            </w:r>
            <w:r>
              <w:rPr>
                <w:rFonts w:hint="eastAsia"/>
                <w:spacing w:val="10"/>
              </w:rPr>
              <w:t>、SO</w:t>
            </w:r>
            <w:r>
              <w:rPr>
                <w:rFonts w:hint="eastAsia"/>
                <w:spacing w:val="10"/>
                <w:vertAlign w:val="subscript"/>
              </w:rPr>
              <w:t>2</w:t>
            </w:r>
            <w:r>
              <w:rPr>
                <w:rFonts w:hint="eastAsia" w:cs="宋体"/>
                <w:spacing w:val="10"/>
              </w:rPr>
              <w:t>。根据项目监督性监测数据计算，项目NO</w:t>
            </w:r>
            <w:r>
              <w:rPr>
                <w:rFonts w:hint="eastAsia" w:cs="宋体"/>
                <w:spacing w:val="10"/>
                <w:vertAlign w:val="subscript"/>
              </w:rPr>
              <w:t>x</w:t>
            </w:r>
            <w:r>
              <w:rPr>
                <w:rFonts w:hint="eastAsia" w:cs="宋体"/>
                <w:spacing w:val="10"/>
              </w:rPr>
              <w:t>总量指标为15.537t/a，SO</w:t>
            </w:r>
            <w:r>
              <w:rPr>
                <w:rFonts w:hint="eastAsia" w:cs="宋体"/>
                <w:spacing w:val="10"/>
                <w:vertAlign w:val="subscript"/>
              </w:rPr>
              <w:t>2</w:t>
            </w:r>
            <w:r>
              <w:rPr>
                <w:rFonts w:hint="eastAsia" w:cs="宋体"/>
                <w:spacing w:val="10"/>
              </w:rPr>
              <w:t>总量指标为25.48t/a。</w:t>
            </w:r>
          </w:p>
          <w:p>
            <w:pPr>
              <w:snapToGrid w:val="0"/>
              <w:spacing w:line="440" w:lineRule="exact"/>
              <w:ind w:firstLine="460" w:firstLineChars="200"/>
              <w:rPr>
                <w:rFonts w:cs="宋体"/>
                <w:spacing w:val="10"/>
              </w:rPr>
            </w:pPr>
            <w:r>
              <w:rPr>
                <w:rFonts w:hint="eastAsia" w:cs="宋体"/>
                <w:spacing w:val="10"/>
              </w:rPr>
              <w:t>项目实施后废气污染物排放量为</w:t>
            </w:r>
            <w:r>
              <w:rPr>
                <w:spacing w:val="10"/>
              </w:rPr>
              <w:t>NO</w:t>
            </w:r>
            <w:r>
              <w:rPr>
                <w:spacing w:val="10"/>
                <w:vertAlign w:val="subscript"/>
              </w:rPr>
              <w:t>X</w:t>
            </w:r>
            <w:r>
              <w:rPr>
                <w:spacing w:val="10"/>
              </w:rPr>
              <w:t>≤</w:t>
            </w:r>
            <w:r>
              <w:rPr>
                <w:rFonts w:hint="eastAsia"/>
                <w:spacing w:val="10"/>
              </w:rPr>
              <w:t>10.07</w:t>
            </w:r>
            <w:r>
              <w:rPr>
                <w:spacing w:val="10"/>
              </w:rPr>
              <w:t>t/a</w:t>
            </w:r>
            <w:r>
              <w:rPr>
                <w:rFonts w:hint="eastAsia"/>
                <w:spacing w:val="10"/>
              </w:rPr>
              <w:t>、SO</w:t>
            </w:r>
            <w:r>
              <w:rPr>
                <w:rFonts w:hint="eastAsia"/>
                <w:spacing w:val="10"/>
                <w:vertAlign w:val="subscript"/>
              </w:rPr>
              <w:t>2</w:t>
            </w:r>
            <w:r>
              <w:rPr>
                <w:spacing w:val="10"/>
              </w:rPr>
              <w:t>≤</w:t>
            </w:r>
            <w:r>
              <w:rPr>
                <w:rFonts w:hint="eastAsia"/>
                <w:spacing w:val="10"/>
              </w:rPr>
              <w:t>6.838</w:t>
            </w:r>
            <w:r>
              <w:rPr>
                <w:spacing w:val="10"/>
              </w:rPr>
              <w:t>t/a，均未超过项目实施前大气</w:t>
            </w:r>
            <w:r>
              <w:rPr>
                <w:rFonts w:hint="eastAsia" w:cs="宋体"/>
                <w:spacing w:val="10"/>
              </w:rPr>
              <w:t>总量控制指标</w:t>
            </w:r>
            <w:r>
              <w:rPr>
                <w:spacing w:val="10"/>
              </w:rPr>
              <w:t>。</w:t>
            </w:r>
            <w:r>
              <w:rPr>
                <w:rFonts w:hint="eastAsia"/>
                <w:spacing w:val="10"/>
              </w:rPr>
              <w:t>生产生活废水经收集处理后，均能实现循环回用或综合利用，不排放至外环境。</w:t>
            </w:r>
          </w:p>
          <w:p>
            <w:pPr>
              <w:snapToGrid w:val="0"/>
              <w:spacing w:line="400" w:lineRule="exact"/>
              <w:ind w:firstLine="460" w:firstLineChars="200"/>
              <w:jc w:val="left"/>
              <w:rPr>
                <w:spacing w:val="10"/>
              </w:rPr>
            </w:pPr>
            <w:r>
              <w:rPr>
                <w:rFonts w:hint="eastAsia"/>
                <w:spacing w:val="10"/>
              </w:rPr>
              <w:t>因此，建议项目技改后大气总量控制指标为：NO</w:t>
            </w:r>
            <w:r>
              <w:rPr>
                <w:rFonts w:hint="eastAsia"/>
                <w:spacing w:val="10"/>
                <w:vertAlign w:val="subscript"/>
              </w:rPr>
              <w:t>x</w:t>
            </w:r>
            <w:r>
              <w:rPr>
                <w:rFonts w:hint="eastAsia"/>
                <w:spacing w:val="10"/>
              </w:rPr>
              <w:t>≤10.07t/a、SO</w:t>
            </w:r>
            <w:r>
              <w:rPr>
                <w:rFonts w:hint="eastAsia"/>
                <w:spacing w:val="10"/>
                <w:vertAlign w:val="subscript"/>
              </w:rPr>
              <w:t>2</w:t>
            </w:r>
            <w:r>
              <w:rPr>
                <w:spacing w:val="10"/>
              </w:rPr>
              <w:t>≤</w:t>
            </w:r>
            <w:r>
              <w:rPr>
                <w:rFonts w:hint="eastAsia"/>
                <w:spacing w:val="10"/>
              </w:rPr>
              <w:t>6.838</w:t>
            </w:r>
            <w:r>
              <w:rPr>
                <w:spacing w:val="10"/>
              </w:rPr>
              <w:t>t/a</w:t>
            </w:r>
            <w:r>
              <w:rPr>
                <w:rFonts w:hint="eastAsia"/>
                <w:spacing w:val="10"/>
              </w:rPr>
              <w:t>。由当地生态环境主管部门核定后下达。</w:t>
            </w: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400" w:lineRule="exact"/>
              <w:ind w:firstLine="460" w:firstLineChars="200"/>
              <w:jc w:val="left"/>
              <w:rPr>
                <w:spacing w:val="10"/>
              </w:rPr>
            </w:pPr>
          </w:p>
          <w:p>
            <w:pPr>
              <w:snapToGrid w:val="0"/>
              <w:spacing w:line="100" w:lineRule="exact"/>
              <w:ind w:firstLine="460" w:firstLineChars="200"/>
              <w:jc w:val="left"/>
              <w:rPr>
                <w:spacing w:val="10"/>
              </w:rPr>
            </w:pPr>
          </w:p>
          <w:p>
            <w:pPr>
              <w:snapToGrid w:val="0"/>
              <w:spacing w:line="400" w:lineRule="exact"/>
              <w:ind w:firstLine="460" w:firstLineChars="200"/>
              <w:jc w:val="left"/>
              <w:rPr>
                <w:spacing w:val="10"/>
              </w:rPr>
            </w:pPr>
          </w:p>
        </w:tc>
      </w:tr>
    </w:tbl>
    <w:p>
      <w:pPr>
        <w:pStyle w:val="18"/>
        <w:jc w:val="center"/>
        <w:outlineLvl w:val="0"/>
        <w:rPr>
          <w:rFonts w:ascii="Times New Roman" w:hAnsi="Times New Roman" w:eastAsia="黑体" w:cs="Times New Roman"/>
          <w:snapToGrid w:val="0"/>
          <w:kern w:val="0"/>
          <w:sz w:val="30"/>
          <w:szCs w:val="30"/>
        </w:rPr>
      </w:pPr>
      <w:r>
        <w:rPr>
          <w:rFonts w:ascii="Times New Roman" w:hAnsi="Times New Roman" w:eastAsia="黑体" w:cs="Times New Roman"/>
          <w:snapToGrid w:val="0"/>
          <w:kern w:val="0"/>
          <w:sz w:val="36"/>
          <w:szCs w:val="36"/>
        </w:rPr>
        <w:br w:type="page"/>
      </w:r>
      <w:r>
        <w:rPr>
          <w:rFonts w:ascii="Times New Roman" w:hAnsi="Times New Roman" w:eastAsia="黑体" w:cs="Times New Roman"/>
          <w:snapToGrid w:val="0"/>
          <w:sz w:val="30"/>
          <w:szCs w:val="30"/>
        </w:rPr>
        <w:t>四、主要环境影响和保护措施</w:t>
      </w:r>
    </w:p>
    <w:tbl>
      <w:tblPr>
        <w:tblStyle w:val="20"/>
        <w:tblW w:w="890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46"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施工</w:t>
            </w: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期环</w:t>
            </w: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境保</w:t>
            </w: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护措</w:t>
            </w: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施</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施工</w:t>
            </w: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期环</w:t>
            </w: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境保</w:t>
            </w: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护措</w:t>
            </w:r>
          </w:p>
          <w:p>
            <w:pPr>
              <w:pStyle w:val="18"/>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施</w:t>
            </w: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sz w:val="21"/>
                <w:szCs w:val="21"/>
              </w:rPr>
            </w:pPr>
          </w:p>
          <w:p>
            <w:pPr>
              <w:pStyle w:val="18"/>
              <w:adjustRightInd w:val="0"/>
              <w:snapToGrid w:val="0"/>
              <w:spacing w:before="0" w:beforeAutospacing="0" w:after="0" w:afterAutospacing="0"/>
              <w:jc w:val="center"/>
              <w:rPr>
                <w:rFonts w:ascii="Times New Roman" w:hAnsi="Times New Roman" w:cs="Times New Roman"/>
                <w:bCs/>
                <w:sz w:val="21"/>
                <w:szCs w:val="21"/>
              </w:rPr>
            </w:pPr>
          </w:p>
        </w:tc>
        <w:tc>
          <w:tcPr>
            <w:tcW w:w="8162"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426" w:lineRule="exact"/>
              <w:jc w:val="left"/>
              <w:rPr>
                <w:rFonts w:eastAsia="黑体"/>
                <w:bCs/>
                <w:szCs w:val="21"/>
              </w:rPr>
            </w:pPr>
            <w:r>
              <w:rPr>
                <w:rFonts w:eastAsia="黑体"/>
                <w:bCs/>
                <w:szCs w:val="21"/>
              </w:rPr>
              <w:t>1、废气</w:t>
            </w:r>
          </w:p>
          <w:p>
            <w:pPr>
              <w:autoSpaceDE w:val="0"/>
              <w:autoSpaceDN w:val="0"/>
              <w:adjustRightInd w:val="0"/>
              <w:spacing w:line="426" w:lineRule="exact"/>
              <w:ind w:firstLine="422" w:firstLineChars="201"/>
              <w:jc w:val="left"/>
              <w:rPr>
                <w:szCs w:val="21"/>
              </w:rPr>
            </w:pPr>
            <w:r>
              <w:rPr>
                <w:rFonts w:hint="eastAsia"/>
                <w:szCs w:val="21"/>
              </w:rPr>
              <w:t>本项目施工期间排放的大气污染物主要为施工扬尘、施工机械和运输车辆产生的尾气等。施工现场应采取的污染防治措施如下：</w:t>
            </w:r>
          </w:p>
          <w:p>
            <w:pPr>
              <w:autoSpaceDE w:val="0"/>
              <w:autoSpaceDN w:val="0"/>
              <w:adjustRightInd w:val="0"/>
              <w:spacing w:line="426" w:lineRule="exact"/>
              <w:ind w:firstLine="422" w:firstLineChars="201"/>
              <w:jc w:val="left"/>
              <w:rPr>
                <w:szCs w:val="21"/>
              </w:rPr>
            </w:pPr>
            <w:r>
              <w:rPr>
                <w:rFonts w:hint="eastAsia"/>
                <w:szCs w:val="21"/>
              </w:rPr>
              <w:t>①建筑施工现场严格执行“六必须、六不准、六个100%”。即必须打围作业、必须硬化道路、必须设置冲洗设施、必须湿法作业、必须配齐保洁人员、必须定时清扫施工现场。不准车辆带泥出门、不准高空抛撒建渣、不准现场搅拌混凝土、不准场地积水、不准现场焚烧废弃物、不准现场堆放未覆盖的裸土。施工工地周边100%围挡、物料堆放100%覆盖、出入车辆100%冲洗、施工现场地面100%硬化、拆迁工地100%湿法作业、渣土车辆100%密闭运输。根据项目设计方案，本项目施工所用的混凝土均外购商混砼，不在现场开展混凝土搅拌作业。</w:t>
            </w:r>
          </w:p>
          <w:p>
            <w:pPr>
              <w:autoSpaceDE w:val="0"/>
              <w:autoSpaceDN w:val="0"/>
              <w:adjustRightInd w:val="0"/>
              <w:spacing w:line="426" w:lineRule="exact"/>
              <w:ind w:firstLine="422" w:firstLineChars="201"/>
              <w:jc w:val="left"/>
              <w:rPr>
                <w:szCs w:val="21"/>
              </w:rPr>
            </w:pPr>
            <w:r>
              <w:rPr>
                <w:rFonts w:hint="eastAsia"/>
                <w:szCs w:val="21"/>
              </w:rPr>
              <w:t>②施工过程产生的建筑垃圾，及时清运按规定妥善处置。</w:t>
            </w:r>
          </w:p>
          <w:p>
            <w:pPr>
              <w:autoSpaceDE w:val="0"/>
              <w:autoSpaceDN w:val="0"/>
              <w:adjustRightInd w:val="0"/>
              <w:spacing w:line="426" w:lineRule="exact"/>
              <w:ind w:firstLine="422" w:firstLineChars="201"/>
              <w:jc w:val="left"/>
              <w:rPr>
                <w:szCs w:val="21"/>
              </w:rPr>
            </w:pPr>
            <w:r>
              <w:rPr>
                <w:rFonts w:hint="eastAsia"/>
                <w:szCs w:val="21"/>
              </w:rPr>
              <w:t>③施工现场加强管理，遇到风速四级以上易产生扬尘时尽量停止施工作业，并对周围土方采取覆盖、湿化等措施，严禁凌空抛掷。</w:t>
            </w:r>
          </w:p>
          <w:p>
            <w:pPr>
              <w:autoSpaceDE w:val="0"/>
              <w:autoSpaceDN w:val="0"/>
              <w:adjustRightInd w:val="0"/>
              <w:spacing w:line="426" w:lineRule="exact"/>
              <w:ind w:firstLine="422" w:firstLineChars="201"/>
              <w:jc w:val="left"/>
              <w:rPr>
                <w:szCs w:val="21"/>
              </w:rPr>
            </w:pPr>
            <w:r>
              <w:rPr>
                <w:rFonts w:hint="eastAsia"/>
                <w:szCs w:val="21"/>
              </w:rPr>
              <w:t>④本次技改工程，在现有厂区内进行建设，厂区道路已硬化处理。施工期应落实洒水降尘措施，充分利用现有车辆冲洗设施，加强进出车辆冲洗，降低扬尘污染。</w:t>
            </w:r>
          </w:p>
          <w:p>
            <w:pPr>
              <w:autoSpaceDE w:val="0"/>
              <w:autoSpaceDN w:val="0"/>
              <w:adjustRightInd w:val="0"/>
              <w:spacing w:line="426" w:lineRule="exact"/>
              <w:ind w:firstLine="422" w:firstLineChars="201"/>
              <w:jc w:val="left"/>
              <w:rPr>
                <w:szCs w:val="21"/>
              </w:rPr>
            </w:pPr>
            <w:r>
              <w:rPr>
                <w:rFonts w:hint="eastAsia"/>
                <w:szCs w:val="21"/>
              </w:rPr>
              <w:t>⑤运输建筑材料、弃渣等车辆，不应出现装载过满现象，采用篷布遮盖封闭运输。</w:t>
            </w:r>
          </w:p>
          <w:p>
            <w:pPr>
              <w:autoSpaceDE w:val="0"/>
              <w:autoSpaceDN w:val="0"/>
              <w:adjustRightInd w:val="0"/>
              <w:spacing w:line="426" w:lineRule="exact"/>
              <w:ind w:firstLine="422" w:firstLineChars="201"/>
              <w:jc w:val="left"/>
              <w:rPr>
                <w:szCs w:val="21"/>
              </w:rPr>
            </w:pPr>
            <w:r>
              <w:rPr>
                <w:rFonts w:hint="eastAsia"/>
                <w:szCs w:val="21"/>
              </w:rPr>
              <w:t>⑥任何易产生扬尘的物料，应当密闭存放或及时进行覆盖。</w:t>
            </w:r>
          </w:p>
          <w:p>
            <w:pPr>
              <w:autoSpaceDE w:val="0"/>
              <w:autoSpaceDN w:val="0"/>
              <w:adjustRightInd w:val="0"/>
              <w:snapToGrid w:val="0"/>
              <w:spacing w:line="426" w:lineRule="exact"/>
              <w:ind w:firstLine="420" w:firstLineChars="200"/>
              <w:jc w:val="left"/>
              <w:rPr>
                <w:rFonts w:eastAsia="黑体"/>
                <w:bCs/>
                <w:szCs w:val="21"/>
              </w:rPr>
            </w:pPr>
            <w:r>
              <w:rPr>
                <w:szCs w:val="21"/>
                <w:lang w:val="zh-CN"/>
              </w:rPr>
              <w:t>通过采取上述废气治理措施，项目施工期废气对周围环境影响较小。</w:t>
            </w:r>
          </w:p>
          <w:p>
            <w:pPr>
              <w:autoSpaceDE w:val="0"/>
              <w:autoSpaceDN w:val="0"/>
              <w:adjustRightInd w:val="0"/>
              <w:snapToGrid w:val="0"/>
              <w:spacing w:line="426" w:lineRule="exact"/>
              <w:jc w:val="left"/>
              <w:rPr>
                <w:rFonts w:eastAsia="黑体"/>
                <w:bCs/>
                <w:szCs w:val="21"/>
              </w:rPr>
            </w:pPr>
            <w:r>
              <w:rPr>
                <w:rFonts w:hint="eastAsia" w:eastAsia="黑体"/>
                <w:bCs/>
                <w:szCs w:val="21"/>
              </w:rPr>
              <w:t>2、废水</w:t>
            </w:r>
          </w:p>
          <w:p>
            <w:pPr>
              <w:autoSpaceDE w:val="0"/>
              <w:autoSpaceDN w:val="0"/>
              <w:adjustRightInd w:val="0"/>
              <w:snapToGrid w:val="0"/>
              <w:spacing w:line="426" w:lineRule="exact"/>
              <w:ind w:firstLine="420" w:firstLineChars="200"/>
              <w:jc w:val="left"/>
              <w:rPr>
                <w:kern w:val="0"/>
                <w:szCs w:val="21"/>
              </w:rPr>
            </w:pPr>
            <w:r>
              <w:rPr>
                <w:rFonts w:hint="eastAsia"/>
                <w:kern w:val="0"/>
                <w:szCs w:val="21"/>
              </w:rPr>
              <w:t>施工期废水包括施工作业本身产生的废水，施工人员产生的少量生活污水。</w:t>
            </w:r>
          </w:p>
          <w:p>
            <w:pPr>
              <w:autoSpaceDE w:val="0"/>
              <w:autoSpaceDN w:val="0"/>
              <w:adjustRightInd w:val="0"/>
              <w:snapToGrid w:val="0"/>
              <w:spacing w:line="426" w:lineRule="exact"/>
              <w:ind w:firstLine="420" w:firstLineChars="200"/>
              <w:jc w:val="left"/>
              <w:rPr>
                <w:kern w:val="0"/>
                <w:szCs w:val="21"/>
              </w:rPr>
            </w:pPr>
            <w:r>
              <w:rPr>
                <w:rFonts w:hint="eastAsia"/>
                <w:kern w:val="0"/>
                <w:szCs w:val="21"/>
              </w:rPr>
              <w:t>施工废水主要来源于砼浇筑废水、各种设备的清洗废水，以及施工过程泥浆及降雨导致的散料和泥浆漫流。施工废水中含有大量的泥沙与悬浮物，另有少量油污。</w:t>
            </w:r>
          </w:p>
          <w:p>
            <w:pPr>
              <w:autoSpaceDE w:val="0"/>
              <w:autoSpaceDN w:val="0"/>
              <w:adjustRightInd w:val="0"/>
              <w:snapToGrid w:val="0"/>
              <w:spacing w:line="426" w:lineRule="exact"/>
              <w:ind w:firstLine="420" w:firstLineChars="200"/>
              <w:jc w:val="left"/>
              <w:rPr>
                <w:kern w:val="0"/>
                <w:szCs w:val="21"/>
              </w:rPr>
            </w:pPr>
            <w:r>
              <w:rPr>
                <w:rFonts w:hint="eastAsia"/>
                <w:kern w:val="0"/>
                <w:szCs w:val="21"/>
              </w:rPr>
              <w:t>应采取的治理措施如下：</w:t>
            </w:r>
          </w:p>
          <w:p>
            <w:pPr>
              <w:autoSpaceDE w:val="0"/>
              <w:autoSpaceDN w:val="0"/>
              <w:adjustRightInd w:val="0"/>
              <w:snapToGrid w:val="0"/>
              <w:spacing w:line="426" w:lineRule="exact"/>
              <w:ind w:firstLine="420" w:firstLineChars="200"/>
              <w:jc w:val="left"/>
              <w:rPr>
                <w:kern w:val="0"/>
                <w:szCs w:val="21"/>
              </w:rPr>
            </w:pPr>
            <w:r>
              <w:rPr>
                <w:rFonts w:hint="eastAsia"/>
                <w:kern w:val="0"/>
                <w:szCs w:val="21"/>
              </w:rPr>
              <w:t>①施工现场应充分利用现有的车辆冲洗台和废水沉淀池，将施工废水收集后循环利用不外排，禁止废水无组织漫流，增大重复用水率，降低污水产生量。</w:t>
            </w:r>
          </w:p>
          <w:p>
            <w:pPr>
              <w:autoSpaceDE w:val="0"/>
              <w:autoSpaceDN w:val="0"/>
              <w:adjustRightInd w:val="0"/>
              <w:snapToGrid w:val="0"/>
              <w:spacing w:line="426" w:lineRule="exact"/>
              <w:ind w:firstLine="420" w:firstLineChars="200"/>
              <w:jc w:val="left"/>
              <w:rPr>
                <w:kern w:val="0"/>
                <w:szCs w:val="21"/>
              </w:rPr>
            </w:pPr>
            <w:r>
              <w:rPr>
                <w:rFonts w:hint="eastAsia"/>
                <w:kern w:val="0"/>
                <w:szCs w:val="21"/>
              </w:rPr>
              <w:t>②加强施工机械管理，尽量避免跑、冒、滴、漏。</w:t>
            </w:r>
          </w:p>
          <w:p>
            <w:pPr>
              <w:autoSpaceDE w:val="0"/>
              <w:autoSpaceDN w:val="0"/>
              <w:adjustRightInd w:val="0"/>
              <w:snapToGrid w:val="0"/>
              <w:spacing w:line="426" w:lineRule="exact"/>
              <w:ind w:firstLine="420" w:firstLineChars="200"/>
              <w:jc w:val="left"/>
              <w:rPr>
                <w:kern w:val="0"/>
                <w:szCs w:val="21"/>
              </w:rPr>
            </w:pPr>
            <w:r>
              <w:rPr>
                <w:rFonts w:hint="eastAsia"/>
                <w:kern w:val="0"/>
                <w:szCs w:val="21"/>
              </w:rPr>
              <w:t>③水泥等建材远离水体堆放，并设雨蓬遮挡，必要时设防护围栏，防止被雨水冲刷流入水体。</w:t>
            </w:r>
          </w:p>
          <w:p>
            <w:pPr>
              <w:autoSpaceDE w:val="0"/>
              <w:autoSpaceDN w:val="0"/>
              <w:adjustRightInd w:val="0"/>
              <w:snapToGrid w:val="0"/>
              <w:spacing w:line="426" w:lineRule="exact"/>
              <w:ind w:firstLine="420" w:firstLineChars="200"/>
              <w:jc w:val="left"/>
              <w:rPr>
                <w:kern w:val="0"/>
                <w:szCs w:val="21"/>
              </w:rPr>
            </w:pPr>
            <w:r>
              <w:rPr>
                <w:rFonts w:hint="eastAsia"/>
                <w:kern w:val="0"/>
                <w:szCs w:val="21"/>
              </w:rPr>
              <w:t>④施工人员的少量生活污水，利用现有化粪池处理后，定期清掏做农肥使用，不外排。</w:t>
            </w:r>
          </w:p>
          <w:p>
            <w:pPr>
              <w:autoSpaceDE w:val="0"/>
              <w:autoSpaceDN w:val="0"/>
              <w:adjustRightInd w:val="0"/>
              <w:snapToGrid w:val="0"/>
              <w:spacing w:line="416" w:lineRule="exact"/>
              <w:ind w:firstLine="420" w:firstLineChars="200"/>
              <w:jc w:val="left"/>
              <w:rPr>
                <w:kern w:val="0"/>
                <w:szCs w:val="21"/>
              </w:rPr>
            </w:pPr>
            <w:r>
              <w:rPr>
                <w:rFonts w:hint="eastAsia"/>
                <w:kern w:val="0"/>
                <w:szCs w:val="21"/>
              </w:rPr>
              <w:t>⑤在施工后期工程完工后，应尽快对厂区采取绿化或硬化地面，尽量减少雨水对裸露地表的冲刷，减小水土流失对地表水的影响。</w:t>
            </w:r>
          </w:p>
          <w:p>
            <w:pPr>
              <w:autoSpaceDE w:val="0"/>
              <w:autoSpaceDN w:val="0"/>
              <w:adjustRightInd w:val="0"/>
              <w:snapToGrid w:val="0"/>
              <w:spacing w:line="416" w:lineRule="exact"/>
              <w:ind w:firstLine="420" w:firstLineChars="200"/>
              <w:jc w:val="left"/>
              <w:rPr>
                <w:kern w:val="0"/>
                <w:szCs w:val="21"/>
              </w:rPr>
            </w:pPr>
            <w:r>
              <w:rPr>
                <w:rFonts w:hint="eastAsia"/>
                <w:kern w:val="0"/>
                <w:szCs w:val="21"/>
              </w:rPr>
              <w:t>采取上述措施后，项目施工废水不会对周围环境造成污染性影响。</w:t>
            </w:r>
          </w:p>
          <w:p>
            <w:pPr>
              <w:autoSpaceDE w:val="0"/>
              <w:autoSpaceDN w:val="0"/>
              <w:adjustRightInd w:val="0"/>
              <w:snapToGrid w:val="0"/>
              <w:spacing w:line="416" w:lineRule="exact"/>
              <w:jc w:val="left"/>
              <w:rPr>
                <w:rFonts w:eastAsia="黑体"/>
                <w:bCs/>
                <w:szCs w:val="21"/>
              </w:rPr>
            </w:pPr>
            <w:r>
              <w:rPr>
                <w:rFonts w:hint="eastAsia" w:eastAsia="黑体"/>
                <w:bCs/>
                <w:szCs w:val="21"/>
              </w:rPr>
              <w:t>3</w:t>
            </w:r>
            <w:r>
              <w:rPr>
                <w:rFonts w:eastAsia="黑体"/>
                <w:bCs/>
                <w:szCs w:val="21"/>
              </w:rPr>
              <w:t>、噪声</w:t>
            </w:r>
          </w:p>
          <w:p>
            <w:pPr>
              <w:autoSpaceDE w:val="0"/>
              <w:autoSpaceDN w:val="0"/>
              <w:adjustRightInd w:val="0"/>
              <w:snapToGrid w:val="0"/>
              <w:spacing w:line="416" w:lineRule="exact"/>
              <w:ind w:firstLine="420" w:firstLineChars="200"/>
              <w:jc w:val="left"/>
              <w:rPr>
                <w:rFonts w:cs="宋体"/>
                <w:kern w:val="0"/>
                <w:szCs w:val="21"/>
              </w:rPr>
            </w:pPr>
            <w:r>
              <w:rPr>
                <w:rFonts w:hint="eastAsia"/>
                <w:kern w:val="0"/>
                <w:szCs w:val="21"/>
              </w:rPr>
              <w:t>本项目技改建设仅在厂区内进行，不会进行大型的土建施工，不会使用挖掘机、振捣机等工程机械设备。</w:t>
            </w:r>
            <w:r>
              <w:rPr>
                <w:rFonts w:hint="eastAsia" w:cs="宋体"/>
                <w:kern w:val="0"/>
                <w:szCs w:val="21"/>
              </w:rPr>
              <w:t>施工期噪声主要来源于轻钢结构厂房的搭建和工程材料的运输噪声，主要的高噪声设备为装载机和运输车辆等，这些噪声源的强度在8</w:t>
            </w:r>
            <w:r>
              <w:rPr>
                <w:rFonts w:cs="宋体"/>
                <w:kern w:val="0"/>
                <w:szCs w:val="21"/>
              </w:rPr>
              <w:t>0</w:t>
            </w:r>
            <w:r>
              <w:rPr>
                <w:rFonts w:hint="eastAsia" w:cs="宋体"/>
                <w:kern w:val="0"/>
                <w:szCs w:val="21"/>
              </w:rPr>
              <w:t>～</w:t>
            </w:r>
            <w:r>
              <w:rPr>
                <w:rFonts w:cs="宋体"/>
                <w:kern w:val="0"/>
                <w:szCs w:val="21"/>
              </w:rPr>
              <w:t>90dB(A</w:t>
            </w:r>
            <w:r>
              <w:rPr>
                <w:rFonts w:hint="eastAsia" w:cs="宋体"/>
                <w:kern w:val="0"/>
                <w:szCs w:val="21"/>
              </w:rPr>
              <w:t>）。</w:t>
            </w:r>
          </w:p>
          <w:p>
            <w:pPr>
              <w:autoSpaceDE w:val="0"/>
              <w:autoSpaceDN w:val="0"/>
              <w:adjustRightInd w:val="0"/>
              <w:snapToGrid w:val="0"/>
              <w:spacing w:line="416" w:lineRule="exact"/>
              <w:ind w:firstLine="420" w:firstLineChars="200"/>
              <w:jc w:val="left"/>
              <w:rPr>
                <w:rFonts w:cs="宋体"/>
                <w:kern w:val="0"/>
                <w:szCs w:val="21"/>
              </w:rPr>
            </w:pPr>
            <w:r>
              <w:rPr>
                <w:rFonts w:hint="eastAsia" w:cs="宋体"/>
                <w:kern w:val="0"/>
                <w:szCs w:val="21"/>
              </w:rPr>
              <w:t>建设单位在施工过程中需采取以下控制措施：</w:t>
            </w:r>
          </w:p>
          <w:p>
            <w:pPr>
              <w:autoSpaceDE w:val="0"/>
              <w:autoSpaceDN w:val="0"/>
              <w:adjustRightInd w:val="0"/>
              <w:snapToGrid w:val="0"/>
              <w:spacing w:line="416" w:lineRule="exact"/>
              <w:ind w:firstLine="420" w:firstLineChars="200"/>
              <w:jc w:val="left"/>
              <w:rPr>
                <w:rFonts w:cs="宋体"/>
                <w:kern w:val="0"/>
                <w:szCs w:val="21"/>
              </w:rPr>
            </w:pPr>
            <w:r>
              <w:rPr>
                <w:rFonts w:hint="eastAsia" w:cs="宋体"/>
                <w:kern w:val="0"/>
                <w:szCs w:val="21"/>
              </w:rPr>
              <w:t>①在满足工艺要求的前提下，首先选用先进的、噪声较低的环保型设备，严格按操作规程使用各类机械。</w:t>
            </w:r>
          </w:p>
          <w:p>
            <w:pPr>
              <w:autoSpaceDE w:val="0"/>
              <w:autoSpaceDN w:val="0"/>
              <w:adjustRightInd w:val="0"/>
              <w:snapToGrid w:val="0"/>
              <w:spacing w:line="416" w:lineRule="exact"/>
              <w:ind w:firstLine="420" w:firstLineChars="200"/>
              <w:jc w:val="left"/>
              <w:rPr>
                <w:rFonts w:cs="宋体"/>
                <w:kern w:val="0"/>
                <w:szCs w:val="21"/>
              </w:rPr>
            </w:pPr>
            <w:r>
              <w:rPr>
                <w:rFonts w:hint="eastAsia" w:cs="宋体"/>
                <w:kern w:val="0"/>
                <w:szCs w:val="21"/>
              </w:rPr>
              <w:t>②合理安排工期，尽量缩短整个施工期；严格控制施工时间，禁止夜间（</w:t>
            </w:r>
            <w:r>
              <w:rPr>
                <w:rFonts w:cs="宋体"/>
                <w:kern w:val="0"/>
                <w:szCs w:val="21"/>
              </w:rPr>
              <w:t>22:00-</w:t>
            </w:r>
            <w:r>
              <w:rPr>
                <w:rFonts w:hint="eastAsia" w:cs="宋体"/>
                <w:kern w:val="0"/>
                <w:szCs w:val="21"/>
              </w:rPr>
              <w:t>次日</w:t>
            </w:r>
            <w:r>
              <w:rPr>
                <w:rFonts w:cs="宋体"/>
                <w:kern w:val="0"/>
                <w:szCs w:val="21"/>
              </w:rPr>
              <w:t>6</w:t>
            </w:r>
            <w:r>
              <w:rPr>
                <w:rFonts w:hint="eastAsia" w:cs="宋体"/>
                <w:kern w:val="0"/>
                <w:szCs w:val="21"/>
              </w:rPr>
              <w:t>：</w:t>
            </w:r>
            <w:r>
              <w:rPr>
                <w:rFonts w:cs="宋体"/>
                <w:kern w:val="0"/>
                <w:szCs w:val="21"/>
              </w:rPr>
              <w:t>00</w:t>
            </w:r>
            <w:r>
              <w:rPr>
                <w:rFonts w:hint="eastAsia" w:cs="宋体"/>
                <w:kern w:val="0"/>
                <w:szCs w:val="21"/>
              </w:rPr>
              <w:t>）进行产生环境噪声污染的施工作业；应尽可能避免大量高噪声设备同时施工。</w:t>
            </w:r>
          </w:p>
          <w:p>
            <w:pPr>
              <w:autoSpaceDE w:val="0"/>
              <w:autoSpaceDN w:val="0"/>
              <w:adjustRightInd w:val="0"/>
              <w:snapToGrid w:val="0"/>
              <w:spacing w:line="416" w:lineRule="exact"/>
              <w:ind w:firstLine="420" w:firstLineChars="200"/>
              <w:jc w:val="left"/>
              <w:rPr>
                <w:rFonts w:cs="宋体"/>
                <w:kern w:val="0"/>
                <w:szCs w:val="21"/>
              </w:rPr>
            </w:pPr>
            <w:r>
              <w:rPr>
                <w:rFonts w:hint="eastAsia" w:cs="宋体"/>
                <w:kern w:val="0"/>
                <w:szCs w:val="21"/>
              </w:rPr>
              <w:t>③坚持文明施工，对施工器具应该轻拿轻放，严禁抛掷，降低人为噪声。</w:t>
            </w:r>
          </w:p>
          <w:p>
            <w:pPr>
              <w:autoSpaceDE w:val="0"/>
              <w:autoSpaceDN w:val="0"/>
              <w:adjustRightInd w:val="0"/>
              <w:snapToGrid w:val="0"/>
              <w:spacing w:line="416" w:lineRule="exact"/>
              <w:ind w:firstLine="420" w:firstLineChars="200"/>
              <w:jc w:val="left"/>
              <w:rPr>
                <w:rFonts w:cs="宋体"/>
                <w:kern w:val="0"/>
                <w:szCs w:val="21"/>
              </w:rPr>
            </w:pPr>
            <w:r>
              <w:rPr>
                <w:rFonts w:hint="eastAsia" w:cs="宋体"/>
                <w:kern w:val="0"/>
                <w:szCs w:val="21"/>
              </w:rPr>
              <w:t>④合理布局施工场地，噪声较大的施工设备尽量布置在项目地块中部。</w:t>
            </w:r>
          </w:p>
          <w:p>
            <w:pPr>
              <w:autoSpaceDE w:val="0"/>
              <w:autoSpaceDN w:val="0"/>
              <w:adjustRightInd w:val="0"/>
              <w:spacing w:line="416" w:lineRule="exact"/>
              <w:ind w:firstLine="420" w:firstLineChars="200"/>
              <w:jc w:val="left"/>
              <w:rPr>
                <w:kern w:val="0"/>
                <w:szCs w:val="21"/>
              </w:rPr>
            </w:pPr>
            <w:r>
              <w:rPr>
                <w:rFonts w:hint="eastAsia" w:cs="宋体"/>
                <w:kern w:val="0"/>
                <w:szCs w:val="21"/>
              </w:rPr>
              <w:t>⑤运输车辆进入施工现场应减速行驶、并禁止鸣笛。</w:t>
            </w:r>
          </w:p>
          <w:p>
            <w:pPr>
              <w:spacing w:line="416" w:lineRule="exact"/>
              <w:ind w:firstLine="420" w:firstLineChars="200"/>
              <w:rPr>
                <w:szCs w:val="21"/>
              </w:rPr>
            </w:pPr>
            <w:r>
              <w:rPr>
                <w:rFonts w:hint="eastAsia" w:ascii="宋体" w:hAnsi="宋体"/>
                <w:kern w:val="0"/>
                <w:szCs w:val="21"/>
              </w:rPr>
              <w:t>通过严格的施工管理和噪声防治措施，能够最大限度地减轻施工噪声对周围环境的影响。上述措施经济合理，技术可行。</w:t>
            </w:r>
          </w:p>
          <w:p>
            <w:pPr>
              <w:autoSpaceDE w:val="0"/>
              <w:autoSpaceDN w:val="0"/>
              <w:adjustRightInd w:val="0"/>
              <w:snapToGrid w:val="0"/>
              <w:spacing w:line="416" w:lineRule="exact"/>
              <w:jc w:val="left"/>
              <w:rPr>
                <w:rFonts w:eastAsia="黑体"/>
                <w:bCs/>
                <w:szCs w:val="21"/>
              </w:rPr>
            </w:pPr>
            <w:r>
              <w:rPr>
                <w:rFonts w:hint="eastAsia" w:eastAsia="黑体"/>
                <w:bCs/>
                <w:szCs w:val="21"/>
              </w:rPr>
              <w:t>4</w:t>
            </w:r>
            <w:r>
              <w:rPr>
                <w:rFonts w:eastAsia="黑体"/>
                <w:bCs/>
                <w:szCs w:val="21"/>
              </w:rPr>
              <w:t>、固体废物</w:t>
            </w:r>
          </w:p>
          <w:p>
            <w:pPr>
              <w:autoSpaceDE w:val="0"/>
              <w:autoSpaceDN w:val="0"/>
              <w:adjustRightInd w:val="0"/>
              <w:snapToGrid w:val="0"/>
              <w:spacing w:line="416" w:lineRule="exact"/>
              <w:ind w:firstLine="420" w:firstLineChars="200"/>
              <w:jc w:val="left"/>
              <w:rPr>
                <w:rFonts w:cs="宋体"/>
                <w:kern w:val="0"/>
                <w:szCs w:val="21"/>
              </w:rPr>
            </w:pPr>
            <w:r>
              <w:rPr>
                <w:rFonts w:hint="eastAsia" w:cs="宋体"/>
                <w:kern w:val="0"/>
                <w:szCs w:val="21"/>
              </w:rPr>
              <w:t>施工期固废主要有轻钢结构厂房建设产生</w:t>
            </w:r>
            <w:r>
              <w:rPr>
                <w:rFonts w:cs="宋体"/>
                <w:kern w:val="0"/>
                <w:szCs w:val="21"/>
              </w:rPr>
              <w:t>的建筑垃圾</w:t>
            </w:r>
            <w:r>
              <w:rPr>
                <w:rFonts w:hint="eastAsia" w:cs="宋体"/>
                <w:kern w:val="0"/>
                <w:szCs w:val="21"/>
              </w:rPr>
              <w:t>和废弃建材，场地平整和沉淀池开挖产生的少量弃土、少量</w:t>
            </w:r>
            <w:r>
              <w:rPr>
                <w:rFonts w:cs="宋体"/>
                <w:kern w:val="0"/>
                <w:szCs w:val="21"/>
              </w:rPr>
              <w:t>废弃包装材料以及施工人员的生活垃圾等。</w:t>
            </w:r>
          </w:p>
          <w:p>
            <w:pPr>
              <w:autoSpaceDE w:val="0"/>
              <w:autoSpaceDN w:val="0"/>
              <w:adjustRightInd w:val="0"/>
              <w:snapToGrid w:val="0"/>
              <w:spacing w:line="416" w:lineRule="exact"/>
              <w:ind w:firstLine="420" w:firstLineChars="200"/>
              <w:jc w:val="left"/>
              <w:rPr>
                <w:rFonts w:cs="宋体"/>
                <w:kern w:val="0"/>
                <w:szCs w:val="21"/>
              </w:rPr>
            </w:pPr>
            <w:r>
              <w:rPr>
                <w:rFonts w:hint="eastAsia" w:cs="宋体"/>
                <w:kern w:val="0"/>
                <w:szCs w:val="21"/>
              </w:rPr>
              <w:t>建议采取的处置措施如下：</w:t>
            </w:r>
          </w:p>
          <w:p>
            <w:pPr>
              <w:autoSpaceDE w:val="0"/>
              <w:autoSpaceDN w:val="0"/>
              <w:adjustRightInd w:val="0"/>
              <w:snapToGrid w:val="0"/>
              <w:spacing w:line="416" w:lineRule="exact"/>
              <w:ind w:firstLine="420" w:firstLineChars="200"/>
              <w:jc w:val="left"/>
              <w:rPr>
                <w:rFonts w:cs="宋体"/>
                <w:kern w:val="0"/>
                <w:szCs w:val="21"/>
              </w:rPr>
            </w:pPr>
            <w:r>
              <w:rPr>
                <w:rFonts w:hint="eastAsia" w:cs="宋体"/>
                <w:kern w:val="0"/>
                <w:szCs w:val="21"/>
              </w:rPr>
              <w:t>①对于可以回收利用的（如废钢铁、包装材料等）部分建筑垃圾应尽量集中收集，送到废品回收站回收利用。</w:t>
            </w:r>
          </w:p>
          <w:p>
            <w:pPr>
              <w:autoSpaceDE w:val="0"/>
              <w:autoSpaceDN w:val="0"/>
              <w:adjustRightInd w:val="0"/>
              <w:snapToGrid w:val="0"/>
              <w:spacing w:line="416" w:lineRule="exact"/>
              <w:ind w:firstLine="420" w:firstLineChars="200"/>
              <w:jc w:val="left"/>
              <w:rPr>
                <w:rFonts w:cs="宋体"/>
                <w:kern w:val="0"/>
                <w:szCs w:val="21"/>
              </w:rPr>
            </w:pPr>
            <w:r>
              <w:rPr>
                <w:rFonts w:hint="eastAsia" w:cs="宋体"/>
                <w:kern w:val="0"/>
                <w:szCs w:val="21"/>
              </w:rPr>
              <w:t>②场地平整和沉淀池开挖产生的少量弃土以及建设时的建筑垃圾，可及时在施工场地内低洼处回填或者作为营运期制砖原料。</w:t>
            </w:r>
          </w:p>
          <w:p>
            <w:pPr>
              <w:autoSpaceDE w:val="0"/>
              <w:autoSpaceDN w:val="0"/>
              <w:adjustRightInd w:val="0"/>
              <w:snapToGrid w:val="0"/>
              <w:spacing w:line="416" w:lineRule="exact"/>
              <w:ind w:firstLine="420" w:firstLineChars="200"/>
              <w:jc w:val="left"/>
              <w:rPr>
                <w:rFonts w:cs="宋体"/>
                <w:kern w:val="0"/>
                <w:szCs w:val="21"/>
              </w:rPr>
            </w:pPr>
            <w:r>
              <w:rPr>
                <w:rFonts w:hint="eastAsia" w:cs="宋体"/>
                <w:kern w:val="0"/>
                <w:szCs w:val="21"/>
              </w:rPr>
              <w:t>③严禁将弃土、建筑垃圾随意丢弃至附近山林、荒坡，更不得混入生活垃圾。</w:t>
            </w:r>
          </w:p>
          <w:p>
            <w:pPr>
              <w:autoSpaceDE w:val="0"/>
              <w:autoSpaceDN w:val="0"/>
              <w:adjustRightInd w:val="0"/>
              <w:snapToGrid w:val="0"/>
              <w:spacing w:line="416" w:lineRule="exact"/>
              <w:ind w:firstLine="420" w:firstLineChars="200"/>
              <w:jc w:val="left"/>
              <w:rPr>
                <w:rFonts w:cs="宋体"/>
                <w:kern w:val="0"/>
                <w:szCs w:val="21"/>
              </w:rPr>
            </w:pPr>
            <w:r>
              <w:rPr>
                <w:rFonts w:hint="eastAsia" w:cs="宋体"/>
                <w:kern w:val="0"/>
                <w:szCs w:val="21"/>
              </w:rPr>
              <w:t>④建设单位应加强施工现场的施工管理工作，施工前材料选购应精确计量，避免材料浪费；应尽量控制工程的变更，产生不必要的施工建筑垃圾。</w:t>
            </w:r>
          </w:p>
          <w:p>
            <w:pPr>
              <w:autoSpaceDE w:val="0"/>
              <w:autoSpaceDN w:val="0"/>
              <w:adjustRightInd w:val="0"/>
              <w:spacing w:line="416" w:lineRule="exact"/>
              <w:ind w:firstLine="420" w:firstLineChars="200"/>
              <w:jc w:val="left"/>
              <w:rPr>
                <w:kern w:val="0"/>
                <w:szCs w:val="21"/>
              </w:rPr>
            </w:pPr>
            <w:r>
              <w:rPr>
                <w:rFonts w:hint="eastAsia" w:cs="宋体"/>
                <w:kern w:val="0"/>
                <w:szCs w:val="21"/>
              </w:rPr>
              <w:t>⑤废弃建筑材料等可回收利用的，应及时外运出售。</w:t>
            </w:r>
          </w:p>
          <w:p>
            <w:pPr>
              <w:adjustRightInd w:val="0"/>
              <w:snapToGrid w:val="0"/>
              <w:spacing w:line="400" w:lineRule="exact"/>
              <w:ind w:firstLine="420" w:firstLineChars="200"/>
              <w:jc w:val="left"/>
              <w:rPr>
                <w:bCs/>
                <w:spacing w:val="-10"/>
                <w:szCs w:val="21"/>
              </w:rPr>
            </w:pPr>
            <w:r>
              <w:rPr>
                <w:rFonts w:hint="eastAsia"/>
                <w:kern w:val="0"/>
                <w:szCs w:val="21"/>
              </w:rPr>
              <w:t>采取上述措施后，施工期的固体废物不会对环境产生不利影响。上述措施经济合理，技术可行。</w:t>
            </w:r>
          </w:p>
        </w:tc>
      </w:tr>
    </w:tbl>
    <w:p>
      <w:pPr>
        <w:adjustRightInd w:val="0"/>
        <w:snapToGrid w:val="0"/>
        <w:jc w:val="center"/>
        <w:rPr>
          <w:bCs/>
          <w:szCs w:val="21"/>
        </w:rPr>
        <w:sectPr>
          <w:pgSz w:w="11907" w:h="16840"/>
          <w:pgMar w:top="1701" w:right="1531" w:bottom="1701" w:left="1531" w:header="851" w:footer="1077" w:gutter="0"/>
          <w:pgNumType w:fmt="numberInDash"/>
          <w:cols w:space="720" w:num="1"/>
          <w:docGrid w:linePitch="286" w:charSpace="0"/>
        </w:sectPr>
      </w:pPr>
    </w:p>
    <w:tbl>
      <w:tblPr>
        <w:tblStyle w:val="20"/>
        <w:tblW w:w="890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224" w:hRule="atLeast"/>
          <w:jc w:val="center"/>
        </w:trPr>
        <w:tc>
          <w:tcPr>
            <w:tcW w:w="746" w:type="dxa"/>
            <w:tcBorders>
              <w:top w:val="single" w:color="auto" w:sz="4" w:space="0"/>
              <w:left w:val="single" w:color="auto" w:sz="8" w:space="0"/>
              <w:bottom w:val="single" w:color="auto" w:sz="8" w:space="0"/>
              <w:right w:val="single" w:color="auto" w:sz="4" w:space="0"/>
            </w:tcBorders>
            <w:tcMar>
              <w:top w:w="0" w:type="dxa"/>
              <w:left w:w="28" w:type="dxa"/>
              <w:bottom w:w="0" w:type="dxa"/>
              <w:right w:w="28" w:type="dxa"/>
            </w:tcMar>
            <w:vAlign w:val="center"/>
          </w:tcPr>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4"/>
            </w:pPr>
          </w:p>
          <w:p>
            <w:pPr>
              <w:pStyle w:val="14"/>
            </w:pPr>
          </w:p>
          <w:p>
            <w:pPr>
              <w:pStyle w:val="14"/>
            </w:pPr>
          </w:p>
          <w:p>
            <w:pPr>
              <w:pStyle w:val="14"/>
            </w:pPr>
          </w:p>
          <w:p>
            <w:pPr>
              <w:pStyle w:val="14"/>
            </w:pPr>
          </w:p>
          <w:p>
            <w:pPr>
              <w:pStyle w:val="14"/>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4"/>
            </w:pPr>
          </w:p>
          <w:p>
            <w:pPr>
              <w:pStyle w:val="14"/>
            </w:pPr>
          </w:p>
          <w:p>
            <w:pPr>
              <w:pStyle w:val="14"/>
            </w:pPr>
          </w:p>
          <w:p>
            <w:pPr>
              <w:pStyle w:val="14"/>
            </w:pPr>
          </w:p>
          <w:p>
            <w:pPr>
              <w:pStyle w:val="14"/>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adjustRightInd w:val="0"/>
              <w:snapToGrid w:val="0"/>
              <w:jc w:val="center"/>
              <w:rPr>
                <w:bCs/>
                <w:szCs w:val="21"/>
              </w:rPr>
            </w:pPr>
          </w:p>
          <w:p>
            <w:pPr>
              <w:adjustRightInd w:val="0"/>
              <w:snapToGrid w:val="0"/>
              <w:jc w:val="center"/>
              <w:rPr>
                <w:bCs/>
                <w:szCs w:val="21"/>
              </w:rPr>
            </w:pPr>
          </w:p>
          <w:p>
            <w:pPr>
              <w:pStyle w:val="14"/>
            </w:pPr>
          </w:p>
          <w:p>
            <w:pPr>
              <w:pStyle w:val="14"/>
            </w:pPr>
          </w:p>
          <w:p>
            <w:pPr>
              <w:pStyle w:val="14"/>
            </w:pPr>
          </w:p>
          <w:p>
            <w:pPr>
              <w:pStyle w:val="14"/>
            </w:pPr>
          </w:p>
          <w:p>
            <w:pPr>
              <w:pStyle w:val="14"/>
            </w:pPr>
          </w:p>
          <w:p>
            <w:pPr>
              <w:pStyle w:val="14"/>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4"/>
            </w:pPr>
          </w:p>
          <w:p>
            <w:pPr>
              <w:pStyle w:val="14"/>
            </w:pPr>
          </w:p>
          <w:p>
            <w:pPr>
              <w:pStyle w:val="14"/>
            </w:pPr>
          </w:p>
          <w:p>
            <w:pPr>
              <w:pStyle w:val="14"/>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4"/>
            </w:pPr>
          </w:p>
          <w:p>
            <w:pPr>
              <w:pStyle w:val="14"/>
            </w:pPr>
          </w:p>
          <w:p>
            <w:pPr>
              <w:pStyle w:val="14"/>
            </w:pPr>
          </w:p>
          <w:p>
            <w:pPr>
              <w:pStyle w:val="14"/>
            </w:pPr>
          </w:p>
          <w:p>
            <w:pPr>
              <w:pStyle w:val="14"/>
            </w:pPr>
          </w:p>
          <w:p>
            <w:pPr>
              <w:pStyle w:val="14"/>
            </w:pPr>
          </w:p>
          <w:p>
            <w:pPr>
              <w:pStyle w:val="14"/>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4"/>
            </w:pPr>
          </w:p>
          <w:p>
            <w:pPr>
              <w:pStyle w:val="14"/>
            </w:pPr>
          </w:p>
          <w:p>
            <w:pPr>
              <w:pStyle w:val="14"/>
            </w:pPr>
          </w:p>
          <w:p>
            <w:pPr>
              <w:pStyle w:val="14"/>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adjustRightInd w:val="0"/>
              <w:snapToGrid w:val="0"/>
              <w:jc w:val="center"/>
              <w:rPr>
                <w:bCs/>
                <w:szCs w:val="21"/>
              </w:rPr>
            </w:pPr>
          </w:p>
          <w:p>
            <w:pPr>
              <w:pStyle w:val="14"/>
            </w:pPr>
          </w:p>
          <w:p>
            <w:pPr>
              <w:adjustRightInd w:val="0"/>
              <w:snapToGrid w:val="0"/>
              <w:jc w:val="center"/>
              <w:rPr>
                <w:bCs/>
                <w:szCs w:val="21"/>
              </w:rPr>
            </w:pPr>
          </w:p>
          <w:p>
            <w:pPr>
              <w:adjustRightInd w:val="0"/>
              <w:snapToGrid w:val="0"/>
              <w:jc w:val="center"/>
              <w:rPr>
                <w:bCs/>
                <w:szCs w:val="21"/>
              </w:rPr>
            </w:pPr>
          </w:p>
          <w:p>
            <w:pPr>
              <w:pStyle w:val="14"/>
            </w:pPr>
          </w:p>
          <w:p>
            <w:pPr>
              <w:pStyle w:val="14"/>
            </w:pPr>
          </w:p>
          <w:p>
            <w:pPr>
              <w:pStyle w:val="14"/>
            </w:pPr>
          </w:p>
          <w:p>
            <w:pPr>
              <w:pStyle w:val="14"/>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4"/>
            </w:pPr>
          </w:p>
          <w:p>
            <w:pPr>
              <w:pStyle w:val="14"/>
            </w:pPr>
          </w:p>
          <w:p>
            <w:pPr>
              <w:pStyle w:val="14"/>
            </w:pPr>
          </w:p>
          <w:p>
            <w:pPr>
              <w:pStyle w:val="14"/>
            </w:pPr>
          </w:p>
          <w:p>
            <w:pPr>
              <w:pStyle w:val="14"/>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26"/>
              <w:ind w:firstLine="560"/>
            </w:pPr>
          </w:p>
          <w:p>
            <w:pPr>
              <w:rPr>
                <w:bCs/>
                <w:szCs w:val="21"/>
              </w:rPr>
            </w:pPr>
          </w:p>
          <w:p>
            <w:pPr>
              <w:pStyle w:val="26"/>
              <w:ind w:firstLine="560"/>
            </w:pPr>
          </w:p>
          <w:p>
            <w:pPr>
              <w:rPr>
                <w:bCs/>
                <w:szCs w:val="21"/>
              </w:rPr>
            </w:pPr>
          </w:p>
          <w:p>
            <w:pPr>
              <w:pStyle w:val="26"/>
              <w:ind w:firstLine="560"/>
            </w:pPr>
          </w:p>
          <w:p>
            <w:pPr>
              <w:pStyle w:val="26"/>
              <w:ind w:firstLine="560"/>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tc>
        <w:tc>
          <w:tcPr>
            <w:tcW w:w="8162" w:type="dxa"/>
            <w:tcBorders>
              <w:top w:val="single" w:color="auto" w:sz="4" w:space="0"/>
              <w:left w:val="single" w:color="auto" w:sz="4" w:space="0"/>
              <w:bottom w:val="single" w:color="auto" w:sz="8" w:space="0"/>
              <w:right w:val="single" w:color="auto" w:sz="8" w:space="0"/>
            </w:tcBorders>
            <w:vAlign w:val="center"/>
          </w:tcPr>
          <w:p>
            <w:pPr>
              <w:adjustRightInd w:val="0"/>
              <w:snapToGrid w:val="0"/>
              <w:spacing w:line="400" w:lineRule="exact"/>
              <w:jc w:val="left"/>
              <w:rPr>
                <w:rFonts w:eastAsia="黑体"/>
                <w:bCs/>
                <w:sz w:val="22"/>
                <w:szCs w:val="22"/>
              </w:rPr>
            </w:pPr>
            <w:r>
              <w:rPr>
                <w:rFonts w:eastAsia="黑体"/>
                <w:bCs/>
                <w:sz w:val="22"/>
                <w:szCs w:val="22"/>
              </w:rPr>
              <w:t>1、废气</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项目产生的废气主要为原料破碎、原料堆场扬尘、污泥贮存过程恶臭气体、隧道窑烟气以及污泥烘干废气。项目有组织废气颗粒物、SO</w:t>
            </w:r>
            <w:r>
              <w:rPr>
                <w:rFonts w:hint="eastAsia"/>
                <w:kern w:val="0"/>
                <w:szCs w:val="21"/>
                <w:vertAlign w:val="subscript"/>
              </w:rPr>
              <w:t>2</w:t>
            </w:r>
            <w:r>
              <w:rPr>
                <w:rFonts w:hint="eastAsia"/>
                <w:kern w:val="0"/>
                <w:szCs w:val="21"/>
              </w:rPr>
              <w:t>、NO</w:t>
            </w:r>
            <w:r>
              <w:rPr>
                <w:rFonts w:hint="eastAsia"/>
                <w:kern w:val="0"/>
                <w:szCs w:val="21"/>
                <w:vertAlign w:val="subscript"/>
              </w:rPr>
              <w:t>x</w:t>
            </w:r>
            <w:r>
              <w:rPr>
                <w:rFonts w:hint="eastAsia"/>
                <w:kern w:val="0"/>
                <w:szCs w:val="21"/>
              </w:rPr>
              <w:t>、氟化物排放浓度满足《砖瓦工业大气污染物排放标准》(GB29620-2013）及修改单的排放限值要求。重金属、氯化氢及二噁英的排放参照执行《生活垃圾焚烧污染控制标准》(GB18485-2014)。经预测，砖窑废气的颗粒物、SO</w:t>
            </w:r>
            <w:r>
              <w:rPr>
                <w:rFonts w:hint="eastAsia"/>
                <w:kern w:val="0"/>
                <w:szCs w:val="21"/>
                <w:vertAlign w:val="subscript"/>
              </w:rPr>
              <w:t>2</w:t>
            </w:r>
            <w:r>
              <w:rPr>
                <w:rFonts w:hint="eastAsia"/>
                <w:kern w:val="0"/>
                <w:szCs w:val="21"/>
              </w:rPr>
              <w:t>、氟化物满足《砖瓦工业大气污染物排放标准》(GB29620-2013）及修改单的排放限值要求；重金属、氯化氢及二噁英的排放能够满足《生活垃圾焚烧污染控制标准》(GB18485-2014)的标准限值。污泥烘干废气的SO</w:t>
            </w:r>
            <w:r>
              <w:rPr>
                <w:rFonts w:hint="eastAsia"/>
                <w:kern w:val="0"/>
                <w:szCs w:val="21"/>
                <w:vertAlign w:val="subscript"/>
              </w:rPr>
              <w:t>2</w:t>
            </w:r>
            <w:r>
              <w:rPr>
                <w:rFonts w:hint="eastAsia"/>
                <w:kern w:val="0"/>
                <w:szCs w:val="21"/>
              </w:rPr>
              <w:t>、NO</w:t>
            </w:r>
            <w:r>
              <w:rPr>
                <w:rFonts w:hint="eastAsia"/>
                <w:kern w:val="0"/>
                <w:szCs w:val="21"/>
                <w:vertAlign w:val="subscript"/>
              </w:rPr>
              <w:t>x</w:t>
            </w:r>
            <w:r>
              <w:rPr>
                <w:rFonts w:hint="eastAsia"/>
                <w:kern w:val="0"/>
                <w:szCs w:val="21"/>
              </w:rPr>
              <w:t>及颗粒物能够满足《大气污染物综合排放标准》 (GB16297-1996)限值要求，恶臭废气能够满足《恶臭污染物排放标准》（GB14554-93）。</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综上，项目废气对周围环境影响较小。项目废气分析详见大气专题评价。</w:t>
            </w:r>
          </w:p>
          <w:p>
            <w:pPr>
              <w:adjustRightInd w:val="0"/>
              <w:snapToGrid w:val="0"/>
              <w:spacing w:line="400" w:lineRule="exact"/>
              <w:jc w:val="left"/>
              <w:rPr>
                <w:rFonts w:eastAsia="黑体"/>
                <w:bCs/>
                <w:sz w:val="22"/>
                <w:szCs w:val="22"/>
              </w:rPr>
            </w:pPr>
            <w:r>
              <w:rPr>
                <w:rFonts w:eastAsia="黑体"/>
                <w:bCs/>
                <w:sz w:val="22"/>
                <w:szCs w:val="22"/>
              </w:rPr>
              <w:t>2、废水</w:t>
            </w:r>
          </w:p>
          <w:p>
            <w:pPr>
              <w:autoSpaceDE w:val="0"/>
              <w:autoSpaceDN w:val="0"/>
              <w:adjustRightInd w:val="0"/>
              <w:snapToGrid w:val="0"/>
              <w:spacing w:line="400" w:lineRule="exact"/>
              <w:ind w:firstLine="422" w:firstLineChars="200"/>
              <w:jc w:val="left"/>
              <w:rPr>
                <w:b/>
                <w:kern w:val="0"/>
                <w:szCs w:val="21"/>
              </w:rPr>
            </w:pPr>
            <w:r>
              <w:rPr>
                <w:b/>
                <w:kern w:val="0"/>
                <w:szCs w:val="21"/>
              </w:rPr>
              <w:t>（1）产排污环节及产生量</w:t>
            </w:r>
          </w:p>
          <w:p>
            <w:pPr>
              <w:autoSpaceDE w:val="0"/>
              <w:autoSpaceDN w:val="0"/>
              <w:adjustRightInd w:val="0"/>
              <w:snapToGrid w:val="0"/>
              <w:spacing w:line="400" w:lineRule="exact"/>
              <w:ind w:firstLine="420" w:firstLineChars="200"/>
              <w:jc w:val="left"/>
              <w:rPr>
                <w:kern w:val="0"/>
                <w:szCs w:val="21"/>
              </w:rPr>
            </w:pPr>
            <w:r>
              <w:rPr>
                <w:kern w:val="0"/>
                <w:szCs w:val="21"/>
              </w:rPr>
              <w:t>根据工程分析，项目营运期废水主要有脱硫系统的脱硫废液，</w:t>
            </w:r>
            <w:r>
              <w:rPr>
                <w:rFonts w:hint="eastAsia"/>
                <w:kern w:val="0"/>
                <w:szCs w:val="21"/>
              </w:rPr>
              <w:t>其中砖窑废气脱硫系统废水</w:t>
            </w:r>
            <w:r>
              <w:rPr>
                <w:kern w:val="0"/>
                <w:szCs w:val="21"/>
              </w:rPr>
              <w:t>产生量为</w:t>
            </w:r>
            <w:r>
              <w:rPr>
                <w:rFonts w:hint="eastAsia"/>
                <w:kern w:val="0"/>
                <w:szCs w:val="21"/>
              </w:rPr>
              <w:t>172.63</w:t>
            </w:r>
            <w:r>
              <w:rPr>
                <w:kern w:val="0"/>
                <w:szCs w:val="21"/>
              </w:rPr>
              <w:t>m</w:t>
            </w:r>
            <w:r>
              <w:rPr>
                <w:kern w:val="0"/>
                <w:szCs w:val="21"/>
                <w:vertAlign w:val="superscript"/>
              </w:rPr>
              <w:t>3</w:t>
            </w:r>
            <w:r>
              <w:rPr>
                <w:kern w:val="0"/>
                <w:szCs w:val="21"/>
              </w:rPr>
              <w:t>/h</w:t>
            </w:r>
            <w:r>
              <w:rPr>
                <w:rFonts w:hint="eastAsia"/>
                <w:kern w:val="0"/>
                <w:szCs w:val="21"/>
              </w:rPr>
              <w:t>、污泥烘干废气脱硫系统废水</w:t>
            </w:r>
            <w:r>
              <w:rPr>
                <w:kern w:val="0"/>
                <w:szCs w:val="21"/>
              </w:rPr>
              <w:t>产生量为</w:t>
            </w:r>
            <w:r>
              <w:rPr>
                <w:rFonts w:hint="eastAsia"/>
                <w:kern w:val="0"/>
                <w:szCs w:val="21"/>
              </w:rPr>
              <w:t>20</w:t>
            </w:r>
            <w:r>
              <w:rPr>
                <w:kern w:val="0"/>
                <w:szCs w:val="21"/>
              </w:rPr>
              <w:t>m</w:t>
            </w:r>
            <w:r>
              <w:rPr>
                <w:kern w:val="0"/>
                <w:szCs w:val="21"/>
                <w:vertAlign w:val="superscript"/>
              </w:rPr>
              <w:t>3</w:t>
            </w:r>
            <w:r>
              <w:rPr>
                <w:kern w:val="0"/>
                <w:szCs w:val="21"/>
              </w:rPr>
              <w:t>/h；</w:t>
            </w:r>
            <w:r>
              <w:rPr>
                <w:rFonts w:hint="eastAsia"/>
                <w:kern w:val="0"/>
                <w:szCs w:val="21"/>
              </w:rPr>
              <w:t>车辆冲洗废水产生量为1.6m</w:t>
            </w:r>
            <w:r>
              <w:rPr>
                <w:rFonts w:hint="eastAsia"/>
                <w:kern w:val="0"/>
                <w:szCs w:val="21"/>
                <w:vertAlign w:val="superscript"/>
              </w:rPr>
              <w:t>3</w:t>
            </w:r>
            <w:r>
              <w:rPr>
                <w:rFonts w:hint="eastAsia"/>
                <w:kern w:val="0"/>
                <w:szCs w:val="21"/>
              </w:rPr>
              <w:t>/d；</w:t>
            </w:r>
            <w:r>
              <w:rPr>
                <w:kern w:val="0"/>
                <w:szCs w:val="21"/>
              </w:rPr>
              <w:t>员工生活污水产生量为</w:t>
            </w:r>
            <w:r>
              <w:rPr>
                <w:rFonts w:hint="eastAsia"/>
                <w:kern w:val="0"/>
                <w:szCs w:val="21"/>
              </w:rPr>
              <w:t>1.8m</w:t>
            </w:r>
            <w:r>
              <w:rPr>
                <w:rFonts w:hint="eastAsia"/>
                <w:kern w:val="0"/>
                <w:szCs w:val="21"/>
                <w:vertAlign w:val="superscript"/>
              </w:rPr>
              <w:t>3</w:t>
            </w:r>
            <w:r>
              <w:rPr>
                <w:rFonts w:hint="eastAsia"/>
                <w:kern w:val="0"/>
                <w:szCs w:val="21"/>
              </w:rPr>
              <w:t>/d</w:t>
            </w:r>
            <w:r>
              <w:rPr>
                <w:kern w:val="0"/>
                <w:szCs w:val="21"/>
              </w:rPr>
              <w:t>。</w:t>
            </w:r>
          </w:p>
          <w:p>
            <w:pPr>
              <w:autoSpaceDE w:val="0"/>
              <w:spacing w:line="400" w:lineRule="exact"/>
              <w:jc w:val="center"/>
              <w:rPr>
                <w:rFonts w:eastAsia="黑体"/>
                <w:sz w:val="18"/>
                <w:szCs w:val="18"/>
              </w:rPr>
            </w:pPr>
            <w:r>
              <w:rPr>
                <w:rFonts w:eastAsia="黑体"/>
                <w:bCs/>
                <w:sz w:val="18"/>
                <w:szCs w:val="18"/>
              </w:rPr>
              <w:t>表</w:t>
            </w:r>
            <w:r>
              <w:rPr>
                <w:rFonts w:hint="eastAsia" w:eastAsia="黑体"/>
                <w:bCs/>
                <w:sz w:val="18"/>
                <w:szCs w:val="18"/>
              </w:rPr>
              <w:t xml:space="preserve">4-1   </w:t>
            </w:r>
            <w:r>
              <w:rPr>
                <w:rFonts w:eastAsia="黑体"/>
                <w:bCs/>
                <w:sz w:val="18"/>
                <w:szCs w:val="18"/>
              </w:rPr>
              <w:t>废水污染源源强核算结果及相关参数一览表</w:t>
            </w:r>
          </w:p>
          <w:tbl>
            <w:tblPr>
              <w:tblStyle w:val="20"/>
              <w:tblW w:w="793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
              <w:gridCol w:w="564"/>
              <w:gridCol w:w="820"/>
              <w:gridCol w:w="571"/>
              <w:gridCol w:w="669"/>
              <w:gridCol w:w="613"/>
              <w:gridCol w:w="575"/>
              <w:gridCol w:w="714"/>
              <w:gridCol w:w="429"/>
              <w:gridCol w:w="430"/>
              <w:gridCol w:w="571"/>
              <w:gridCol w:w="571"/>
              <w:gridCol w:w="429"/>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466" w:type="dxa"/>
                  <w:vMerge w:val="restart"/>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工序/生产线</w:t>
                  </w:r>
                </w:p>
              </w:tc>
              <w:tc>
                <w:tcPr>
                  <w:tcW w:w="564" w:type="dxa"/>
                  <w:vMerge w:val="restart"/>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污染源</w:t>
                  </w:r>
                </w:p>
              </w:tc>
              <w:tc>
                <w:tcPr>
                  <w:tcW w:w="820" w:type="dxa"/>
                  <w:vMerge w:val="restart"/>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污染物</w:t>
                  </w:r>
                </w:p>
              </w:tc>
              <w:tc>
                <w:tcPr>
                  <w:tcW w:w="2428" w:type="dxa"/>
                  <w:gridSpan w:val="4"/>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污染物产生</w:t>
                  </w:r>
                </w:p>
              </w:tc>
              <w:tc>
                <w:tcPr>
                  <w:tcW w:w="1143" w:type="dxa"/>
                  <w:gridSpan w:val="2"/>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治理措施</w:t>
                  </w:r>
                </w:p>
              </w:tc>
              <w:tc>
                <w:tcPr>
                  <w:tcW w:w="2001" w:type="dxa"/>
                  <w:gridSpan w:val="4"/>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污染物排放</w:t>
                  </w:r>
                </w:p>
              </w:tc>
              <w:tc>
                <w:tcPr>
                  <w:tcW w:w="513" w:type="dxa"/>
                  <w:vMerge w:val="restart"/>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排放</w:t>
                  </w:r>
                </w:p>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时间</w:t>
                  </w:r>
                </w:p>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（d/a）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8" w:hRule="atLeast"/>
                <w:jc w:val="center"/>
              </w:trPr>
              <w:tc>
                <w:tcPr>
                  <w:tcW w:w="466" w:type="dxa"/>
                  <w:vMerge w:val="continue"/>
                  <w:vAlign w:val="center"/>
                </w:tcPr>
                <w:p>
                  <w:pPr>
                    <w:widowControl/>
                    <w:spacing w:line="260" w:lineRule="exact"/>
                    <w:jc w:val="center"/>
                    <w:rPr>
                      <w:sz w:val="15"/>
                      <w:szCs w:val="15"/>
                    </w:rPr>
                  </w:pPr>
                </w:p>
              </w:tc>
              <w:tc>
                <w:tcPr>
                  <w:tcW w:w="564" w:type="dxa"/>
                  <w:vMerge w:val="continue"/>
                  <w:vAlign w:val="center"/>
                </w:tcPr>
                <w:p>
                  <w:pPr>
                    <w:widowControl/>
                    <w:spacing w:line="260" w:lineRule="exact"/>
                    <w:jc w:val="center"/>
                    <w:rPr>
                      <w:sz w:val="15"/>
                      <w:szCs w:val="15"/>
                    </w:rPr>
                  </w:pPr>
                </w:p>
              </w:tc>
              <w:tc>
                <w:tcPr>
                  <w:tcW w:w="820" w:type="dxa"/>
                  <w:vMerge w:val="continue"/>
                  <w:vAlign w:val="center"/>
                </w:tcPr>
                <w:p>
                  <w:pPr>
                    <w:widowControl/>
                    <w:spacing w:line="260" w:lineRule="exact"/>
                    <w:jc w:val="center"/>
                    <w:rPr>
                      <w:sz w:val="15"/>
                      <w:szCs w:val="15"/>
                    </w:rPr>
                  </w:pPr>
                </w:p>
              </w:tc>
              <w:tc>
                <w:tcPr>
                  <w:tcW w:w="571" w:type="dxa"/>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核算方法</w:t>
                  </w:r>
                </w:p>
              </w:tc>
              <w:tc>
                <w:tcPr>
                  <w:tcW w:w="669" w:type="dxa"/>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废水</w:t>
                  </w:r>
                </w:p>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产生量</w:t>
                  </w:r>
                  <w:r>
                    <w:rPr>
                      <w:rFonts w:ascii="Times New Roman" w:hAnsi="Times New Roman" w:eastAsia="Calibri"/>
                      <w:spacing w:val="-1"/>
                      <w:sz w:val="15"/>
                      <w:szCs w:val="15"/>
                    </w:rPr>
                    <w:t xml:space="preserve"> (m</w:t>
                  </w:r>
                  <w:r>
                    <w:rPr>
                      <w:rFonts w:ascii="Times New Roman" w:hAnsi="Times New Roman" w:eastAsiaTheme="minorEastAsia"/>
                      <w:spacing w:val="-1"/>
                      <w:sz w:val="15"/>
                      <w:szCs w:val="15"/>
                      <w:vertAlign w:val="superscript"/>
                    </w:rPr>
                    <w:t>3</w:t>
                  </w:r>
                  <w:r>
                    <w:rPr>
                      <w:rFonts w:ascii="Times New Roman" w:hAnsi="Times New Roman" w:eastAsia="Calibri"/>
                      <w:spacing w:val="-1"/>
                      <w:sz w:val="15"/>
                      <w:szCs w:val="15"/>
                    </w:rPr>
                    <w:t>/a)</w:t>
                  </w:r>
                </w:p>
              </w:tc>
              <w:tc>
                <w:tcPr>
                  <w:tcW w:w="613" w:type="dxa"/>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产生</w:t>
                  </w:r>
                </w:p>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浓度</w:t>
                  </w:r>
                  <w:r>
                    <w:rPr>
                      <w:rFonts w:ascii="Times New Roman" w:hAnsi="Times New Roman"/>
                      <w:spacing w:val="-1"/>
                      <w:sz w:val="15"/>
                      <w:szCs w:val="15"/>
                    </w:rPr>
                    <w:t>（mg/L）</w:t>
                  </w:r>
                </w:p>
              </w:tc>
              <w:tc>
                <w:tcPr>
                  <w:tcW w:w="575" w:type="dxa"/>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产生量</w:t>
                  </w:r>
                </w:p>
                <w:p>
                  <w:pPr>
                    <w:pStyle w:val="41"/>
                    <w:spacing w:before="0" w:beforeAutospacing="0" w:line="260" w:lineRule="exact"/>
                    <w:jc w:val="center"/>
                    <w:rPr>
                      <w:rFonts w:ascii="Times New Roman" w:hAnsi="Times New Roman"/>
                      <w:sz w:val="15"/>
                      <w:szCs w:val="15"/>
                    </w:rPr>
                  </w:pPr>
                  <w:r>
                    <w:rPr>
                      <w:rFonts w:ascii="Times New Roman" w:hAnsi="Times New Roman"/>
                      <w:spacing w:val="-1"/>
                      <w:sz w:val="15"/>
                      <w:szCs w:val="15"/>
                    </w:rPr>
                    <w:t>（t/a）</w:t>
                  </w:r>
                </w:p>
              </w:tc>
              <w:tc>
                <w:tcPr>
                  <w:tcW w:w="714" w:type="dxa"/>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工艺</w:t>
                  </w:r>
                </w:p>
              </w:tc>
              <w:tc>
                <w:tcPr>
                  <w:tcW w:w="429" w:type="dxa"/>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效率</w:t>
                  </w:r>
                </w:p>
                <w:p>
                  <w:pPr>
                    <w:pStyle w:val="41"/>
                    <w:spacing w:before="0" w:beforeAutospacing="0" w:line="260" w:lineRule="exact"/>
                    <w:jc w:val="center"/>
                    <w:rPr>
                      <w:rFonts w:ascii="Times New Roman" w:hAnsi="Times New Roman"/>
                      <w:sz w:val="15"/>
                      <w:szCs w:val="15"/>
                    </w:rPr>
                  </w:pPr>
                  <w:r>
                    <w:rPr>
                      <w:rFonts w:ascii="Times New Roman" w:hAnsi="Times New Roman" w:eastAsia="Calibri"/>
                      <w:sz w:val="15"/>
                      <w:szCs w:val="15"/>
                    </w:rPr>
                    <w:t>/%</w:t>
                  </w:r>
                </w:p>
              </w:tc>
              <w:tc>
                <w:tcPr>
                  <w:tcW w:w="430" w:type="dxa"/>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核算</w:t>
                  </w:r>
                </w:p>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方法</w:t>
                  </w:r>
                </w:p>
              </w:tc>
              <w:tc>
                <w:tcPr>
                  <w:tcW w:w="571" w:type="dxa"/>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废水</w:t>
                  </w:r>
                </w:p>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排放量</w:t>
                  </w:r>
                </w:p>
                <w:p>
                  <w:pPr>
                    <w:pStyle w:val="41"/>
                    <w:spacing w:before="0" w:beforeAutospacing="0" w:line="260" w:lineRule="exact"/>
                    <w:jc w:val="center"/>
                    <w:rPr>
                      <w:rFonts w:ascii="Times New Roman" w:hAnsi="Times New Roman"/>
                      <w:sz w:val="15"/>
                      <w:szCs w:val="15"/>
                    </w:rPr>
                  </w:pPr>
                  <w:r>
                    <w:rPr>
                      <w:rFonts w:ascii="Times New Roman" w:hAnsi="Times New Roman" w:eastAsia="Calibri"/>
                      <w:spacing w:val="-1"/>
                      <w:sz w:val="15"/>
                      <w:szCs w:val="15"/>
                    </w:rPr>
                    <w:t>(m</w:t>
                  </w:r>
                  <w:r>
                    <w:rPr>
                      <w:rFonts w:ascii="Times New Roman" w:hAnsi="Times New Roman" w:eastAsiaTheme="minorEastAsia"/>
                      <w:spacing w:val="-1"/>
                      <w:sz w:val="15"/>
                      <w:szCs w:val="15"/>
                      <w:vertAlign w:val="superscript"/>
                    </w:rPr>
                    <w:t>3</w:t>
                  </w:r>
                  <w:r>
                    <w:rPr>
                      <w:rFonts w:ascii="Times New Roman" w:hAnsi="Times New Roman" w:eastAsia="Calibri"/>
                      <w:spacing w:val="-1"/>
                      <w:sz w:val="15"/>
                      <w:szCs w:val="15"/>
                    </w:rPr>
                    <w:t>/a)</w:t>
                  </w:r>
                </w:p>
              </w:tc>
              <w:tc>
                <w:tcPr>
                  <w:tcW w:w="571" w:type="dxa"/>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排放浓度</w:t>
                  </w:r>
                </w:p>
                <w:p>
                  <w:pPr>
                    <w:pStyle w:val="41"/>
                    <w:spacing w:before="0" w:beforeAutospacing="0" w:line="260" w:lineRule="exact"/>
                    <w:jc w:val="center"/>
                    <w:rPr>
                      <w:rFonts w:ascii="Times New Roman" w:hAnsi="Times New Roman"/>
                      <w:sz w:val="15"/>
                      <w:szCs w:val="15"/>
                    </w:rPr>
                  </w:pPr>
                  <w:r>
                    <w:rPr>
                      <w:rFonts w:ascii="Times New Roman" w:hAnsi="Times New Roman"/>
                      <w:spacing w:val="-1"/>
                      <w:sz w:val="15"/>
                      <w:szCs w:val="15"/>
                    </w:rPr>
                    <w:t>（mg/L）</w:t>
                  </w:r>
                </w:p>
              </w:tc>
              <w:tc>
                <w:tcPr>
                  <w:tcW w:w="429" w:type="dxa"/>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排放量</w:t>
                  </w:r>
                </w:p>
                <w:p>
                  <w:pPr>
                    <w:pStyle w:val="41"/>
                    <w:spacing w:before="0" w:beforeAutospacing="0" w:line="260" w:lineRule="exact"/>
                    <w:jc w:val="center"/>
                    <w:rPr>
                      <w:rFonts w:ascii="Times New Roman" w:hAnsi="Times New Roman"/>
                      <w:sz w:val="15"/>
                      <w:szCs w:val="15"/>
                    </w:rPr>
                  </w:pPr>
                  <w:r>
                    <w:rPr>
                      <w:rFonts w:ascii="Times New Roman" w:hAnsi="Times New Roman"/>
                      <w:spacing w:val="-1"/>
                      <w:sz w:val="15"/>
                      <w:szCs w:val="15"/>
                    </w:rPr>
                    <w:t>（t/a）</w:t>
                  </w:r>
                </w:p>
              </w:tc>
              <w:tc>
                <w:tcPr>
                  <w:tcW w:w="513" w:type="dxa"/>
                  <w:vMerge w:val="continue"/>
                  <w:vAlign w:val="center"/>
                </w:tcPr>
                <w:p>
                  <w:pPr>
                    <w:widowControl/>
                    <w:spacing w:line="260" w:lineRule="exact"/>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466" w:type="dxa"/>
                  <w:vMerge w:val="restart"/>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生活区</w:t>
                  </w:r>
                </w:p>
              </w:tc>
              <w:tc>
                <w:tcPr>
                  <w:tcW w:w="564" w:type="dxa"/>
                  <w:vMerge w:val="restart"/>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生活</w:t>
                  </w:r>
                </w:p>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污水</w:t>
                  </w:r>
                </w:p>
              </w:tc>
              <w:tc>
                <w:tcPr>
                  <w:tcW w:w="820" w:type="dxa"/>
                  <w:vAlign w:val="center"/>
                </w:tcPr>
                <w:p>
                  <w:pPr>
                    <w:pStyle w:val="41"/>
                    <w:spacing w:before="0" w:beforeAutospacing="0" w:line="260" w:lineRule="exact"/>
                    <w:jc w:val="center"/>
                    <w:rPr>
                      <w:rFonts w:ascii="Times New Roman" w:hAnsi="Times New Roman"/>
                      <w:sz w:val="15"/>
                      <w:szCs w:val="15"/>
                    </w:rPr>
                  </w:pPr>
                  <w:r>
                    <w:rPr>
                      <w:rFonts w:ascii="Times New Roman" w:hAnsi="Times New Roman" w:eastAsia="Calibri"/>
                      <w:sz w:val="15"/>
                      <w:szCs w:val="15"/>
                    </w:rPr>
                    <w:t>COD</w:t>
                  </w:r>
                </w:p>
              </w:tc>
              <w:tc>
                <w:tcPr>
                  <w:tcW w:w="571" w:type="dxa"/>
                  <w:vMerge w:val="restart"/>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系数法</w:t>
                  </w:r>
                </w:p>
              </w:tc>
              <w:tc>
                <w:tcPr>
                  <w:tcW w:w="669" w:type="dxa"/>
                  <w:vMerge w:val="restart"/>
                  <w:vAlign w:val="center"/>
                </w:tcPr>
                <w:p>
                  <w:pPr>
                    <w:pStyle w:val="41"/>
                    <w:spacing w:before="0" w:beforeAutospacing="0" w:line="26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540</w:t>
                  </w:r>
                </w:p>
              </w:tc>
              <w:tc>
                <w:tcPr>
                  <w:tcW w:w="613" w:type="dxa"/>
                  <w:vAlign w:val="center"/>
                </w:tcPr>
                <w:p>
                  <w:pPr>
                    <w:pStyle w:val="41"/>
                    <w:spacing w:before="0" w:beforeAutospacing="0" w:line="260" w:lineRule="exact"/>
                    <w:jc w:val="center"/>
                    <w:rPr>
                      <w:rFonts w:ascii="Times New Roman" w:hAnsi="Times New Roman" w:eastAsiaTheme="minorEastAsia"/>
                      <w:sz w:val="15"/>
                      <w:szCs w:val="15"/>
                    </w:rPr>
                  </w:pPr>
                  <w:r>
                    <w:rPr>
                      <w:rFonts w:hint="eastAsia" w:ascii="Times New Roman" w:hAnsi="Times New Roman" w:eastAsiaTheme="minorEastAsia"/>
                      <w:spacing w:val="1"/>
                      <w:sz w:val="15"/>
                      <w:szCs w:val="15"/>
                    </w:rPr>
                    <w:t>450</w:t>
                  </w:r>
                </w:p>
              </w:tc>
              <w:tc>
                <w:tcPr>
                  <w:tcW w:w="575" w:type="dxa"/>
                  <w:vAlign w:val="center"/>
                </w:tcPr>
                <w:p>
                  <w:pPr>
                    <w:pStyle w:val="41"/>
                    <w:spacing w:before="0" w:beforeAutospacing="0" w:line="260" w:lineRule="exact"/>
                    <w:jc w:val="center"/>
                    <w:rPr>
                      <w:rFonts w:ascii="Times New Roman" w:hAnsi="Times New Roman" w:eastAsiaTheme="minorEastAsia"/>
                      <w:sz w:val="15"/>
                      <w:szCs w:val="15"/>
                    </w:rPr>
                  </w:pPr>
                  <w:r>
                    <w:rPr>
                      <w:rFonts w:ascii="Times New Roman" w:hAnsi="Times New Roman" w:eastAsiaTheme="minorEastAsia"/>
                      <w:sz w:val="15"/>
                      <w:szCs w:val="15"/>
                    </w:rPr>
                    <w:t>0.</w:t>
                  </w:r>
                  <w:r>
                    <w:rPr>
                      <w:rFonts w:hint="eastAsia" w:ascii="Times New Roman" w:hAnsi="Times New Roman" w:eastAsiaTheme="minorEastAsia"/>
                      <w:sz w:val="15"/>
                      <w:szCs w:val="15"/>
                    </w:rPr>
                    <w:t>24</w:t>
                  </w:r>
                </w:p>
              </w:tc>
              <w:tc>
                <w:tcPr>
                  <w:tcW w:w="714" w:type="dxa"/>
                  <w:vMerge w:val="restart"/>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厌氧</w:t>
                  </w:r>
                </w:p>
              </w:tc>
              <w:tc>
                <w:tcPr>
                  <w:tcW w:w="429" w:type="dxa"/>
                  <w:vAlign w:val="center"/>
                </w:tcPr>
                <w:p>
                  <w:pPr>
                    <w:pStyle w:val="41"/>
                    <w:spacing w:before="0" w:beforeAutospacing="0" w:line="26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430" w:type="dxa"/>
                  <w:vMerge w:val="restart"/>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系数法</w:t>
                  </w:r>
                </w:p>
              </w:tc>
              <w:tc>
                <w:tcPr>
                  <w:tcW w:w="571" w:type="dxa"/>
                  <w:vMerge w:val="restart"/>
                  <w:vAlign w:val="center"/>
                </w:tcPr>
                <w:p>
                  <w:pPr>
                    <w:pStyle w:val="41"/>
                    <w:spacing w:before="0" w:beforeAutospacing="0" w:line="26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571" w:type="dxa"/>
                  <w:vMerge w:val="restart"/>
                  <w:vAlign w:val="center"/>
                </w:tcPr>
                <w:p>
                  <w:pPr>
                    <w:widowControl/>
                    <w:spacing w:line="260" w:lineRule="exact"/>
                    <w:jc w:val="center"/>
                    <w:rPr>
                      <w:sz w:val="15"/>
                      <w:szCs w:val="15"/>
                    </w:rPr>
                  </w:pPr>
                  <w:r>
                    <w:rPr>
                      <w:rFonts w:hint="eastAsia"/>
                      <w:sz w:val="15"/>
                      <w:szCs w:val="15"/>
                    </w:rPr>
                    <w:t>/</w:t>
                  </w:r>
                </w:p>
              </w:tc>
              <w:tc>
                <w:tcPr>
                  <w:tcW w:w="429" w:type="dxa"/>
                  <w:vMerge w:val="restart"/>
                  <w:vAlign w:val="center"/>
                </w:tcPr>
                <w:p>
                  <w:pPr>
                    <w:pStyle w:val="41"/>
                    <w:spacing w:before="0" w:beforeAutospacing="0" w:line="26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513" w:type="dxa"/>
                  <w:vMerge w:val="restart"/>
                  <w:vAlign w:val="center"/>
                </w:tcPr>
                <w:p>
                  <w:pPr>
                    <w:pStyle w:val="41"/>
                    <w:spacing w:before="0" w:beforeAutospacing="0" w:line="26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466" w:type="dxa"/>
                  <w:vMerge w:val="continue"/>
                  <w:vAlign w:val="center"/>
                </w:tcPr>
                <w:p>
                  <w:pPr>
                    <w:widowControl/>
                    <w:spacing w:line="260" w:lineRule="exact"/>
                    <w:jc w:val="center"/>
                    <w:rPr>
                      <w:sz w:val="15"/>
                      <w:szCs w:val="15"/>
                    </w:rPr>
                  </w:pPr>
                </w:p>
              </w:tc>
              <w:tc>
                <w:tcPr>
                  <w:tcW w:w="564" w:type="dxa"/>
                  <w:vMerge w:val="continue"/>
                  <w:vAlign w:val="center"/>
                </w:tcPr>
                <w:p>
                  <w:pPr>
                    <w:widowControl/>
                    <w:spacing w:line="260" w:lineRule="exact"/>
                    <w:jc w:val="center"/>
                    <w:rPr>
                      <w:sz w:val="15"/>
                      <w:szCs w:val="15"/>
                    </w:rPr>
                  </w:pPr>
                </w:p>
              </w:tc>
              <w:tc>
                <w:tcPr>
                  <w:tcW w:w="820" w:type="dxa"/>
                  <w:vAlign w:val="center"/>
                </w:tcPr>
                <w:p>
                  <w:pPr>
                    <w:pStyle w:val="41"/>
                    <w:spacing w:before="0" w:beforeAutospacing="0" w:line="260" w:lineRule="exact"/>
                    <w:jc w:val="center"/>
                    <w:rPr>
                      <w:rFonts w:ascii="Times New Roman" w:hAnsi="Times New Roman"/>
                      <w:sz w:val="15"/>
                      <w:szCs w:val="15"/>
                    </w:rPr>
                  </w:pPr>
                  <w:r>
                    <w:rPr>
                      <w:rFonts w:ascii="Times New Roman" w:hAnsi="Times New Roman"/>
                      <w:sz w:val="15"/>
                      <w:szCs w:val="15"/>
                    </w:rPr>
                    <w:t>氨氮</w:t>
                  </w:r>
                </w:p>
              </w:tc>
              <w:tc>
                <w:tcPr>
                  <w:tcW w:w="571" w:type="dxa"/>
                  <w:vMerge w:val="continue"/>
                  <w:vAlign w:val="center"/>
                </w:tcPr>
                <w:p>
                  <w:pPr>
                    <w:widowControl/>
                    <w:spacing w:line="260" w:lineRule="exact"/>
                    <w:jc w:val="center"/>
                    <w:rPr>
                      <w:sz w:val="15"/>
                      <w:szCs w:val="15"/>
                    </w:rPr>
                  </w:pPr>
                </w:p>
              </w:tc>
              <w:tc>
                <w:tcPr>
                  <w:tcW w:w="669" w:type="dxa"/>
                  <w:vMerge w:val="continue"/>
                  <w:vAlign w:val="center"/>
                </w:tcPr>
                <w:p>
                  <w:pPr>
                    <w:widowControl/>
                    <w:spacing w:line="260" w:lineRule="exact"/>
                    <w:jc w:val="center"/>
                    <w:rPr>
                      <w:sz w:val="15"/>
                      <w:szCs w:val="15"/>
                    </w:rPr>
                  </w:pPr>
                </w:p>
              </w:tc>
              <w:tc>
                <w:tcPr>
                  <w:tcW w:w="613" w:type="dxa"/>
                  <w:vAlign w:val="center"/>
                </w:tcPr>
                <w:p>
                  <w:pPr>
                    <w:pStyle w:val="41"/>
                    <w:spacing w:before="0" w:beforeAutospacing="0" w:line="260" w:lineRule="exact"/>
                    <w:jc w:val="center"/>
                    <w:rPr>
                      <w:rFonts w:ascii="Times New Roman" w:hAnsi="Times New Roman"/>
                      <w:sz w:val="15"/>
                      <w:szCs w:val="15"/>
                    </w:rPr>
                  </w:pPr>
                  <w:r>
                    <w:rPr>
                      <w:rFonts w:ascii="Times New Roman" w:hAnsi="Times New Roman" w:eastAsia="Calibri"/>
                      <w:spacing w:val="1"/>
                      <w:sz w:val="15"/>
                      <w:szCs w:val="15"/>
                    </w:rPr>
                    <w:t>35</w:t>
                  </w:r>
                </w:p>
              </w:tc>
              <w:tc>
                <w:tcPr>
                  <w:tcW w:w="575" w:type="dxa"/>
                  <w:vAlign w:val="center"/>
                </w:tcPr>
                <w:p>
                  <w:pPr>
                    <w:pStyle w:val="41"/>
                    <w:spacing w:before="0" w:beforeAutospacing="0" w:line="260" w:lineRule="exact"/>
                    <w:jc w:val="center"/>
                    <w:rPr>
                      <w:rFonts w:ascii="Times New Roman" w:hAnsi="Times New Roman" w:eastAsiaTheme="minorEastAsia"/>
                      <w:sz w:val="15"/>
                      <w:szCs w:val="15"/>
                    </w:rPr>
                  </w:pPr>
                  <w:r>
                    <w:rPr>
                      <w:rFonts w:ascii="Times New Roman" w:hAnsi="Times New Roman" w:eastAsiaTheme="minorEastAsia"/>
                      <w:sz w:val="15"/>
                      <w:szCs w:val="15"/>
                    </w:rPr>
                    <w:t>0.0</w:t>
                  </w:r>
                  <w:r>
                    <w:rPr>
                      <w:rFonts w:hint="eastAsia" w:ascii="Times New Roman" w:hAnsi="Times New Roman" w:eastAsiaTheme="minorEastAsia"/>
                      <w:sz w:val="15"/>
                      <w:szCs w:val="15"/>
                    </w:rPr>
                    <w:t>2</w:t>
                  </w:r>
                </w:p>
              </w:tc>
              <w:tc>
                <w:tcPr>
                  <w:tcW w:w="714" w:type="dxa"/>
                  <w:vMerge w:val="continue"/>
                  <w:vAlign w:val="center"/>
                </w:tcPr>
                <w:p>
                  <w:pPr>
                    <w:widowControl/>
                    <w:spacing w:line="260" w:lineRule="exact"/>
                    <w:jc w:val="center"/>
                    <w:rPr>
                      <w:sz w:val="15"/>
                      <w:szCs w:val="15"/>
                    </w:rPr>
                  </w:pPr>
                </w:p>
              </w:tc>
              <w:tc>
                <w:tcPr>
                  <w:tcW w:w="429" w:type="dxa"/>
                  <w:vAlign w:val="center"/>
                </w:tcPr>
                <w:p>
                  <w:pPr>
                    <w:pStyle w:val="41"/>
                    <w:spacing w:before="0" w:beforeAutospacing="0" w:line="26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430" w:type="dxa"/>
                  <w:vMerge w:val="continue"/>
                  <w:vAlign w:val="center"/>
                </w:tcPr>
                <w:p>
                  <w:pPr>
                    <w:widowControl/>
                    <w:spacing w:line="260" w:lineRule="exact"/>
                    <w:jc w:val="center"/>
                    <w:rPr>
                      <w:sz w:val="15"/>
                      <w:szCs w:val="15"/>
                    </w:rPr>
                  </w:pPr>
                </w:p>
              </w:tc>
              <w:tc>
                <w:tcPr>
                  <w:tcW w:w="571" w:type="dxa"/>
                  <w:vMerge w:val="continue"/>
                  <w:vAlign w:val="center"/>
                </w:tcPr>
                <w:p>
                  <w:pPr>
                    <w:widowControl/>
                    <w:spacing w:line="260" w:lineRule="exact"/>
                    <w:jc w:val="center"/>
                    <w:rPr>
                      <w:sz w:val="15"/>
                      <w:szCs w:val="15"/>
                    </w:rPr>
                  </w:pPr>
                </w:p>
              </w:tc>
              <w:tc>
                <w:tcPr>
                  <w:tcW w:w="571" w:type="dxa"/>
                  <w:vMerge w:val="continue"/>
                  <w:vAlign w:val="center"/>
                </w:tcPr>
                <w:p>
                  <w:pPr>
                    <w:pStyle w:val="41"/>
                    <w:spacing w:before="0" w:beforeAutospacing="0" w:line="260" w:lineRule="exact"/>
                    <w:jc w:val="center"/>
                    <w:rPr>
                      <w:rFonts w:ascii="Times New Roman" w:hAnsi="Times New Roman" w:eastAsiaTheme="minorEastAsia"/>
                      <w:sz w:val="15"/>
                      <w:szCs w:val="15"/>
                    </w:rPr>
                  </w:pPr>
                </w:p>
              </w:tc>
              <w:tc>
                <w:tcPr>
                  <w:tcW w:w="429" w:type="dxa"/>
                  <w:vMerge w:val="continue"/>
                  <w:vAlign w:val="center"/>
                </w:tcPr>
                <w:p>
                  <w:pPr>
                    <w:pStyle w:val="41"/>
                    <w:spacing w:before="0" w:beforeAutospacing="0" w:line="260" w:lineRule="exact"/>
                    <w:jc w:val="center"/>
                    <w:rPr>
                      <w:rFonts w:ascii="Times New Roman" w:hAnsi="Times New Roman" w:eastAsiaTheme="minorEastAsia"/>
                      <w:sz w:val="15"/>
                      <w:szCs w:val="15"/>
                    </w:rPr>
                  </w:pPr>
                </w:p>
              </w:tc>
              <w:tc>
                <w:tcPr>
                  <w:tcW w:w="513" w:type="dxa"/>
                  <w:vMerge w:val="continue"/>
                  <w:vAlign w:val="center"/>
                </w:tcPr>
                <w:p>
                  <w:pPr>
                    <w:widowControl/>
                    <w:spacing w:line="260" w:lineRule="exact"/>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5" w:hRule="atLeast"/>
                <w:jc w:val="center"/>
              </w:trPr>
              <w:tc>
                <w:tcPr>
                  <w:tcW w:w="466" w:type="dxa"/>
                  <w:vAlign w:val="center"/>
                </w:tcPr>
                <w:p>
                  <w:pPr>
                    <w:widowControl/>
                    <w:spacing w:line="260" w:lineRule="exact"/>
                    <w:jc w:val="center"/>
                    <w:rPr>
                      <w:sz w:val="15"/>
                      <w:szCs w:val="15"/>
                    </w:rPr>
                  </w:pPr>
                  <w:r>
                    <w:rPr>
                      <w:sz w:val="15"/>
                      <w:szCs w:val="15"/>
                    </w:rPr>
                    <w:t>脱硫</w:t>
                  </w:r>
                </w:p>
                <w:p>
                  <w:pPr>
                    <w:widowControl/>
                    <w:spacing w:line="260" w:lineRule="exact"/>
                    <w:jc w:val="center"/>
                    <w:rPr>
                      <w:sz w:val="15"/>
                      <w:szCs w:val="15"/>
                    </w:rPr>
                  </w:pPr>
                  <w:r>
                    <w:rPr>
                      <w:sz w:val="15"/>
                      <w:szCs w:val="15"/>
                    </w:rPr>
                    <w:t>系统</w:t>
                  </w:r>
                </w:p>
              </w:tc>
              <w:tc>
                <w:tcPr>
                  <w:tcW w:w="564" w:type="dxa"/>
                  <w:vAlign w:val="center"/>
                </w:tcPr>
                <w:p>
                  <w:pPr>
                    <w:widowControl/>
                    <w:spacing w:line="260" w:lineRule="exact"/>
                    <w:jc w:val="center"/>
                    <w:rPr>
                      <w:sz w:val="15"/>
                      <w:szCs w:val="15"/>
                    </w:rPr>
                  </w:pPr>
                  <w:r>
                    <w:rPr>
                      <w:sz w:val="15"/>
                      <w:szCs w:val="15"/>
                    </w:rPr>
                    <w:t>脱硫</w:t>
                  </w:r>
                </w:p>
                <w:p>
                  <w:pPr>
                    <w:widowControl/>
                    <w:spacing w:line="260" w:lineRule="exact"/>
                    <w:jc w:val="center"/>
                    <w:rPr>
                      <w:sz w:val="15"/>
                      <w:szCs w:val="15"/>
                    </w:rPr>
                  </w:pPr>
                  <w:r>
                    <w:rPr>
                      <w:sz w:val="15"/>
                      <w:szCs w:val="15"/>
                    </w:rPr>
                    <w:t>废液</w:t>
                  </w:r>
                </w:p>
              </w:tc>
              <w:tc>
                <w:tcPr>
                  <w:tcW w:w="820" w:type="dxa"/>
                  <w:vAlign w:val="center"/>
                </w:tcPr>
                <w:p>
                  <w:pPr>
                    <w:pStyle w:val="41"/>
                    <w:spacing w:before="0" w:beforeAutospacing="0" w:line="260" w:lineRule="exact"/>
                    <w:jc w:val="center"/>
                    <w:rPr>
                      <w:rFonts w:ascii="Times New Roman" w:hAnsi="Times New Roman"/>
                      <w:sz w:val="15"/>
                      <w:szCs w:val="15"/>
                    </w:rPr>
                  </w:pPr>
                  <w:r>
                    <w:rPr>
                      <w:rFonts w:ascii="Times New Roman" w:hAnsi="Times New Roman"/>
                      <w:bCs/>
                      <w:sz w:val="15"/>
                      <w:szCs w:val="15"/>
                    </w:rPr>
                    <w:t>NaHSO</w:t>
                  </w:r>
                  <w:r>
                    <w:rPr>
                      <w:rFonts w:ascii="Times New Roman" w:hAnsi="Times New Roman"/>
                      <w:bCs/>
                      <w:sz w:val="15"/>
                      <w:szCs w:val="15"/>
                      <w:vertAlign w:val="subscript"/>
                    </w:rPr>
                    <w:t>3、</w:t>
                  </w:r>
                  <w:r>
                    <w:rPr>
                      <w:rFonts w:ascii="Times New Roman" w:hAnsi="Times New Roman"/>
                      <w:bCs/>
                      <w:sz w:val="15"/>
                      <w:szCs w:val="15"/>
                    </w:rPr>
                    <w:t>Na</w:t>
                  </w:r>
                  <w:r>
                    <w:rPr>
                      <w:rFonts w:hint="eastAsia" w:ascii="Times New Roman" w:hAnsi="Times New Roman"/>
                      <w:bCs/>
                      <w:sz w:val="15"/>
                      <w:szCs w:val="15"/>
                      <w:vertAlign w:val="subscript"/>
                    </w:rPr>
                    <w:t>2</w:t>
                  </w:r>
                  <w:r>
                    <w:rPr>
                      <w:rFonts w:ascii="Times New Roman" w:hAnsi="Times New Roman"/>
                      <w:bCs/>
                      <w:sz w:val="15"/>
                      <w:szCs w:val="15"/>
                    </w:rPr>
                    <w:t>SO</w:t>
                  </w:r>
                  <w:r>
                    <w:rPr>
                      <w:rFonts w:ascii="Times New Roman" w:hAnsi="Times New Roman"/>
                      <w:bCs/>
                      <w:sz w:val="15"/>
                      <w:szCs w:val="15"/>
                      <w:vertAlign w:val="subscript"/>
                    </w:rPr>
                    <w:t>3</w:t>
                  </w:r>
                  <w:r>
                    <w:rPr>
                      <w:rFonts w:ascii="Times New Roman" w:hAnsi="Times New Roman"/>
                      <w:bCs/>
                      <w:sz w:val="15"/>
                      <w:szCs w:val="15"/>
                    </w:rPr>
                    <w:t>等</w:t>
                  </w:r>
                </w:p>
              </w:tc>
              <w:tc>
                <w:tcPr>
                  <w:tcW w:w="571" w:type="dxa"/>
                  <w:vAlign w:val="center"/>
                </w:tcPr>
                <w:p>
                  <w:pPr>
                    <w:widowControl/>
                    <w:spacing w:line="260" w:lineRule="exact"/>
                    <w:jc w:val="center"/>
                    <w:rPr>
                      <w:sz w:val="15"/>
                      <w:szCs w:val="15"/>
                    </w:rPr>
                  </w:pPr>
                  <w:r>
                    <w:rPr>
                      <w:sz w:val="15"/>
                      <w:szCs w:val="15"/>
                    </w:rPr>
                    <w:t>系数法</w:t>
                  </w:r>
                </w:p>
              </w:tc>
              <w:tc>
                <w:tcPr>
                  <w:tcW w:w="669" w:type="dxa"/>
                  <w:vAlign w:val="center"/>
                </w:tcPr>
                <w:p>
                  <w:pPr>
                    <w:widowControl/>
                    <w:spacing w:line="260" w:lineRule="exact"/>
                    <w:jc w:val="center"/>
                    <w:rPr>
                      <w:sz w:val="15"/>
                      <w:szCs w:val="15"/>
                    </w:rPr>
                  </w:pPr>
                  <w:r>
                    <w:rPr>
                      <w:rFonts w:hint="eastAsia"/>
                      <w:sz w:val="15"/>
                      <w:szCs w:val="15"/>
                    </w:rPr>
                    <w:t>1290936</w:t>
                  </w:r>
                </w:p>
              </w:tc>
              <w:tc>
                <w:tcPr>
                  <w:tcW w:w="613" w:type="dxa"/>
                  <w:vAlign w:val="center"/>
                </w:tcPr>
                <w:p>
                  <w:pPr>
                    <w:pStyle w:val="41"/>
                    <w:spacing w:before="0" w:beforeAutospacing="0" w:line="260" w:lineRule="exact"/>
                    <w:jc w:val="center"/>
                    <w:rPr>
                      <w:rFonts w:ascii="Times New Roman" w:hAnsi="Times New Roman" w:eastAsiaTheme="minorEastAsia"/>
                      <w:spacing w:val="1"/>
                      <w:sz w:val="15"/>
                      <w:szCs w:val="15"/>
                    </w:rPr>
                  </w:pPr>
                  <w:r>
                    <w:rPr>
                      <w:rFonts w:hint="eastAsia" w:ascii="Times New Roman" w:hAnsi="Times New Roman" w:eastAsiaTheme="minorEastAsia"/>
                      <w:spacing w:val="1"/>
                      <w:sz w:val="15"/>
                      <w:szCs w:val="15"/>
                    </w:rPr>
                    <w:t>/</w:t>
                  </w:r>
                </w:p>
              </w:tc>
              <w:tc>
                <w:tcPr>
                  <w:tcW w:w="575" w:type="dxa"/>
                  <w:vAlign w:val="center"/>
                </w:tcPr>
                <w:p>
                  <w:pPr>
                    <w:pStyle w:val="41"/>
                    <w:spacing w:before="0" w:beforeAutospacing="0" w:line="26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714" w:type="dxa"/>
                  <w:vAlign w:val="center"/>
                </w:tcPr>
                <w:p>
                  <w:pPr>
                    <w:widowControl/>
                    <w:spacing w:line="260" w:lineRule="exact"/>
                    <w:jc w:val="center"/>
                    <w:rPr>
                      <w:sz w:val="15"/>
                      <w:szCs w:val="15"/>
                    </w:rPr>
                  </w:pPr>
                  <w:r>
                    <w:rPr>
                      <w:sz w:val="15"/>
                      <w:szCs w:val="15"/>
                    </w:rPr>
                    <w:t>沉淀</w:t>
                  </w:r>
                  <w:r>
                    <w:rPr>
                      <w:rFonts w:hint="eastAsia"/>
                      <w:sz w:val="15"/>
                      <w:szCs w:val="15"/>
                    </w:rPr>
                    <w:t>、碱液再生</w:t>
                  </w:r>
                </w:p>
              </w:tc>
              <w:tc>
                <w:tcPr>
                  <w:tcW w:w="429" w:type="dxa"/>
                  <w:vAlign w:val="center"/>
                </w:tcPr>
                <w:p>
                  <w:pPr>
                    <w:pStyle w:val="41"/>
                    <w:spacing w:before="0" w:beforeAutospacing="0" w:line="26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430" w:type="dxa"/>
                  <w:vAlign w:val="center"/>
                </w:tcPr>
                <w:p>
                  <w:pPr>
                    <w:widowControl/>
                    <w:spacing w:line="260" w:lineRule="exact"/>
                    <w:jc w:val="center"/>
                    <w:rPr>
                      <w:sz w:val="15"/>
                      <w:szCs w:val="15"/>
                    </w:rPr>
                  </w:pPr>
                  <w:r>
                    <w:rPr>
                      <w:rFonts w:hint="eastAsia"/>
                      <w:sz w:val="15"/>
                      <w:szCs w:val="15"/>
                    </w:rPr>
                    <w:t>/</w:t>
                  </w:r>
                </w:p>
              </w:tc>
              <w:tc>
                <w:tcPr>
                  <w:tcW w:w="571" w:type="dxa"/>
                  <w:vAlign w:val="center"/>
                </w:tcPr>
                <w:p>
                  <w:pPr>
                    <w:pStyle w:val="41"/>
                    <w:spacing w:before="0" w:beforeAutospacing="0" w:line="26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571" w:type="dxa"/>
                  <w:vAlign w:val="center"/>
                </w:tcPr>
                <w:p>
                  <w:pPr>
                    <w:widowControl/>
                    <w:spacing w:line="260" w:lineRule="exact"/>
                    <w:jc w:val="center"/>
                    <w:rPr>
                      <w:sz w:val="15"/>
                      <w:szCs w:val="15"/>
                    </w:rPr>
                  </w:pPr>
                  <w:r>
                    <w:rPr>
                      <w:rFonts w:hint="eastAsia"/>
                      <w:sz w:val="15"/>
                      <w:szCs w:val="15"/>
                    </w:rPr>
                    <w:t>/</w:t>
                  </w:r>
                </w:p>
              </w:tc>
              <w:tc>
                <w:tcPr>
                  <w:tcW w:w="429" w:type="dxa"/>
                  <w:vAlign w:val="center"/>
                </w:tcPr>
                <w:p>
                  <w:pPr>
                    <w:pStyle w:val="41"/>
                    <w:spacing w:before="0" w:beforeAutospacing="0" w:line="26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513" w:type="dxa"/>
                  <w:vAlign w:val="center"/>
                </w:tcPr>
                <w:p>
                  <w:pPr>
                    <w:widowControl/>
                    <w:spacing w:line="260" w:lineRule="exact"/>
                    <w:jc w:val="center"/>
                    <w:rPr>
                      <w:sz w:val="15"/>
                      <w:szCs w:val="15"/>
                    </w:rPr>
                  </w:pPr>
                  <w:r>
                    <w:rPr>
                      <w:rFonts w:hint="eastAsia"/>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jc w:val="center"/>
              </w:trPr>
              <w:tc>
                <w:tcPr>
                  <w:tcW w:w="466" w:type="dxa"/>
                  <w:vAlign w:val="center"/>
                </w:tcPr>
                <w:p>
                  <w:pPr>
                    <w:widowControl/>
                    <w:spacing w:line="260" w:lineRule="exact"/>
                    <w:jc w:val="center"/>
                    <w:rPr>
                      <w:sz w:val="15"/>
                      <w:szCs w:val="15"/>
                    </w:rPr>
                  </w:pPr>
                  <w:r>
                    <w:rPr>
                      <w:sz w:val="15"/>
                      <w:szCs w:val="15"/>
                    </w:rPr>
                    <w:t>车辆</w:t>
                  </w:r>
                </w:p>
                <w:p>
                  <w:pPr>
                    <w:widowControl/>
                    <w:spacing w:line="260" w:lineRule="exact"/>
                    <w:jc w:val="center"/>
                    <w:rPr>
                      <w:sz w:val="15"/>
                      <w:szCs w:val="15"/>
                    </w:rPr>
                  </w:pPr>
                  <w:r>
                    <w:rPr>
                      <w:sz w:val="15"/>
                      <w:szCs w:val="15"/>
                    </w:rPr>
                    <w:t>冲洗</w:t>
                  </w:r>
                </w:p>
              </w:tc>
              <w:tc>
                <w:tcPr>
                  <w:tcW w:w="564" w:type="dxa"/>
                  <w:vAlign w:val="center"/>
                </w:tcPr>
                <w:p>
                  <w:pPr>
                    <w:widowControl/>
                    <w:spacing w:line="260" w:lineRule="exact"/>
                    <w:jc w:val="center"/>
                    <w:rPr>
                      <w:sz w:val="15"/>
                      <w:szCs w:val="15"/>
                    </w:rPr>
                  </w:pPr>
                  <w:r>
                    <w:rPr>
                      <w:sz w:val="15"/>
                      <w:szCs w:val="15"/>
                    </w:rPr>
                    <w:t>冲洗</w:t>
                  </w:r>
                </w:p>
                <w:p>
                  <w:pPr>
                    <w:widowControl/>
                    <w:spacing w:line="260" w:lineRule="exact"/>
                    <w:jc w:val="center"/>
                    <w:rPr>
                      <w:sz w:val="15"/>
                      <w:szCs w:val="15"/>
                    </w:rPr>
                  </w:pPr>
                  <w:r>
                    <w:rPr>
                      <w:sz w:val="15"/>
                      <w:szCs w:val="15"/>
                    </w:rPr>
                    <w:t>废水</w:t>
                  </w:r>
                </w:p>
              </w:tc>
              <w:tc>
                <w:tcPr>
                  <w:tcW w:w="820" w:type="dxa"/>
                  <w:vAlign w:val="center"/>
                </w:tcPr>
                <w:p>
                  <w:pPr>
                    <w:pStyle w:val="41"/>
                    <w:spacing w:before="0" w:beforeAutospacing="0" w:line="260" w:lineRule="exact"/>
                    <w:jc w:val="center"/>
                    <w:rPr>
                      <w:rFonts w:ascii="Times New Roman" w:hAnsi="Times New Roman"/>
                      <w:sz w:val="15"/>
                      <w:szCs w:val="15"/>
                    </w:rPr>
                  </w:pPr>
                  <w:r>
                    <w:rPr>
                      <w:rFonts w:hint="eastAsia" w:ascii="Times New Roman" w:hAnsi="Times New Roman"/>
                      <w:sz w:val="15"/>
                      <w:szCs w:val="15"/>
                    </w:rPr>
                    <w:t>SS</w:t>
                  </w:r>
                </w:p>
              </w:tc>
              <w:tc>
                <w:tcPr>
                  <w:tcW w:w="571" w:type="dxa"/>
                  <w:vAlign w:val="center"/>
                </w:tcPr>
                <w:p>
                  <w:pPr>
                    <w:widowControl/>
                    <w:spacing w:line="260" w:lineRule="exact"/>
                    <w:jc w:val="center"/>
                    <w:rPr>
                      <w:sz w:val="15"/>
                      <w:szCs w:val="15"/>
                    </w:rPr>
                  </w:pPr>
                  <w:r>
                    <w:rPr>
                      <w:sz w:val="15"/>
                      <w:szCs w:val="15"/>
                    </w:rPr>
                    <w:t>系数法</w:t>
                  </w:r>
                </w:p>
              </w:tc>
              <w:tc>
                <w:tcPr>
                  <w:tcW w:w="669" w:type="dxa"/>
                  <w:vAlign w:val="center"/>
                </w:tcPr>
                <w:p>
                  <w:pPr>
                    <w:widowControl/>
                    <w:spacing w:line="260" w:lineRule="exact"/>
                    <w:jc w:val="center"/>
                    <w:rPr>
                      <w:sz w:val="15"/>
                      <w:szCs w:val="15"/>
                    </w:rPr>
                  </w:pPr>
                  <w:r>
                    <w:rPr>
                      <w:rFonts w:hint="eastAsia"/>
                      <w:sz w:val="15"/>
                      <w:szCs w:val="15"/>
                    </w:rPr>
                    <w:t>480</w:t>
                  </w:r>
                </w:p>
              </w:tc>
              <w:tc>
                <w:tcPr>
                  <w:tcW w:w="613" w:type="dxa"/>
                  <w:vAlign w:val="center"/>
                </w:tcPr>
                <w:p>
                  <w:pPr>
                    <w:pStyle w:val="41"/>
                    <w:spacing w:before="0" w:beforeAutospacing="0" w:line="260" w:lineRule="exact"/>
                    <w:jc w:val="center"/>
                    <w:rPr>
                      <w:rFonts w:ascii="Times New Roman" w:hAnsi="Times New Roman" w:eastAsiaTheme="minorEastAsia"/>
                      <w:spacing w:val="1"/>
                      <w:sz w:val="15"/>
                      <w:szCs w:val="15"/>
                    </w:rPr>
                  </w:pPr>
                  <w:r>
                    <w:rPr>
                      <w:rFonts w:hint="eastAsia" w:ascii="Times New Roman" w:hAnsi="Times New Roman" w:eastAsiaTheme="minorEastAsia"/>
                      <w:spacing w:val="1"/>
                      <w:sz w:val="15"/>
                      <w:szCs w:val="15"/>
                    </w:rPr>
                    <w:t>/</w:t>
                  </w:r>
                </w:p>
              </w:tc>
              <w:tc>
                <w:tcPr>
                  <w:tcW w:w="575" w:type="dxa"/>
                  <w:vAlign w:val="center"/>
                </w:tcPr>
                <w:p>
                  <w:pPr>
                    <w:pStyle w:val="41"/>
                    <w:spacing w:before="0" w:beforeAutospacing="0" w:line="26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714" w:type="dxa"/>
                  <w:vAlign w:val="center"/>
                </w:tcPr>
                <w:p>
                  <w:pPr>
                    <w:widowControl/>
                    <w:spacing w:line="260" w:lineRule="exact"/>
                    <w:jc w:val="center"/>
                    <w:rPr>
                      <w:sz w:val="15"/>
                      <w:szCs w:val="15"/>
                    </w:rPr>
                  </w:pPr>
                  <w:r>
                    <w:rPr>
                      <w:sz w:val="15"/>
                      <w:szCs w:val="15"/>
                    </w:rPr>
                    <w:t>沉淀</w:t>
                  </w:r>
                </w:p>
              </w:tc>
              <w:tc>
                <w:tcPr>
                  <w:tcW w:w="429" w:type="dxa"/>
                  <w:vAlign w:val="center"/>
                </w:tcPr>
                <w:p>
                  <w:pPr>
                    <w:pStyle w:val="41"/>
                    <w:spacing w:before="0" w:beforeAutospacing="0" w:line="26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430" w:type="dxa"/>
                  <w:vAlign w:val="center"/>
                </w:tcPr>
                <w:p>
                  <w:pPr>
                    <w:widowControl/>
                    <w:spacing w:line="260" w:lineRule="exact"/>
                    <w:jc w:val="center"/>
                    <w:rPr>
                      <w:sz w:val="15"/>
                      <w:szCs w:val="15"/>
                    </w:rPr>
                  </w:pPr>
                </w:p>
              </w:tc>
              <w:tc>
                <w:tcPr>
                  <w:tcW w:w="571" w:type="dxa"/>
                  <w:vAlign w:val="center"/>
                </w:tcPr>
                <w:p>
                  <w:pPr>
                    <w:pStyle w:val="41"/>
                    <w:spacing w:before="0" w:beforeAutospacing="0" w:line="260" w:lineRule="exact"/>
                    <w:jc w:val="center"/>
                    <w:rPr>
                      <w:rFonts w:ascii="Times New Roman" w:hAnsi="Times New Roman" w:eastAsiaTheme="minorEastAsia"/>
                      <w:sz w:val="15"/>
                      <w:szCs w:val="15"/>
                    </w:rPr>
                  </w:pPr>
                </w:p>
              </w:tc>
              <w:tc>
                <w:tcPr>
                  <w:tcW w:w="571" w:type="dxa"/>
                  <w:vAlign w:val="center"/>
                </w:tcPr>
                <w:p>
                  <w:pPr>
                    <w:widowControl/>
                    <w:spacing w:line="260" w:lineRule="exact"/>
                    <w:jc w:val="center"/>
                    <w:rPr>
                      <w:sz w:val="15"/>
                      <w:szCs w:val="15"/>
                    </w:rPr>
                  </w:pPr>
                </w:p>
              </w:tc>
              <w:tc>
                <w:tcPr>
                  <w:tcW w:w="429" w:type="dxa"/>
                  <w:vAlign w:val="center"/>
                </w:tcPr>
                <w:p>
                  <w:pPr>
                    <w:pStyle w:val="41"/>
                    <w:spacing w:before="0" w:beforeAutospacing="0" w:line="260" w:lineRule="exact"/>
                    <w:jc w:val="center"/>
                    <w:rPr>
                      <w:rFonts w:ascii="Times New Roman" w:hAnsi="Times New Roman" w:eastAsiaTheme="minorEastAsia"/>
                      <w:sz w:val="15"/>
                      <w:szCs w:val="15"/>
                    </w:rPr>
                  </w:pPr>
                </w:p>
              </w:tc>
              <w:tc>
                <w:tcPr>
                  <w:tcW w:w="513" w:type="dxa"/>
                  <w:vAlign w:val="center"/>
                </w:tcPr>
                <w:p>
                  <w:pPr>
                    <w:widowControl/>
                    <w:spacing w:line="260" w:lineRule="exact"/>
                    <w:jc w:val="center"/>
                    <w:rPr>
                      <w:sz w:val="15"/>
                      <w:szCs w:val="15"/>
                    </w:rPr>
                  </w:pPr>
                </w:p>
              </w:tc>
            </w:tr>
          </w:tbl>
          <w:p>
            <w:pPr>
              <w:autoSpaceDE w:val="0"/>
              <w:autoSpaceDN w:val="0"/>
              <w:adjustRightInd w:val="0"/>
              <w:snapToGrid w:val="0"/>
              <w:spacing w:line="400" w:lineRule="exact"/>
              <w:ind w:firstLine="422" w:firstLineChars="200"/>
              <w:jc w:val="left"/>
              <w:rPr>
                <w:b/>
                <w:kern w:val="0"/>
                <w:szCs w:val="21"/>
              </w:rPr>
            </w:pPr>
            <w:r>
              <w:rPr>
                <w:b/>
                <w:kern w:val="0"/>
                <w:szCs w:val="21"/>
              </w:rPr>
              <w:t>（2）治理措施及排放情况</w:t>
            </w:r>
          </w:p>
          <w:p>
            <w:pPr>
              <w:autoSpaceDE w:val="0"/>
              <w:autoSpaceDN w:val="0"/>
              <w:adjustRightInd w:val="0"/>
              <w:snapToGrid w:val="0"/>
              <w:spacing w:line="400" w:lineRule="exact"/>
              <w:ind w:firstLine="422" w:firstLineChars="200"/>
              <w:jc w:val="left"/>
              <w:rPr>
                <w:b/>
                <w:kern w:val="0"/>
                <w:szCs w:val="21"/>
              </w:rPr>
            </w:pPr>
            <w:r>
              <w:rPr>
                <w:rFonts w:hint="eastAsia"/>
                <w:b/>
                <w:kern w:val="0"/>
                <w:szCs w:val="21"/>
              </w:rPr>
              <w:t>1）生产废水</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①脱硫废液</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根据现场踏勘，本项目砖窑废气现有脱硫系统设置有2个脱硫废液池，分别为沉淀池、再生池，总容积约200m</w:t>
            </w:r>
            <w:r>
              <w:rPr>
                <w:rFonts w:hint="eastAsia"/>
                <w:kern w:val="0"/>
                <w:szCs w:val="21"/>
                <w:vertAlign w:val="superscript"/>
              </w:rPr>
              <w:t>3</w:t>
            </w:r>
            <w:r>
              <w:rPr>
                <w:rFonts w:hint="eastAsia"/>
                <w:kern w:val="0"/>
                <w:szCs w:val="21"/>
              </w:rPr>
              <w:t>，能够容纳1.15h的脱硫废液，经再生后返回至喷淋塔再次脱硫使用。脱硫废液循环系统运行图示如下：</w:t>
            </w:r>
          </w:p>
          <w:p>
            <w:pPr>
              <w:pStyle w:val="26"/>
              <w:numPr>
                <w:ilvl w:val="0"/>
                <w:numId w:val="0"/>
              </w:numPr>
              <w:ind w:left="985"/>
            </w:pPr>
          </w:p>
          <w:p/>
          <w:p>
            <w:pPr>
              <w:pStyle w:val="14"/>
              <w:spacing w:after="0" w:line="300" w:lineRule="exact"/>
            </w:pPr>
            <w:r>
              <w:rPr>
                <w:kern w:val="0"/>
                <w:szCs w:val="21"/>
              </w:rPr>
              <w:pict>
                <v:shape id="文本框 61" o:spid="_x0000_s1119" o:spt="202" type="#_x0000_t202" style="position:absolute;left:0pt;margin-left:206.9pt;margin-top:3pt;height:19.1pt;width:80.45pt;z-index:25167257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">
                  <v:path/>
                  <v:fill on="f" focussize="0,0"/>
                  <v:stroke on="f" weight="0.5pt" joinstyle="miter"/>
                  <v:imagedata o:title=""/>
                  <o:lock v:ext="edit"/>
                  <v:textbox>
                    <w:txbxContent>
                      <w:p>
                        <w:pPr>
                          <w:rPr>
                            <w:sz w:val="15"/>
                            <w:szCs w:val="15"/>
                          </w:rPr>
                        </w:pPr>
                        <w:r>
                          <w:rPr>
                            <w:rFonts w:hint="eastAsia"/>
                            <w:sz w:val="15"/>
                            <w:szCs w:val="15"/>
                          </w:rPr>
                          <w:t>片碱</w:t>
                        </w:r>
                        <w:r>
                          <w:rPr>
                            <w:rFonts w:hint="eastAsia" w:ascii="Helvetica" w:hAnsi="Helvetica" w:cs="Helvetica"/>
                            <w:color w:val="333333"/>
                            <w:sz w:val="15"/>
                            <w:szCs w:val="15"/>
                            <w:shd w:val="clear" w:color="auto" w:fill="FFFFFF"/>
                          </w:rPr>
                          <w:t>N</w:t>
                        </w:r>
                        <w:r>
                          <w:rPr>
                            <w:rFonts w:ascii="Helvetica" w:hAnsi="Helvetica" w:cs="Helvetica"/>
                            <w:color w:val="333333"/>
                            <w:sz w:val="15"/>
                            <w:szCs w:val="15"/>
                            <w:shd w:val="clear" w:color="auto" w:fill="FFFFFF"/>
                          </w:rPr>
                          <w:t>aOH</w:t>
                        </w:r>
                      </w:p>
                      <w:p>
                        <w:pPr>
                          <w:pStyle w:val="14"/>
                        </w:pPr>
                      </w:p>
                    </w:txbxContent>
                  </v:textbox>
                </v:shape>
              </w:pict>
            </w:r>
          </w:p>
          <w:p>
            <w:pPr>
              <w:autoSpaceDE w:val="0"/>
              <w:autoSpaceDN w:val="0"/>
              <w:adjustRightInd w:val="0"/>
              <w:snapToGrid w:val="0"/>
              <w:spacing w:line="400" w:lineRule="exact"/>
              <w:ind w:firstLine="420" w:firstLineChars="200"/>
              <w:jc w:val="left"/>
              <w:rPr>
                <w:kern w:val="0"/>
                <w:szCs w:val="21"/>
              </w:rPr>
            </w:pPr>
            <w:r>
              <w:rPr>
                <w:kern w:val="0"/>
                <w:szCs w:val="21"/>
              </w:rPr>
              <w:pict>
                <v:shape id="文本框 17" o:spid="_x0000_s1120" o:spt="202" type="#_x0000_t202" style="position:absolute;left:0pt;margin-left:55.8pt;margin-top:16.65pt;height:19.1pt;width:53.1pt;z-index:25166438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">
                  <v:path/>
                  <v:fill focussize="0,0"/>
                  <v:stroke on="f" weight="0.5pt" joinstyle="miter"/>
                  <v:imagedata o:title=""/>
                  <o:lock v:ext="edit"/>
                  <v:textbox>
                    <w:txbxContent>
                      <w:p>
                        <w:pPr>
                          <w:rPr>
                            <w:sz w:val="18"/>
                            <w:szCs w:val="18"/>
                          </w:rPr>
                        </w:pPr>
                        <w:r>
                          <w:rPr>
                            <w:rFonts w:hint="eastAsia"/>
                            <w:sz w:val="18"/>
                            <w:szCs w:val="18"/>
                          </w:rPr>
                          <w:t>脱硫废液</w:t>
                        </w:r>
                      </w:p>
                    </w:txbxContent>
                  </v:textbox>
                </v:shape>
              </w:pict>
            </w:r>
            <w:r>
              <w:rPr>
                <w:kern w:val="0"/>
                <w:szCs w:val="21"/>
              </w:rPr>
              <w:pict>
                <v:shape id="文本框 20" o:spid="_x0000_s1121" o:spt="202" type="#_x0000_t202" style="position:absolute;left:0pt;margin-left:132.9pt;margin-top:14.9pt;height:19.1pt;width:46.6pt;z-index:2516664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">
                  <v:path/>
                  <v:fill focussize="0,0"/>
                  <v:stroke weight="0.5pt" joinstyle="miter"/>
                  <v:imagedata o:title=""/>
                  <o:lock v:ext="edit"/>
                  <v:textbox>
                    <w:txbxContent>
                      <w:p>
                        <w:pPr>
                          <w:ind w:left="-53" w:leftChars="-25" w:right="-53" w:rightChars="-25"/>
                          <w:jc w:val="center"/>
                          <w:rPr>
                            <w:sz w:val="18"/>
                            <w:szCs w:val="18"/>
                          </w:rPr>
                        </w:pPr>
                        <w:r>
                          <w:rPr>
                            <w:rFonts w:hint="eastAsia"/>
                            <w:sz w:val="18"/>
                            <w:szCs w:val="18"/>
                          </w:rPr>
                          <w:t>沉淀池</w:t>
                        </w:r>
                      </w:p>
                    </w:txbxContent>
                  </v:textbox>
                </v:shape>
              </w:pict>
            </w:r>
            <w:r>
              <w:rPr>
                <w:kern w:val="0"/>
                <w:szCs w:val="21"/>
              </w:rPr>
              <w:pict>
                <v:shape id="_x0000_s1122" o:spid="_x0000_s1122" o:spt="32" type="#_x0000_t32" style="position:absolute;left:0pt;margin-left:242.45pt;margin-top:2.4pt;height:12.35pt;width:0pt;z-index:251671552;mso-width-relative:page;mso-height-relative:page;" filled="f" coordsize="21600,21600" o:gfxdata="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Ibd6NUAAAAIAQAADwAAAAAAAAABACAAAAAi&#10;AAAAZHJzL2Rvd25yZXYueG1sUEsBAhQAFAAAAAgAh07iQMoL4goNAgAABAQAAA4AAAAAAAAAAQAg&#10;AAAAJAEAAGRycy9lMm9Eb2MueG1sUEsFBgAAAAAGAAYAWQEAAKMFAAAAAA==&#10;">
                  <v:path arrowok="t"/>
                  <v:fill on="f" focussize="0,0"/>
                  <v:stroke endarrow="open"/>
                  <v:imagedata o:title=""/>
                  <o:lock v:ext="edit"/>
                </v:shape>
              </w:pict>
            </w:r>
            <w:r>
              <w:rPr>
                <w:kern w:val="0"/>
                <w:szCs w:val="21"/>
              </w:rPr>
              <w:pict>
                <v:shape id="文本框 19" o:spid="_x0000_s1123" o:spt="202" type="#_x0000_t202" style="position:absolute;left:0pt;margin-left:221.35pt;margin-top:14.8pt;height:19.1pt;width:43.25pt;z-index:2516654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">
                  <v:path/>
                  <v:fill focussize="0,0"/>
                  <v:stroke weight="0.5pt" joinstyle="miter"/>
                  <v:imagedata o:title=""/>
                  <o:lock v:ext="edit"/>
                  <v:textbox>
                    <w:txbxContent>
                      <w:p>
                        <w:pPr>
                          <w:ind w:left="-53" w:leftChars="-25" w:right="-53" w:rightChars="-25"/>
                          <w:jc w:val="center"/>
                          <w:rPr>
                            <w:sz w:val="18"/>
                            <w:szCs w:val="18"/>
                          </w:rPr>
                        </w:pPr>
                        <w:r>
                          <w:rPr>
                            <w:rFonts w:hint="eastAsia"/>
                            <w:sz w:val="18"/>
                            <w:szCs w:val="18"/>
                          </w:rPr>
                          <w:t>再生池</w:t>
                        </w:r>
                      </w:p>
                    </w:txbxContent>
                  </v:textbox>
                </v:shape>
              </w:pict>
            </w:r>
            <w:r>
              <w:rPr>
                <w:kern w:val="0"/>
                <w:szCs w:val="21"/>
              </w:rPr>
              <w:pict>
                <v:shape id="文本框 23" o:spid="_x0000_s1124" o:spt="202" type="#_x0000_t202" style="position:absolute;left:0pt;margin-left:291.55pt;margin-top:14.8pt;height:19.1pt;width:42pt;z-index:251667456;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">
                  <v:path/>
                  <v:fill focussize="0,0"/>
                  <v:stroke on="f" weight="0.5pt" joinstyle="miter"/>
                  <v:imagedata o:title=""/>
                  <o:lock v:ext="edit"/>
                  <v:textbox>
                    <w:txbxContent>
                      <w:p>
                        <w:pPr>
                          <w:rPr>
                            <w:sz w:val="18"/>
                            <w:szCs w:val="18"/>
                          </w:rPr>
                        </w:pPr>
                        <w:r>
                          <w:rPr>
                            <w:rFonts w:hint="eastAsia"/>
                            <w:sz w:val="18"/>
                            <w:szCs w:val="18"/>
                          </w:rPr>
                          <w:t>回用</w:t>
                        </w:r>
                      </w:p>
                    </w:txbxContent>
                  </v:textbox>
                </v:shape>
              </w:pict>
            </w:r>
          </w:p>
          <w:p>
            <w:pPr>
              <w:autoSpaceDE w:val="0"/>
              <w:autoSpaceDN w:val="0"/>
              <w:adjustRightInd w:val="0"/>
              <w:snapToGrid w:val="0"/>
              <w:spacing w:line="400" w:lineRule="exact"/>
              <w:ind w:firstLine="420" w:firstLineChars="200"/>
              <w:jc w:val="left"/>
              <w:rPr>
                <w:kern w:val="0"/>
                <w:szCs w:val="21"/>
              </w:rPr>
            </w:pPr>
            <w:r>
              <w:rPr>
                <w:kern w:val="0"/>
                <w:szCs w:val="21"/>
              </w:rPr>
              <w:pict>
                <v:shape id="_x0000_s1125" o:spid="_x0000_s1125" o:spt="32" type="#_x0000_t32" style="position:absolute;left:0pt;margin-left:159.25pt;margin-top:14.05pt;height:26.75pt;width:0pt;z-index:251670528;mso-width-relative:page;mso-height-relative:page;" filled="f" coordsize="21600,21600" o:gfxdata="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snCi9QAAAAJAQAADwAAAAAAAAABACAAAAAi&#10;AAAAZHJzL2Rvd25yZXYueG1sUEsBAhQAFAAAAAgAh07iQPmaDHYOAgAABgQAAA4AAAAAAAAAAQAg&#10;AAAAIwEAAGRycy9lMm9Eb2MueG1sUEsFBgAAAAAGAAYAWQEAAKMFAAAAAA==&#10;">
                  <v:path arrowok="t"/>
                  <v:fill on="f" focussize="0,0"/>
                  <v:stroke dashstyle="dash" endarrow="block"/>
                  <v:imagedata o:title=""/>
                  <o:lock v:ext="edit"/>
                </v:shape>
              </w:pict>
            </w:r>
            <w:r>
              <w:rPr>
                <w:kern w:val="0"/>
                <w:szCs w:val="21"/>
              </w:rPr>
              <w:pict>
                <v:shape id="文本框 62" o:spid="_x0000_s1126" o:spt="202" type="#_x0000_t202" style="position:absolute;left:0pt;margin-left:126.75pt;margin-top:17.85pt;height:19.1pt;width:39.1pt;z-index:25167360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">
                  <v:path/>
                  <v:fill on="f" focussize="0,0"/>
                  <v:stroke on="f" weight="0.5pt" joinstyle="miter"/>
                  <v:imagedata o:title=""/>
                  <o:lock v:ext="edit"/>
                  <v:textbox>
                    <w:txbxContent>
                      <w:p>
                        <w:pPr>
                          <w:jc w:val="center"/>
                          <w:rPr>
                            <w:sz w:val="16"/>
                            <w:szCs w:val="18"/>
                          </w:rPr>
                        </w:pPr>
                        <w:r>
                          <w:rPr>
                            <w:rFonts w:hint="eastAsia"/>
                            <w:sz w:val="16"/>
                            <w:szCs w:val="18"/>
                          </w:rPr>
                          <w:t>脱硫渣</w:t>
                        </w:r>
                      </w:p>
                      <w:p>
                        <w:pPr>
                          <w:pStyle w:val="14"/>
                        </w:pPr>
                      </w:p>
                    </w:txbxContent>
                  </v:textbox>
                </v:shape>
              </w:pict>
            </w:r>
            <w:r>
              <w:rPr>
                <w:kern w:val="0"/>
                <w:szCs w:val="21"/>
              </w:rPr>
              <w:pict>
                <v:shape id="_x0000_s1127" o:spid="_x0000_s1127" o:spt="32" type="#_x0000_t32" style="position:absolute;left:0pt;margin-left:179.55pt;margin-top:4.15pt;height:0.05pt;width:41.8pt;z-index:251686912;mso-width-relative:page;mso-height-relative:page;" filled="f" coordsize="21600,21600" o:gfxdata="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Rwr0tgAAAAHAQAADwAAAAAAAAAB&#10;ACAAAAAiAAAAZHJzL2Rvd25yZXYueG1sUEsBAhQAFAAAAAgAh07iQP1Okn0QAgAABwQAAA4AAAAA&#10;AAAAAQAgAAAAJwEAAGRycy9lMm9Eb2MueG1sUEsFBgAAAAAGAAYAWQEAAKkFAAAAAA==&#10;">
                  <v:path arrowok="t"/>
                  <v:fill on="f" focussize="0,0"/>
                  <v:stroke endarrow="block"/>
                  <v:imagedata o:title=""/>
                  <o:lock v:ext="edit"/>
                </v:shape>
              </w:pict>
            </w:r>
            <w:r>
              <w:rPr>
                <w:kern w:val="0"/>
                <w:szCs w:val="21"/>
              </w:rPr>
              <w:pict>
                <v:shape id="_x0000_s1128" o:spid="_x0000_s1128" o:spt="32" type="#_x0000_t32" style="position:absolute;left:0pt;margin-left:100.8pt;margin-top:4.9pt;height:0pt;width:31.4pt;z-index:251668480;mso-width-relative:page;mso-height-relative:page;" filled="f" coordsize="21600,21600" o:gfxdata="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w4O/rWAAAABwEAAA8AAAAAAAAAAQAg&#10;AAAAIgAAAGRycy9kb3ducmV2LnhtbFBLAQIUABQAAAAIAIdO4kBHTIlaEAIAAAcEAAAOAAAAAAAA&#10;AAEAIAAAACUBAABkcnMvZTJvRG9jLnhtbFBLBQYAAAAABgAGAFkBAACnBQAAAAA=&#10;">
                  <v:path arrowok="t"/>
                  <v:fill on="f" focussize="0,0"/>
                  <v:stroke endarrow="block"/>
                  <v:imagedata o:title=""/>
                  <o:lock v:ext="edit"/>
                </v:shape>
              </w:pict>
            </w:r>
            <w:r>
              <w:rPr>
                <w:kern w:val="0"/>
                <w:szCs w:val="21"/>
              </w:rPr>
              <w:pict>
                <v:shape id="_x0000_s1129" o:spid="_x0000_s1129" o:spt="32" type="#_x0000_t32" style="position:absolute;left:0pt;margin-left:265.3pt;margin-top:3.8pt;height:0pt;width:31.4pt;z-index:251669504;mso-width-relative:page;mso-height-relative:page;" filled="f" coordsize="21600,21600" o:gfxdata="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xzIE1wAAAAcBAAAPAAAAAAAAAAEA&#10;IAAAACIAAABkcnMvZG93bnJldi54bWxQSwECFAAUAAAACACHTuJAhpD2RhACAAAHBAAADgAAAAAA&#10;AAABACAAAAAmAQAAZHJzL2Uyb0RvYy54bWxQSwUGAAAAAAYABgBZAQAAqAUAAAAA&#10;">
                  <v:path arrowok="t"/>
                  <v:fill on="f" focussize="0,0"/>
                  <v:stroke endarrow="block"/>
                  <v:imagedata o:title=""/>
                  <o:lock v:ext="edit"/>
                </v:shape>
              </w:pict>
            </w:r>
          </w:p>
          <w:p>
            <w:pPr>
              <w:pStyle w:val="14"/>
            </w:pPr>
            <w:r>
              <w:rPr>
                <w:kern w:val="0"/>
                <w:szCs w:val="21"/>
              </w:rPr>
              <w:pict>
                <v:shape id="文本框 85" o:spid="_x0000_s1130" o:spt="202" type="#_x0000_t202" style="position:absolute;left:0pt;margin-left:129.1pt;margin-top:17.2pt;height:19.1pt;width:61.55pt;z-index:25167667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">
                  <v:path/>
                  <v:fill on="f" focussize="0,0"/>
                  <v:stroke on="f" weight="0.5pt" joinstyle="miter"/>
                  <v:imagedata o:title=""/>
                  <o:lock v:ext="edit"/>
                  <v:textbox>
                    <w:txbxContent>
                      <w:p>
                        <w:pPr>
                          <w:rPr>
                            <w:sz w:val="18"/>
                            <w:szCs w:val="18"/>
                          </w:rPr>
                        </w:pPr>
                        <w:r>
                          <w:rPr>
                            <w:rFonts w:hint="eastAsia"/>
                            <w:sz w:val="18"/>
                            <w:szCs w:val="18"/>
                          </w:rPr>
                          <w:t>干化后回用</w:t>
                        </w:r>
                      </w:p>
                    </w:txbxContent>
                  </v:textbox>
                </v:shape>
              </w:pict>
            </w:r>
          </w:p>
          <w:p>
            <w:pPr>
              <w:pStyle w:val="14"/>
            </w:pPr>
            <w:r>
              <w:rPr>
                <w:kern w:val="0"/>
                <w:szCs w:val="21"/>
              </w:rPr>
              <w:pict>
                <v:shape id="文本框 291" o:spid="_x0000_s1131" o:spt="202" type="#_x0000_t202" style="position:absolute;left:0pt;margin-left:113.1pt;margin-top:10.25pt;height:19.1pt;width:178.1pt;z-index:25167462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">
                  <v:path/>
                  <v:fill focussize="0,0"/>
                  <v:stroke on="f" weight="0.5pt" joinstyle="miter"/>
                  <v:imagedata o:title=""/>
                  <o:lock v:ext="edit"/>
                  <v:textbox>
                    <w:txbxContent>
                      <w:p>
                        <w:pPr>
                          <w:rPr>
                            <w:b/>
                            <w:sz w:val="18"/>
                            <w:szCs w:val="18"/>
                          </w:rPr>
                        </w:pPr>
                        <w:r>
                          <w:rPr>
                            <w:rFonts w:hint="eastAsia"/>
                            <w:b/>
                            <w:sz w:val="18"/>
                            <w:szCs w:val="18"/>
                          </w:rPr>
                          <w:t>图4-1：脱硫废液再生回用工艺流程图</w:t>
                        </w:r>
                      </w:p>
                    </w:txbxContent>
                  </v:textbox>
                </v:shape>
              </w:pict>
            </w:r>
          </w:p>
          <w:p>
            <w:pPr>
              <w:spacing w:line="380" w:lineRule="exact"/>
              <w:ind w:firstLine="420" w:firstLineChars="200"/>
              <w:rPr>
                <w:bCs/>
                <w:szCs w:val="28"/>
              </w:rPr>
            </w:pPr>
            <w:r>
              <w:rPr>
                <w:rFonts w:hint="eastAsia"/>
                <w:bCs/>
                <w:szCs w:val="28"/>
              </w:rPr>
              <w:t>再生过程化学反应式如下：</w:t>
            </w:r>
            <w:r>
              <w:rPr>
                <w:bCs/>
                <w:szCs w:val="28"/>
              </w:rPr>
              <w:t>NaHSO</w:t>
            </w:r>
            <w:r>
              <w:rPr>
                <w:bCs/>
                <w:szCs w:val="28"/>
                <w:vertAlign w:val="subscript"/>
              </w:rPr>
              <w:t>3</w:t>
            </w:r>
            <w:r>
              <w:rPr>
                <w:bCs/>
                <w:szCs w:val="28"/>
              </w:rPr>
              <w:t>+</w:t>
            </w:r>
            <w:r>
              <w:rPr>
                <w:rFonts w:hint="eastAsia"/>
                <w:bCs/>
                <w:szCs w:val="28"/>
              </w:rPr>
              <w:t>NaOH</w:t>
            </w:r>
            <w:r>
              <w:rPr>
                <w:bCs/>
                <w:szCs w:val="28"/>
              </w:rPr>
              <w:t>→Na</w:t>
            </w:r>
            <w:r>
              <w:rPr>
                <w:rFonts w:hint="eastAsia"/>
                <w:bCs/>
                <w:szCs w:val="28"/>
                <w:vertAlign w:val="subscript"/>
              </w:rPr>
              <w:t>2</w:t>
            </w:r>
            <w:r>
              <w:rPr>
                <w:bCs/>
                <w:szCs w:val="28"/>
              </w:rPr>
              <w:t>SO</w:t>
            </w:r>
            <w:r>
              <w:rPr>
                <w:bCs/>
                <w:szCs w:val="28"/>
                <w:vertAlign w:val="subscript"/>
              </w:rPr>
              <w:t>3</w:t>
            </w:r>
            <w:r>
              <w:rPr>
                <w:bCs/>
                <w:szCs w:val="28"/>
              </w:rPr>
              <w:t>+H</w:t>
            </w:r>
            <w:r>
              <w:rPr>
                <w:bCs/>
                <w:szCs w:val="28"/>
                <w:vertAlign w:val="subscript"/>
              </w:rPr>
              <w:t>2</w:t>
            </w:r>
            <w:r>
              <w:rPr>
                <w:bCs/>
                <w:szCs w:val="28"/>
              </w:rPr>
              <w:t>O。</w:t>
            </w:r>
          </w:p>
          <w:p>
            <w:pPr>
              <w:autoSpaceDE w:val="0"/>
              <w:autoSpaceDN w:val="0"/>
              <w:adjustRightInd w:val="0"/>
              <w:snapToGrid w:val="0"/>
              <w:spacing w:line="380" w:lineRule="exact"/>
              <w:ind w:firstLine="420" w:firstLineChars="200"/>
              <w:rPr>
                <w:bCs/>
                <w:szCs w:val="28"/>
              </w:rPr>
            </w:pPr>
            <w:r>
              <w:rPr>
                <w:bCs/>
                <w:szCs w:val="28"/>
              </w:rPr>
              <w:t>在</w:t>
            </w:r>
            <w:r>
              <w:rPr>
                <w:rFonts w:hint="eastAsia"/>
                <w:bCs/>
                <w:szCs w:val="28"/>
              </w:rPr>
              <w:t>碱液中</w:t>
            </w:r>
            <w:r>
              <w:rPr>
                <w:bCs/>
                <w:szCs w:val="28"/>
              </w:rPr>
              <w:t>，中性（两性）的NaHSO</w:t>
            </w:r>
            <w:r>
              <w:rPr>
                <w:bCs/>
                <w:szCs w:val="28"/>
                <w:vertAlign w:val="subscript"/>
              </w:rPr>
              <w:t>3</w:t>
            </w:r>
            <w:r>
              <w:rPr>
                <w:bCs/>
                <w:szCs w:val="28"/>
              </w:rPr>
              <w:t>很快跟</w:t>
            </w:r>
            <w:r>
              <w:rPr>
                <w:rFonts w:hint="eastAsia"/>
                <w:bCs/>
                <w:szCs w:val="28"/>
              </w:rPr>
              <w:t>NaOH</w:t>
            </w:r>
            <w:r>
              <w:rPr>
                <w:bCs/>
                <w:szCs w:val="28"/>
              </w:rPr>
              <w:t>反应</w:t>
            </w:r>
            <w:r>
              <w:rPr>
                <w:rFonts w:hint="eastAsia"/>
                <w:bCs/>
                <w:szCs w:val="28"/>
              </w:rPr>
              <w:t>，氢氧化钠中和</w:t>
            </w:r>
            <w:r>
              <w:rPr>
                <w:bCs/>
                <w:szCs w:val="28"/>
              </w:rPr>
              <w:t>NaHSO</w:t>
            </w:r>
            <w:r>
              <w:rPr>
                <w:bCs/>
                <w:szCs w:val="28"/>
                <w:vertAlign w:val="subscript"/>
              </w:rPr>
              <w:t>3</w:t>
            </w:r>
            <w:r>
              <w:rPr>
                <w:rFonts w:hint="eastAsia"/>
                <w:bCs/>
                <w:szCs w:val="28"/>
              </w:rPr>
              <w:t>中的氢形成水</w:t>
            </w:r>
            <w:r>
              <w:rPr>
                <w:bCs/>
                <w:szCs w:val="28"/>
              </w:rPr>
              <w:t>，吸收液恢复对SO</w:t>
            </w:r>
            <w:r>
              <w:rPr>
                <w:bCs/>
                <w:szCs w:val="28"/>
                <w:vertAlign w:val="subscript"/>
              </w:rPr>
              <w:t>2</w:t>
            </w:r>
            <w:r>
              <w:rPr>
                <w:bCs/>
                <w:szCs w:val="28"/>
              </w:rPr>
              <w:t>的吸收能力，循环使用。</w:t>
            </w:r>
            <w:r>
              <w:rPr>
                <w:rFonts w:hint="eastAsia"/>
                <w:bCs/>
                <w:szCs w:val="28"/>
              </w:rPr>
              <w:t>由于脱硫废液中会有少量的粉尘、重金属沉淀物，</w:t>
            </w:r>
            <w:r>
              <w:rPr>
                <w:bCs/>
                <w:szCs w:val="28"/>
              </w:rPr>
              <w:t>回收</w:t>
            </w:r>
            <w:r>
              <w:rPr>
                <w:rFonts w:hint="eastAsia"/>
                <w:bCs/>
                <w:szCs w:val="28"/>
              </w:rPr>
              <w:t>后混入原料中制砖</w:t>
            </w:r>
            <w:r>
              <w:rPr>
                <w:bCs/>
                <w:szCs w:val="28"/>
              </w:rPr>
              <w:t>。</w:t>
            </w:r>
          </w:p>
          <w:p>
            <w:pPr>
              <w:spacing w:line="380" w:lineRule="exact"/>
              <w:ind w:firstLine="422" w:firstLineChars="200"/>
              <w:rPr>
                <w:b/>
                <w:bCs/>
                <w:szCs w:val="28"/>
              </w:rPr>
            </w:pPr>
            <w:r>
              <w:rPr>
                <w:rFonts w:hint="eastAsia"/>
                <w:b/>
                <w:bCs/>
                <w:szCs w:val="28"/>
              </w:rPr>
              <w:t>废水闭路循环的可靠性：</w:t>
            </w:r>
          </w:p>
          <w:p>
            <w:pPr>
              <w:autoSpaceDE w:val="0"/>
              <w:autoSpaceDN w:val="0"/>
              <w:adjustRightInd w:val="0"/>
              <w:snapToGrid w:val="0"/>
              <w:spacing w:line="380" w:lineRule="exact"/>
              <w:ind w:firstLine="420" w:firstLineChars="200"/>
              <w:rPr>
                <w:bCs/>
                <w:szCs w:val="28"/>
              </w:rPr>
            </w:pPr>
            <w:r>
              <w:rPr>
                <w:rFonts w:hint="eastAsia"/>
                <w:bCs/>
                <w:szCs w:val="28"/>
              </w:rPr>
              <w:t>脱硫废水中含有大量可利用的化学成分，可加入碱液物质进行再生，作为脱硫剂回用。因此，无论是从减小脱硫设施的运行成本，亦或将废物综合利用减小对周围环境的污染影响等方面，将脱硫废水收集后经再生回用，都是较有经济效益和社会效益的。</w:t>
            </w:r>
          </w:p>
          <w:p>
            <w:pPr>
              <w:autoSpaceDE w:val="0"/>
              <w:autoSpaceDN w:val="0"/>
              <w:adjustRightInd w:val="0"/>
              <w:snapToGrid w:val="0"/>
              <w:spacing w:line="380" w:lineRule="exact"/>
              <w:ind w:firstLine="420" w:firstLineChars="200"/>
              <w:rPr>
                <w:bCs/>
                <w:szCs w:val="28"/>
              </w:rPr>
            </w:pPr>
            <w:r>
              <w:rPr>
                <w:rFonts w:hint="eastAsia"/>
                <w:bCs/>
                <w:szCs w:val="28"/>
              </w:rPr>
              <w:t>根据类比“钠碱湿法”脱硫工艺在同类项目的实际运行经验，脱硫塔内的脱硫液总量约为172.63m</w:t>
            </w:r>
            <w:r>
              <w:rPr>
                <w:rFonts w:hint="eastAsia"/>
                <w:bCs/>
                <w:szCs w:val="28"/>
                <w:vertAlign w:val="superscript"/>
              </w:rPr>
              <w:t>3</w:t>
            </w:r>
            <w:r>
              <w:rPr>
                <w:rFonts w:hint="eastAsia"/>
                <w:bCs/>
                <w:szCs w:val="28"/>
              </w:rPr>
              <w:t>/h，每日补充水量为</w:t>
            </w:r>
            <w:r>
              <w:rPr>
                <w:rFonts w:hint="eastAsia"/>
                <w:kern w:val="0"/>
                <w:szCs w:val="21"/>
              </w:rPr>
              <w:t>20.712</w:t>
            </w:r>
            <w:r>
              <w:rPr>
                <w:rFonts w:hint="eastAsia"/>
                <w:bCs/>
                <w:szCs w:val="28"/>
              </w:rPr>
              <w:t>m</w:t>
            </w:r>
            <w:r>
              <w:rPr>
                <w:rFonts w:hint="eastAsia"/>
                <w:bCs/>
                <w:szCs w:val="28"/>
                <w:vertAlign w:val="superscript"/>
              </w:rPr>
              <w:t>3</w:t>
            </w:r>
            <w:r>
              <w:rPr>
                <w:rFonts w:hint="eastAsia"/>
                <w:bCs/>
                <w:szCs w:val="28"/>
              </w:rPr>
              <w:t>/d。脱硫废水从脱硫塔底部流入沉淀池，大部分杂质经自然沉淀，废液通过溢流口自流进入再生池，与碱液反应后恢复</w:t>
            </w:r>
            <w:r>
              <w:rPr>
                <w:bCs/>
                <w:szCs w:val="28"/>
              </w:rPr>
              <w:t>对SO</w:t>
            </w:r>
            <w:r>
              <w:rPr>
                <w:bCs/>
                <w:szCs w:val="28"/>
                <w:vertAlign w:val="subscript"/>
              </w:rPr>
              <w:t>2</w:t>
            </w:r>
            <w:r>
              <w:rPr>
                <w:bCs/>
                <w:szCs w:val="28"/>
              </w:rPr>
              <w:t>的吸收能力循环使用</w:t>
            </w:r>
            <w:r>
              <w:rPr>
                <w:rFonts w:hint="eastAsia"/>
                <w:bCs/>
                <w:szCs w:val="28"/>
              </w:rPr>
              <w:t>。池内安装有水泵，进行回用。由于废水的处理回用属于一个动态的过程，可保持废水一直处于循环状态，且处理设施的总容积远大于废水产生量。因此，脱硫废水的闭路循环回用是可行的。</w:t>
            </w:r>
          </w:p>
          <w:p>
            <w:pPr>
              <w:autoSpaceDE w:val="0"/>
              <w:autoSpaceDN w:val="0"/>
              <w:adjustRightInd w:val="0"/>
              <w:snapToGrid w:val="0"/>
              <w:spacing w:line="400" w:lineRule="exact"/>
              <w:ind w:firstLine="420" w:firstLineChars="200"/>
              <w:jc w:val="left"/>
              <w:rPr>
                <w:bCs/>
                <w:szCs w:val="28"/>
              </w:rPr>
            </w:pPr>
            <w:r>
              <w:rPr>
                <w:rFonts w:hint="eastAsia"/>
                <w:bCs/>
                <w:szCs w:val="28"/>
              </w:rPr>
              <w:t>本项目现有工程建成运行以来，脱硫废液循环系统一直保持稳定的运行；本次技改后，不新增烟气量且二氧化硫的排放量也减小了，不会对现有脱硫系统及废液循环系统造成冲击。同时，循环系统的各水池均采取了防雨、防渗措施，在运行时也应加强维护管理，保证其稳定运行。</w:t>
            </w:r>
          </w:p>
          <w:p>
            <w:pPr>
              <w:autoSpaceDE w:val="0"/>
              <w:autoSpaceDN w:val="0"/>
              <w:adjustRightInd w:val="0"/>
              <w:snapToGrid w:val="0"/>
              <w:spacing w:line="400" w:lineRule="exact"/>
              <w:ind w:firstLine="420" w:firstLineChars="200"/>
              <w:jc w:val="left"/>
              <w:rPr>
                <w:bCs/>
                <w:szCs w:val="28"/>
              </w:rPr>
            </w:pPr>
            <w:r>
              <w:rPr>
                <w:rFonts w:hint="eastAsia"/>
                <w:bCs/>
                <w:szCs w:val="28"/>
              </w:rPr>
              <w:t>本项目污泥烘干生产线拟新增一套“钠碱湿法”脱硫系统，配套脱硫废液沉淀与再生池100m</w:t>
            </w:r>
            <w:r>
              <w:rPr>
                <w:rFonts w:hint="eastAsia"/>
                <w:bCs/>
                <w:szCs w:val="28"/>
                <w:vertAlign w:val="superscript"/>
              </w:rPr>
              <w:t>3</w:t>
            </w:r>
            <w:r>
              <w:rPr>
                <w:rFonts w:hint="eastAsia"/>
                <w:bCs/>
                <w:szCs w:val="28"/>
              </w:rPr>
              <w:t>，采用与现有脱硫系统同种工艺。经分析，脱硫塔内的脱硫液总量约为20m</w:t>
            </w:r>
            <w:r>
              <w:rPr>
                <w:rFonts w:hint="eastAsia"/>
                <w:bCs/>
                <w:szCs w:val="28"/>
                <w:vertAlign w:val="superscript"/>
              </w:rPr>
              <w:t>3</w:t>
            </w:r>
            <w:r>
              <w:rPr>
                <w:rFonts w:hint="eastAsia"/>
                <w:bCs/>
                <w:szCs w:val="28"/>
              </w:rPr>
              <w:t>/h，每日补充水量为</w:t>
            </w:r>
            <w:r>
              <w:rPr>
                <w:rFonts w:hint="eastAsia"/>
                <w:kern w:val="0"/>
                <w:szCs w:val="21"/>
              </w:rPr>
              <w:t>0.8</w:t>
            </w:r>
            <w:r>
              <w:rPr>
                <w:rFonts w:hint="eastAsia"/>
                <w:bCs/>
                <w:szCs w:val="28"/>
              </w:rPr>
              <w:t>m</w:t>
            </w:r>
            <w:r>
              <w:rPr>
                <w:rFonts w:hint="eastAsia"/>
                <w:bCs/>
                <w:szCs w:val="28"/>
                <w:vertAlign w:val="superscript"/>
              </w:rPr>
              <w:t>3</w:t>
            </w:r>
            <w:r>
              <w:rPr>
                <w:rFonts w:hint="eastAsia"/>
                <w:bCs/>
                <w:szCs w:val="28"/>
              </w:rPr>
              <w:t>/d，能够贮存5h的脱硫废水，实现脱硫废水循环回用。</w:t>
            </w:r>
          </w:p>
          <w:p>
            <w:pPr>
              <w:autoSpaceDE w:val="0"/>
              <w:autoSpaceDN w:val="0"/>
              <w:adjustRightInd w:val="0"/>
              <w:snapToGrid w:val="0"/>
              <w:spacing w:line="404" w:lineRule="exact"/>
              <w:ind w:firstLine="420" w:firstLineChars="200"/>
              <w:jc w:val="left"/>
              <w:rPr>
                <w:kern w:val="0"/>
                <w:szCs w:val="21"/>
              </w:rPr>
            </w:pPr>
            <w:r>
              <w:rPr>
                <w:rFonts w:hint="eastAsia"/>
                <w:bCs/>
                <w:szCs w:val="28"/>
              </w:rPr>
              <w:t>②车辆冲洗废水</w:t>
            </w:r>
          </w:p>
          <w:p>
            <w:pPr>
              <w:autoSpaceDE w:val="0"/>
              <w:autoSpaceDN w:val="0"/>
              <w:adjustRightInd w:val="0"/>
              <w:snapToGrid w:val="0"/>
              <w:spacing w:line="404" w:lineRule="exact"/>
              <w:ind w:firstLine="420" w:firstLineChars="200"/>
              <w:jc w:val="left"/>
              <w:rPr>
                <w:bCs/>
                <w:szCs w:val="28"/>
              </w:rPr>
            </w:pPr>
            <w:r>
              <w:rPr>
                <w:rFonts w:hint="eastAsia"/>
                <w:bCs/>
                <w:szCs w:val="28"/>
              </w:rPr>
              <w:t>车辆冲洗平台布置于项目厂区入口，每日安排专人对进出车辆进行防尘冲洗。根据工程分析，车辆冲洗废水产生量为1.6</w:t>
            </w:r>
            <w:r>
              <w:rPr>
                <w:bCs/>
                <w:szCs w:val="28"/>
              </w:rPr>
              <w:t>m</w:t>
            </w:r>
            <w:r>
              <w:rPr>
                <w:bCs/>
                <w:szCs w:val="28"/>
                <w:vertAlign w:val="superscript"/>
              </w:rPr>
              <w:t>3</w:t>
            </w:r>
            <w:r>
              <w:rPr>
                <w:bCs/>
                <w:szCs w:val="28"/>
              </w:rPr>
              <w:t>/d。冲洗废水主要通过设置配套的沉淀池（容积约</w:t>
            </w:r>
            <w:r>
              <w:rPr>
                <w:rFonts w:hint="eastAsia"/>
                <w:bCs/>
                <w:szCs w:val="28"/>
              </w:rPr>
              <w:t>4</w:t>
            </w:r>
            <w:r>
              <w:rPr>
                <w:bCs/>
                <w:szCs w:val="28"/>
              </w:rPr>
              <w:t>m</w:t>
            </w:r>
            <w:r>
              <w:rPr>
                <w:bCs/>
                <w:szCs w:val="28"/>
                <w:vertAlign w:val="superscript"/>
              </w:rPr>
              <w:t>3</w:t>
            </w:r>
            <w:r>
              <w:rPr>
                <w:bCs/>
                <w:szCs w:val="28"/>
              </w:rPr>
              <w:t>/d），收集沉淀后循环回用不外排。</w:t>
            </w:r>
          </w:p>
          <w:p>
            <w:pPr>
              <w:autoSpaceDE w:val="0"/>
              <w:autoSpaceDN w:val="0"/>
              <w:adjustRightInd w:val="0"/>
              <w:snapToGrid w:val="0"/>
              <w:spacing w:line="404" w:lineRule="exact"/>
              <w:ind w:firstLine="420" w:firstLineChars="200"/>
              <w:jc w:val="left"/>
              <w:rPr>
                <w:kern w:val="0"/>
                <w:szCs w:val="21"/>
              </w:rPr>
            </w:pPr>
            <w:r>
              <w:rPr>
                <w:rFonts w:hint="eastAsia"/>
                <w:kern w:val="0"/>
                <w:szCs w:val="21"/>
              </w:rPr>
              <w:t>③场地散排水的防治</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本项目场地散排水主要来自降雨季节，雨水冲刷。项目原料堆场通过采取封闭式措施，四周建设截排水沟，能够避免雨水汇入堆场造成冲刷。厂区四周的截排水沟能够将厂区四周的雨水引至附近雨水沟排放。项目整个厂区四周设截排水沟，避免雨水冲刷。</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2）生活污水</w:t>
            </w:r>
          </w:p>
          <w:p>
            <w:pPr>
              <w:autoSpaceDE w:val="0"/>
              <w:autoSpaceDN w:val="0"/>
              <w:adjustRightInd w:val="0"/>
              <w:snapToGrid w:val="0"/>
              <w:spacing w:line="400" w:lineRule="exact"/>
              <w:ind w:firstLine="420" w:firstLineChars="200"/>
              <w:jc w:val="left"/>
              <w:rPr>
                <w:bCs/>
                <w:szCs w:val="28"/>
              </w:rPr>
            </w:pPr>
            <w:r>
              <w:rPr>
                <w:kern w:val="0"/>
                <w:szCs w:val="21"/>
              </w:rPr>
              <w:t>本项目工作人员办公生活的污水产生量为</w:t>
            </w:r>
            <w:r>
              <w:rPr>
                <w:rFonts w:hint="eastAsia"/>
                <w:bCs/>
                <w:szCs w:val="28"/>
              </w:rPr>
              <w:t>1.8</w:t>
            </w:r>
            <w:r>
              <w:rPr>
                <w:bCs/>
                <w:szCs w:val="28"/>
              </w:rPr>
              <w:t>m</w:t>
            </w:r>
            <w:r>
              <w:rPr>
                <w:bCs/>
                <w:szCs w:val="28"/>
                <w:vertAlign w:val="superscript"/>
              </w:rPr>
              <w:t>3</w:t>
            </w:r>
            <w:r>
              <w:rPr>
                <w:bCs/>
                <w:szCs w:val="28"/>
              </w:rPr>
              <w:t>/d。</w:t>
            </w:r>
          </w:p>
          <w:p>
            <w:pPr>
              <w:autoSpaceDE w:val="0"/>
              <w:autoSpaceDN w:val="0"/>
              <w:adjustRightInd w:val="0"/>
              <w:snapToGrid w:val="0"/>
              <w:spacing w:line="400" w:lineRule="exact"/>
              <w:ind w:firstLine="422" w:firstLineChars="200"/>
              <w:jc w:val="left"/>
              <w:rPr>
                <w:kern w:val="0"/>
                <w:szCs w:val="21"/>
              </w:rPr>
            </w:pPr>
            <w:r>
              <w:rPr>
                <w:b/>
                <w:bCs/>
                <w:szCs w:val="28"/>
              </w:rPr>
              <w:t>采取的处理措施：</w:t>
            </w:r>
            <w:r>
              <w:rPr>
                <w:bCs/>
                <w:szCs w:val="28"/>
              </w:rPr>
              <w:t>项目</w:t>
            </w:r>
            <w:r>
              <w:rPr>
                <w:rFonts w:hint="eastAsia"/>
                <w:bCs/>
                <w:szCs w:val="28"/>
              </w:rPr>
              <w:t>现有工程已修建化粪池1个（容积20m</w:t>
            </w:r>
            <w:r>
              <w:rPr>
                <w:rFonts w:hint="eastAsia"/>
                <w:bCs/>
                <w:szCs w:val="28"/>
                <w:vertAlign w:val="superscript"/>
              </w:rPr>
              <w:t>3</w:t>
            </w:r>
            <w:r>
              <w:rPr>
                <w:rFonts w:hint="eastAsia"/>
                <w:bCs/>
                <w:szCs w:val="28"/>
              </w:rPr>
              <w:t>）。生活污水排入旱厕，处理后的生活污水全部作为周围农田的农肥消纳，不外排。</w:t>
            </w:r>
          </w:p>
          <w:p>
            <w:pPr>
              <w:autoSpaceDE w:val="0"/>
              <w:autoSpaceDN w:val="0"/>
              <w:adjustRightInd w:val="0"/>
              <w:snapToGrid w:val="0"/>
              <w:spacing w:line="400" w:lineRule="exact"/>
              <w:ind w:firstLine="422" w:firstLineChars="200"/>
              <w:jc w:val="left"/>
              <w:rPr>
                <w:b/>
                <w:kern w:val="0"/>
                <w:szCs w:val="21"/>
              </w:rPr>
            </w:pPr>
            <w:r>
              <w:rPr>
                <w:b/>
                <w:kern w:val="0"/>
                <w:szCs w:val="21"/>
              </w:rPr>
              <w:t>（</w:t>
            </w:r>
            <w:r>
              <w:rPr>
                <w:rFonts w:hint="eastAsia"/>
                <w:b/>
                <w:kern w:val="0"/>
                <w:szCs w:val="21"/>
              </w:rPr>
              <w:t>3</w:t>
            </w:r>
            <w:r>
              <w:rPr>
                <w:b/>
                <w:kern w:val="0"/>
                <w:szCs w:val="21"/>
              </w:rPr>
              <w:t>）废水治理设施信息</w:t>
            </w:r>
          </w:p>
          <w:p>
            <w:pPr>
              <w:pStyle w:val="14"/>
              <w:spacing w:after="0" w:line="400" w:lineRule="exact"/>
              <w:jc w:val="center"/>
              <w:rPr>
                <w:rFonts w:eastAsia="黑体"/>
                <w:sz w:val="18"/>
                <w:szCs w:val="18"/>
              </w:rPr>
            </w:pPr>
            <w:r>
              <w:rPr>
                <w:rFonts w:eastAsia="黑体"/>
                <w:bCs/>
                <w:sz w:val="18"/>
                <w:szCs w:val="18"/>
              </w:rPr>
              <w:t>表</w:t>
            </w:r>
            <w:r>
              <w:rPr>
                <w:rFonts w:hint="eastAsia" w:eastAsia="黑体"/>
                <w:bCs/>
                <w:sz w:val="18"/>
                <w:szCs w:val="18"/>
              </w:rPr>
              <w:t>4-2</w:t>
            </w:r>
            <w:r>
              <w:rPr>
                <w:rFonts w:eastAsia="黑体"/>
                <w:bCs/>
                <w:sz w:val="18"/>
                <w:szCs w:val="18"/>
              </w:rPr>
              <w:tab/>
            </w:r>
            <w:r>
              <w:rPr>
                <w:rFonts w:eastAsia="黑体"/>
                <w:bCs/>
                <w:sz w:val="18"/>
                <w:szCs w:val="18"/>
              </w:rPr>
              <w:t>废水类别、污染物及污染治理设施信息表</w:t>
            </w:r>
          </w:p>
          <w:tbl>
            <w:tblPr>
              <w:tblStyle w:val="20"/>
              <w:tblW w:w="798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7"/>
              <w:gridCol w:w="992"/>
              <w:gridCol w:w="988"/>
              <w:gridCol w:w="441"/>
              <w:gridCol w:w="436"/>
              <w:gridCol w:w="619"/>
              <w:gridCol w:w="652"/>
              <w:gridCol w:w="704"/>
              <w:gridCol w:w="674"/>
              <w:gridCol w:w="568"/>
              <w:gridCol w:w="939"/>
              <w:gridCol w:w="5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 w:hRule="atLeast"/>
                <w:jc w:val="center"/>
              </w:trPr>
              <w:tc>
                <w:tcPr>
                  <w:tcW w:w="437" w:type="dxa"/>
                  <w:vMerge w:val="restart"/>
                  <w:vAlign w:val="center"/>
                </w:tcPr>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序号</w:t>
                  </w:r>
                </w:p>
              </w:tc>
              <w:tc>
                <w:tcPr>
                  <w:tcW w:w="992" w:type="dxa"/>
                  <w:vMerge w:val="restart"/>
                  <w:vAlign w:val="center"/>
                </w:tcPr>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废水</w:t>
                  </w:r>
                </w:p>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类别</w:t>
                  </w:r>
                </w:p>
              </w:tc>
              <w:tc>
                <w:tcPr>
                  <w:tcW w:w="988" w:type="dxa"/>
                  <w:vMerge w:val="restart"/>
                  <w:vAlign w:val="center"/>
                </w:tcPr>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污染物</w:t>
                  </w:r>
                </w:p>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种类</w:t>
                  </w:r>
                </w:p>
              </w:tc>
              <w:tc>
                <w:tcPr>
                  <w:tcW w:w="441" w:type="dxa"/>
                  <w:vMerge w:val="restart"/>
                  <w:vAlign w:val="center"/>
                </w:tcPr>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排放</w:t>
                  </w:r>
                </w:p>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去向</w:t>
                  </w:r>
                </w:p>
              </w:tc>
              <w:tc>
                <w:tcPr>
                  <w:tcW w:w="436" w:type="dxa"/>
                  <w:vMerge w:val="restart"/>
                  <w:vAlign w:val="center"/>
                </w:tcPr>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排放</w:t>
                  </w:r>
                </w:p>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规律</w:t>
                  </w:r>
                </w:p>
              </w:tc>
              <w:tc>
                <w:tcPr>
                  <w:tcW w:w="2649" w:type="dxa"/>
                  <w:gridSpan w:val="4"/>
                  <w:vAlign w:val="center"/>
                </w:tcPr>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污染治理设施</w:t>
                  </w:r>
                </w:p>
              </w:tc>
              <w:tc>
                <w:tcPr>
                  <w:tcW w:w="568" w:type="dxa"/>
                  <w:vMerge w:val="restart"/>
                  <w:vAlign w:val="center"/>
                </w:tcPr>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排放口编号</w:t>
                  </w:r>
                </w:p>
              </w:tc>
              <w:tc>
                <w:tcPr>
                  <w:tcW w:w="939" w:type="dxa"/>
                  <w:vMerge w:val="restart"/>
                  <w:vAlign w:val="center"/>
                </w:tcPr>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排放口设置</w:t>
                  </w:r>
                </w:p>
                <w:p>
                  <w:pPr>
                    <w:pStyle w:val="41"/>
                    <w:spacing w:before="0" w:beforeAutospacing="0" w:line="240" w:lineRule="exact"/>
                    <w:rPr>
                      <w:rFonts w:ascii="Times New Roman" w:hAnsi="Times New Roman"/>
                      <w:sz w:val="15"/>
                      <w:szCs w:val="15"/>
                    </w:rPr>
                  </w:pPr>
                  <w:r>
                    <w:rPr>
                      <w:rFonts w:ascii="Times New Roman" w:hAnsi="Times New Roman"/>
                      <w:sz w:val="15"/>
                      <w:szCs w:val="15"/>
                    </w:rPr>
                    <w:t>是否符合要求</w:t>
                  </w:r>
                </w:p>
              </w:tc>
              <w:tc>
                <w:tcPr>
                  <w:tcW w:w="532" w:type="dxa"/>
                  <w:vMerge w:val="restart"/>
                  <w:vAlign w:val="center"/>
                </w:tcPr>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排放口</w:t>
                  </w:r>
                </w:p>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4" w:hRule="atLeast"/>
                <w:jc w:val="center"/>
              </w:trPr>
              <w:tc>
                <w:tcPr>
                  <w:tcW w:w="437" w:type="dxa"/>
                  <w:vMerge w:val="continue"/>
                  <w:vAlign w:val="center"/>
                </w:tcPr>
                <w:p>
                  <w:pPr>
                    <w:widowControl/>
                    <w:spacing w:line="240" w:lineRule="exact"/>
                    <w:jc w:val="center"/>
                    <w:rPr>
                      <w:sz w:val="15"/>
                      <w:szCs w:val="15"/>
                    </w:rPr>
                  </w:pPr>
                </w:p>
              </w:tc>
              <w:tc>
                <w:tcPr>
                  <w:tcW w:w="992" w:type="dxa"/>
                  <w:vMerge w:val="continue"/>
                  <w:vAlign w:val="center"/>
                </w:tcPr>
                <w:p>
                  <w:pPr>
                    <w:widowControl/>
                    <w:spacing w:line="240" w:lineRule="exact"/>
                    <w:jc w:val="center"/>
                    <w:rPr>
                      <w:sz w:val="15"/>
                      <w:szCs w:val="15"/>
                    </w:rPr>
                  </w:pPr>
                </w:p>
              </w:tc>
              <w:tc>
                <w:tcPr>
                  <w:tcW w:w="988" w:type="dxa"/>
                  <w:vMerge w:val="continue"/>
                  <w:vAlign w:val="center"/>
                </w:tcPr>
                <w:p>
                  <w:pPr>
                    <w:widowControl/>
                    <w:spacing w:line="240" w:lineRule="exact"/>
                    <w:jc w:val="center"/>
                    <w:rPr>
                      <w:sz w:val="15"/>
                      <w:szCs w:val="15"/>
                    </w:rPr>
                  </w:pPr>
                </w:p>
              </w:tc>
              <w:tc>
                <w:tcPr>
                  <w:tcW w:w="441" w:type="dxa"/>
                  <w:vMerge w:val="continue"/>
                  <w:vAlign w:val="center"/>
                </w:tcPr>
                <w:p>
                  <w:pPr>
                    <w:widowControl/>
                    <w:spacing w:line="240" w:lineRule="exact"/>
                    <w:jc w:val="center"/>
                    <w:rPr>
                      <w:sz w:val="15"/>
                      <w:szCs w:val="15"/>
                    </w:rPr>
                  </w:pPr>
                </w:p>
              </w:tc>
              <w:tc>
                <w:tcPr>
                  <w:tcW w:w="436" w:type="dxa"/>
                  <w:vMerge w:val="continue"/>
                  <w:vAlign w:val="center"/>
                </w:tcPr>
                <w:p>
                  <w:pPr>
                    <w:widowControl/>
                    <w:spacing w:line="240" w:lineRule="exact"/>
                    <w:jc w:val="center"/>
                    <w:rPr>
                      <w:sz w:val="15"/>
                      <w:szCs w:val="15"/>
                    </w:rPr>
                  </w:pPr>
                </w:p>
              </w:tc>
              <w:tc>
                <w:tcPr>
                  <w:tcW w:w="619" w:type="dxa"/>
                  <w:vAlign w:val="center"/>
                </w:tcPr>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编号</w:t>
                  </w:r>
                </w:p>
              </w:tc>
              <w:tc>
                <w:tcPr>
                  <w:tcW w:w="652" w:type="dxa"/>
                  <w:vAlign w:val="center"/>
                </w:tcPr>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名称</w:t>
                  </w:r>
                </w:p>
              </w:tc>
              <w:tc>
                <w:tcPr>
                  <w:tcW w:w="704" w:type="dxa"/>
                  <w:tcBorders>
                    <w:right w:val="single" w:color="auto" w:sz="4" w:space="0"/>
                  </w:tcBorders>
                  <w:vAlign w:val="center"/>
                </w:tcPr>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工艺</w:t>
                  </w:r>
                </w:p>
              </w:tc>
              <w:tc>
                <w:tcPr>
                  <w:tcW w:w="674" w:type="dxa"/>
                  <w:tcBorders>
                    <w:left w:val="single" w:color="auto" w:sz="4" w:space="0"/>
                  </w:tcBorders>
                  <w:vAlign w:val="center"/>
                </w:tcPr>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是否为可行技术</w:t>
                  </w:r>
                </w:p>
              </w:tc>
              <w:tc>
                <w:tcPr>
                  <w:tcW w:w="568" w:type="dxa"/>
                  <w:vMerge w:val="continue"/>
                  <w:vAlign w:val="center"/>
                </w:tcPr>
                <w:p>
                  <w:pPr>
                    <w:pStyle w:val="41"/>
                    <w:spacing w:line="240" w:lineRule="exact"/>
                    <w:rPr>
                      <w:sz w:val="15"/>
                      <w:szCs w:val="15"/>
                    </w:rPr>
                  </w:pPr>
                </w:p>
              </w:tc>
              <w:tc>
                <w:tcPr>
                  <w:tcW w:w="939" w:type="dxa"/>
                  <w:vMerge w:val="continue"/>
                  <w:vAlign w:val="center"/>
                </w:tcPr>
                <w:p>
                  <w:pPr>
                    <w:widowControl/>
                    <w:spacing w:line="240" w:lineRule="exact"/>
                    <w:jc w:val="center"/>
                    <w:rPr>
                      <w:sz w:val="15"/>
                      <w:szCs w:val="15"/>
                    </w:rPr>
                  </w:pPr>
                </w:p>
              </w:tc>
              <w:tc>
                <w:tcPr>
                  <w:tcW w:w="532" w:type="dxa"/>
                  <w:vMerge w:val="continue"/>
                  <w:vAlign w:val="center"/>
                </w:tcPr>
                <w:p>
                  <w:pPr>
                    <w:widowControl/>
                    <w:spacing w:line="240" w:lineRule="exact"/>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4" w:hRule="atLeast"/>
                <w:jc w:val="center"/>
              </w:trPr>
              <w:tc>
                <w:tcPr>
                  <w:tcW w:w="437" w:type="dxa"/>
                  <w:vAlign w:val="center"/>
                </w:tcPr>
                <w:p>
                  <w:pPr>
                    <w:pStyle w:val="41"/>
                    <w:spacing w:before="0" w:beforeAutospacing="0" w:line="240" w:lineRule="exact"/>
                    <w:jc w:val="center"/>
                    <w:rPr>
                      <w:rFonts w:ascii="Times New Roman" w:hAnsi="Times New Roman"/>
                      <w:sz w:val="15"/>
                      <w:szCs w:val="15"/>
                    </w:rPr>
                  </w:pPr>
                  <w:r>
                    <w:rPr>
                      <w:rFonts w:ascii="Times New Roman" w:hAnsi="Times New Roman" w:eastAsia="Calibri"/>
                      <w:sz w:val="15"/>
                      <w:szCs w:val="15"/>
                    </w:rPr>
                    <w:t>1</w:t>
                  </w:r>
                </w:p>
              </w:tc>
              <w:tc>
                <w:tcPr>
                  <w:tcW w:w="992" w:type="dxa"/>
                  <w:vAlign w:val="center"/>
                </w:tcPr>
                <w:p>
                  <w:pPr>
                    <w:spacing w:line="240" w:lineRule="exact"/>
                    <w:jc w:val="center"/>
                    <w:rPr>
                      <w:sz w:val="15"/>
                      <w:szCs w:val="15"/>
                    </w:rPr>
                  </w:pPr>
                  <w:r>
                    <w:rPr>
                      <w:sz w:val="15"/>
                      <w:szCs w:val="15"/>
                    </w:rPr>
                    <w:t>生活污水</w:t>
                  </w:r>
                </w:p>
              </w:tc>
              <w:tc>
                <w:tcPr>
                  <w:tcW w:w="988" w:type="dxa"/>
                  <w:vAlign w:val="center"/>
                </w:tcPr>
                <w:p>
                  <w:pPr>
                    <w:pStyle w:val="41"/>
                    <w:spacing w:before="0" w:beforeAutospacing="0" w:line="240" w:lineRule="exact"/>
                    <w:jc w:val="center"/>
                    <w:rPr>
                      <w:rFonts w:ascii="Times New Roman" w:hAnsi="Times New Roman"/>
                      <w:sz w:val="15"/>
                      <w:szCs w:val="15"/>
                    </w:rPr>
                  </w:pPr>
                  <w:r>
                    <w:rPr>
                      <w:rFonts w:ascii="Times New Roman" w:hAnsi="Times New Roman"/>
                      <w:spacing w:val="-1"/>
                      <w:sz w:val="15"/>
                      <w:szCs w:val="15"/>
                    </w:rPr>
                    <w:t>COD、</w:t>
                  </w:r>
                  <w:r>
                    <w:rPr>
                      <w:rFonts w:ascii="Times New Roman" w:hAnsi="Times New Roman" w:eastAsia="Calibri"/>
                      <w:spacing w:val="-1"/>
                      <w:position w:val="1"/>
                      <w:sz w:val="15"/>
                      <w:szCs w:val="15"/>
                    </w:rPr>
                    <w:t>NH</w:t>
                  </w:r>
                  <w:r>
                    <w:rPr>
                      <w:rFonts w:ascii="Times New Roman" w:hAnsi="Times New Roman" w:eastAsia="Calibri"/>
                      <w:spacing w:val="-1"/>
                      <w:sz w:val="15"/>
                      <w:szCs w:val="15"/>
                      <w:vertAlign w:val="subscript"/>
                    </w:rPr>
                    <w:t>3</w:t>
                  </w:r>
                  <w:r>
                    <w:rPr>
                      <w:rFonts w:ascii="Times New Roman" w:hAnsi="Times New Roman" w:eastAsia="Calibri"/>
                      <w:spacing w:val="-1"/>
                      <w:position w:val="1"/>
                      <w:sz w:val="15"/>
                      <w:szCs w:val="15"/>
                    </w:rPr>
                    <w:t>-N</w:t>
                  </w:r>
                  <w:r>
                    <w:rPr>
                      <w:rFonts w:hint="eastAsia" w:ascii="宋体" w:hAnsi="宋体" w:cs="宋体"/>
                      <w:spacing w:val="-1"/>
                      <w:position w:val="1"/>
                      <w:sz w:val="15"/>
                      <w:szCs w:val="15"/>
                    </w:rPr>
                    <w:t>等</w:t>
                  </w:r>
                </w:p>
              </w:tc>
              <w:tc>
                <w:tcPr>
                  <w:tcW w:w="441"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w:t>
                  </w:r>
                </w:p>
              </w:tc>
              <w:tc>
                <w:tcPr>
                  <w:tcW w:w="436"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w:t>
                  </w:r>
                </w:p>
              </w:tc>
              <w:tc>
                <w:tcPr>
                  <w:tcW w:w="619" w:type="dxa"/>
                  <w:vAlign w:val="center"/>
                </w:tcPr>
                <w:p>
                  <w:pPr>
                    <w:pStyle w:val="41"/>
                    <w:spacing w:before="0" w:beforeAutospacing="0" w:line="2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TW001</w:t>
                  </w:r>
                </w:p>
              </w:tc>
              <w:tc>
                <w:tcPr>
                  <w:tcW w:w="652"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化粪池</w:t>
                  </w:r>
                </w:p>
              </w:tc>
              <w:tc>
                <w:tcPr>
                  <w:tcW w:w="704" w:type="dxa"/>
                  <w:tcBorders>
                    <w:right w:val="single" w:color="auto" w:sz="4" w:space="0"/>
                  </w:tcBorders>
                  <w:vAlign w:val="center"/>
                </w:tcPr>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厌氧</w:t>
                  </w:r>
                </w:p>
              </w:tc>
              <w:tc>
                <w:tcPr>
                  <w:tcW w:w="674" w:type="dxa"/>
                  <w:tcBorders>
                    <w:left w:val="single" w:color="auto" w:sz="4" w:space="0"/>
                  </w:tcBorders>
                  <w:vAlign w:val="center"/>
                </w:tcPr>
                <w:p>
                  <w:pPr>
                    <w:pStyle w:val="41"/>
                    <w:spacing w:before="0" w:beforeAutospacing="0" w:line="240" w:lineRule="exact"/>
                    <w:jc w:val="center"/>
                    <w:rPr>
                      <w:rFonts w:ascii="Times New Roman" w:hAnsi="Times New Roman"/>
                      <w:sz w:val="15"/>
                      <w:szCs w:val="15"/>
                    </w:rPr>
                  </w:pPr>
                  <w:r>
                    <w:rPr>
                      <w:rFonts w:ascii="Times New Roman" w:hAnsi="Times New Roman"/>
                      <w:sz w:val="15"/>
                      <w:szCs w:val="15"/>
                    </w:rPr>
                    <w:t>是</w:t>
                  </w:r>
                </w:p>
              </w:tc>
              <w:tc>
                <w:tcPr>
                  <w:tcW w:w="568" w:type="dxa"/>
                  <w:vAlign w:val="center"/>
                </w:tcPr>
                <w:p>
                  <w:pPr>
                    <w:pStyle w:val="41"/>
                    <w:spacing w:before="0" w:beforeAutospacing="0" w:line="240" w:lineRule="exact"/>
                    <w:jc w:val="center"/>
                    <w:rPr>
                      <w:rFonts w:ascii="Times New Roman" w:hAnsi="Times New Roman" w:eastAsiaTheme="minorEastAsia"/>
                      <w:sz w:val="15"/>
                      <w:szCs w:val="15"/>
                    </w:rPr>
                  </w:pPr>
                  <w:r>
                    <w:rPr>
                      <w:rFonts w:hint="eastAsia" w:ascii="Times New Roman" w:hAnsi="Times New Roman" w:eastAsiaTheme="minorEastAsia"/>
                      <w:spacing w:val="-1"/>
                      <w:sz w:val="15"/>
                      <w:szCs w:val="15"/>
                    </w:rPr>
                    <w:t>/</w:t>
                  </w:r>
                </w:p>
              </w:tc>
              <w:tc>
                <w:tcPr>
                  <w:tcW w:w="939"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w:t>
                  </w:r>
                </w:p>
              </w:tc>
              <w:tc>
                <w:tcPr>
                  <w:tcW w:w="532"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4" w:hRule="atLeast"/>
                <w:jc w:val="center"/>
              </w:trPr>
              <w:tc>
                <w:tcPr>
                  <w:tcW w:w="437" w:type="dxa"/>
                  <w:vAlign w:val="center"/>
                </w:tcPr>
                <w:p>
                  <w:pPr>
                    <w:pStyle w:val="41"/>
                    <w:spacing w:before="0" w:beforeAutospacing="0" w:line="2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2</w:t>
                  </w:r>
                </w:p>
              </w:tc>
              <w:tc>
                <w:tcPr>
                  <w:tcW w:w="992" w:type="dxa"/>
                  <w:vAlign w:val="center"/>
                </w:tcPr>
                <w:p>
                  <w:pPr>
                    <w:spacing w:line="240" w:lineRule="exact"/>
                    <w:jc w:val="center"/>
                    <w:rPr>
                      <w:sz w:val="15"/>
                      <w:szCs w:val="15"/>
                    </w:rPr>
                  </w:pPr>
                  <w:r>
                    <w:rPr>
                      <w:sz w:val="15"/>
                      <w:szCs w:val="15"/>
                    </w:rPr>
                    <w:t>脱硫废液</w:t>
                  </w:r>
                </w:p>
              </w:tc>
              <w:tc>
                <w:tcPr>
                  <w:tcW w:w="988" w:type="dxa"/>
                  <w:vAlign w:val="center"/>
                </w:tcPr>
                <w:p>
                  <w:pPr>
                    <w:pStyle w:val="41"/>
                    <w:spacing w:before="0" w:beforeAutospacing="0" w:line="240" w:lineRule="exact"/>
                    <w:jc w:val="center"/>
                    <w:rPr>
                      <w:rFonts w:ascii="Times New Roman" w:hAnsi="Times New Roman"/>
                      <w:sz w:val="15"/>
                      <w:szCs w:val="15"/>
                    </w:rPr>
                  </w:pPr>
                  <w:r>
                    <w:rPr>
                      <w:rFonts w:ascii="Times New Roman" w:hAnsi="Times New Roman"/>
                      <w:bCs/>
                      <w:sz w:val="15"/>
                      <w:szCs w:val="15"/>
                    </w:rPr>
                    <w:t>NaHSO</w:t>
                  </w:r>
                  <w:r>
                    <w:rPr>
                      <w:rFonts w:ascii="Times New Roman" w:hAnsi="Times New Roman"/>
                      <w:bCs/>
                      <w:sz w:val="15"/>
                      <w:szCs w:val="15"/>
                      <w:vertAlign w:val="subscript"/>
                    </w:rPr>
                    <w:t>3</w:t>
                  </w:r>
                  <w:r>
                    <w:rPr>
                      <w:rFonts w:ascii="Times New Roman" w:hAnsi="Times New Roman"/>
                      <w:bCs/>
                      <w:sz w:val="15"/>
                      <w:szCs w:val="15"/>
                    </w:rPr>
                    <w:t>等</w:t>
                  </w:r>
                </w:p>
              </w:tc>
              <w:tc>
                <w:tcPr>
                  <w:tcW w:w="441"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w:t>
                  </w:r>
                </w:p>
              </w:tc>
              <w:tc>
                <w:tcPr>
                  <w:tcW w:w="436"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w:t>
                  </w:r>
                </w:p>
              </w:tc>
              <w:tc>
                <w:tcPr>
                  <w:tcW w:w="619" w:type="dxa"/>
                  <w:vAlign w:val="center"/>
                </w:tcPr>
                <w:p>
                  <w:pPr>
                    <w:pStyle w:val="41"/>
                    <w:spacing w:before="0" w:beforeAutospacing="0" w:line="2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TW002</w:t>
                  </w:r>
                </w:p>
              </w:tc>
              <w:tc>
                <w:tcPr>
                  <w:tcW w:w="652"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再生</w:t>
                  </w:r>
                </w:p>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系统</w:t>
                  </w:r>
                </w:p>
              </w:tc>
              <w:tc>
                <w:tcPr>
                  <w:tcW w:w="704" w:type="dxa"/>
                  <w:tcBorders>
                    <w:right w:val="single" w:color="auto" w:sz="4" w:space="0"/>
                  </w:tcBorders>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沉淀、碱液再生</w:t>
                  </w:r>
                </w:p>
              </w:tc>
              <w:tc>
                <w:tcPr>
                  <w:tcW w:w="674" w:type="dxa"/>
                  <w:tcBorders>
                    <w:left w:val="single" w:color="auto" w:sz="4" w:space="0"/>
                  </w:tcBorders>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是</w:t>
                  </w:r>
                </w:p>
              </w:tc>
              <w:tc>
                <w:tcPr>
                  <w:tcW w:w="568" w:type="dxa"/>
                  <w:vAlign w:val="center"/>
                </w:tcPr>
                <w:p>
                  <w:pPr>
                    <w:pStyle w:val="41"/>
                    <w:spacing w:before="0" w:beforeAutospacing="0" w:line="240" w:lineRule="exact"/>
                    <w:jc w:val="center"/>
                    <w:rPr>
                      <w:rFonts w:ascii="Times New Roman" w:hAnsi="Times New Roman" w:eastAsiaTheme="minorEastAsia"/>
                      <w:spacing w:val="-1"/>
                      <w:sz w:val="15"/>
                      <w:szCs w:val="15"/>
                    </w:rPr>
                  </w:pPr>
                  <w:r>
                    <w:rPr>
                      <w:rFonts w:hint="eastAsia" w:ascii="Times New Roman" w:hAnsi="Times New Roman" w:eastAsiaTheme="minorEastAsia"/>
                      <w:spacing w:val="-1"/>
                      <w:sz w:val="15"/>
                      <w:szCs w:val="15"/>
                    </w:rPr>
                    <w:t>/</w:t>
                  </w:r>
                </w:p>
              </w:tc>
              <w:tc>
                <w:tcPr>
                  <w:tcW w:w="939"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w:t>
                  </w:r>
                </w:p>
              </w:tc>
              <w:tc>
                <w:tcPr>
                  <w:tcW w:w="532"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7" w:hRule="atLeast"/>
                <w:jc w:val="center"/>
              </w:trPr>
              <w:tc>
                <w:tcPr>
                  <w:tcW w:w="437" w:type="dxa"/>
                  <w:vAlign w:val="center"/>
                </w:tcPr>
                <w:p>
                  <w:pPr>
                    <w:pStyle w:val="41"/>
                    <w:spacing w:before="0" w:beforeAutospacing="0" w:line="2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3</w:t>
                  </w:r>
                </w:p>
              </w:tc>
              <w:tc>
                <w:tcPr>
                  <w:tcW w:w="992" w:type="dxa"/>
                  <w:vAlign w:val="center"/>
                </w:tcPr>
                <w:p>
                  <w:pPr>
                    <w:spacing w:line="240" w:lineRule="exact"/>
                    <w:jc w:val="center"/>
                    <w:rPr>
                      <w:sz w:val="15"/>
                      <w:szCs w:val="15"/>
                    </w:rPr>
                  </w:pPr>
                  <w:r>
                    <w:rPr>
                      <w:sz w:val="15"/>
                      <w:szCs w:val="15"/>
                    </w:rPr>
                    <w:t>车辆冲洗废水</w:t>
                  </w:r>
                </w:p>
              </w:tc>
              <w:tc>
                <w:tcPr>
                  <w:tcW w:w="988"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SS</w:t>
                  </w:r>
                </w:p>
              </w:tc>
              <w:tc>
                <w:tcPr>
                  <w:tcW w:w="441" w:type="dxa"/>
                  <w:vAlign w:val="center"/>
                </w:tcPr>
                <w:p>
                  <w:pPr>
                    <w:pStyle w:val="41"/>
                    <w:spacing w:before="0" w:beforeAutospacing="0" w:line="300" w:lineRule="exact"/>
                    <w:jc w:val="center"/>
                    <w:rPr>
                      <w:rFonts w:ascii="Times New Roman" w:hAnsi="Times New Roman"/>
                      <w:sz w:val="15"/>
                      <w:szCs w:val="15"/>
                    </w:rPr>
                  </w:pPr>
                  <w:r>
                    <w:rPr>
                      <w:rFonts w:hint="eastAsia" w:ascii="Times New Roman" w:hAnsi="Times New Roman"/>
                      <w:sz w:val="15"/>
                      <w:szCs w:val="15"/>
                    </w:rPr>
                    <w:t>/</w:t>
                  </w:r>
                </w:p>
              </w:tc>
              <w:tc>
                <w:tcPr>
                  <w:tcW w:w="436" w:type="dxa"/>
                  <w:vAlign w:val="center"/>
                </w:tcPr>
                <w:p>
                  <w:pPr>
                    <w:pStyle w:val="41"/>
                    <w:spacing w:before="0" w:beforeAutospacing="0" w:line="300" w:lineRule="exact"/>
                    <w:jc w:val="center"/>
                    <w:rPr>
                      <w:rFonts w:ascii="Times New Roman" w:hAnsi="Times New Roman"/>
                      <w:sz w:val="15"/>
                      <w:szCs w:val="15"/>
                    </w:rPr>
                  </w:pPr>
                  <w:r>
                    <w:rPr>
                      <w:rFonts w:hint="eastAsia" w:ascii="Times New Roman" w:hAnsi="Times New Roman"/>
                      <w:sz w:val="15"/>
                      <w:szCs w:val="15"/>
                    </w:rPr>
                    <w:t>/</w:t>
                  </w:r>
                </w:p>
              </w:tc>
              <w:tc>
                <w:tcPr>
                  <w:tcW w:w="619" w:type="dxa"/>
                  <w:vAlign w:val="center"/>
                </w:tcPr>
                <w:p>
                  <w:pPr>
                    <w:pStyle w:val="41"/>
                    <w:spacing w:before="0" w:beforeAutospacing="0" w:line="2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TW004</w:t>
                  </w:r>
                </w:p>
              </w:tc>
              <w:tc>
                <w:tcPr>
                  <w:tcW w:w="652"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沉淀池</w:t>
                  </w:r>
                </w:p>
              </w:tc>
              <w:tc>
                <w:tcPr>
                  <w:tcW w:w="704" w:type="dxa"/>
                  <w:tcBorders>
                    <w:right w:val="single" w:color="auto" w:sz="4" w:space="0"/>
                  </w:tcBorders>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沉淀</w:t>
                  </w:r>
                </w:p>
              </w:tc>
              <w:tc>
                <w:tcPr>
                  <w:tcW w:w="674" w:type="dxa"/>
                  <w:tcBorders>
                    <w:left w:val="single" w:color="auto" w:sz="4" w:space="0"/>
                  </w:tcBorders>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是</w:t>
                  </w:r>
                </w:p>
              </w:tc>
              <w:tc>
                <w:tcPr>
                  <w:tcW w:w="568" w:type="dxa"/>
                  <w:vAlign w:val="center"/>
                </w:tcPr>
                <w:p>
                  <w:pPr>
                    <w:pStyle w:val="41"/>
                    <w:spacing w:before="0" w:beforeAutospacing="0" w:line="240" w:lineRule="exact"/>
                    <w:jc w:val="center"/>
                    <w:rPr>
                      <w:rFonts w:ascii="Times New Roman" w:hAnsi="Times New Roman" w:eastAsiaTheme="minorEastAsia"/>
                      <w:spacing w:val="-1"/>
                      <w:sz w:val="15"/>
                      <w:szCs w:val="15"/>
                    </w:rPr>
                  </w:pPr>
                  <w:r>
                    <w:rPr>
                      <w:rFonts w:hint="eastAsia" w:ascii="Times New Roman" w:hAnsi="Times New Roman" w:eastAsiaTheme="minorEastAsia"/>
                      <w:spacing w:val="-1"/>
                      <w:sz w:val="15"/>
                      <w:szCs w:val="15"/>
                    </w:rPr>
                    <w:t>/</w:t>
                  </w:r>
                </w:p>
              </w:tc>
              <w:tc>
                <w:tcPr>
                  <w:tcW w:w="939"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w:t>
                  </w:r>
                </w:p>
              </w:tc>
              <w:tc>
                <w:tcPr>
                  <w:tcW w:w="532"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7" w:hRule="atLeast"/>
                <w:jc w:val="center"/>
              </w:trPr>
              <w:tc>
                <w:tcPr>
                  <w:tcW w:w="437" w:type="dxa"/>
                  <w:vAlign w:val="center"/>
                </w:tcPr>
                <w:p>
                  <w:pPr>
                    <w:pStyle w:val="41"/>
                    <w:spacing w:before="0" w:beforeAutospacing="0" w:line="2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4</w:t>
                  </w:r>
                </w:p>
              </w:tc>
              <w:tc>
                <w:tcPr>
                  <w:tcW w:w="992" w:type="dxa"/>
                  <w:vAlign w:val="center"/>
                </w:tcPr>
                <w:p>
                  <w:pPr>
                    <w:spacing w:line="240" w:lineRule="exact"/>
                    <w:jc w:val="center"/>
                    <w:rPr>
                      <w:sz w:val="15"/>
                      <w:szCs w:val="15"/>
                    </w:rPr>
                  </w:pPr>
                  <w:r>
                    <w:rPr>
                      <w:sz w:val="15"/>
                      <w:szCs w:val="15"/>
                    </w:rPr>
                    <w:t>场地散水</w:t>
                  </w:r>
                </w:p>
              </w:tc>
              <w:tc>
                <w:tcPr>
                  <w:tcW w:w="988"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SS</w:t>
                  </w:r>
                </w:p>
              </w:tc>
              <w:tc>
                <w:tcPr>
                  <w:tcW w:w="441"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w:t>
                  </w:r>
                </w:p>
              </w:tc>
              <w:tc>
                <w:tcPr>
                  <w:tcW w:w="436"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w:t>
                  </w:r>
                </w:p>
              </w:tc>
              <w:tc>
                <w:tcPr>
                  <w:tcW w:w="619" w:type="dxa"/>
                  <w:vAlign w:val="center"/>
                </w:tcPr>
                <w:p>
                  <w:pPr>
                    <w:pStyle w:val="41"/>
                    <w:spacing w:before="0" w:beforeAutospacing="0" w:line="2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TW005</w:t>
                  </w:r>
                </w:p>
              </w:tc>
              <w:tc>
                <w:tcPr>
                  <w:tcW w:w="652"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堰塘</w:t>
                  </w:r>
                </w:p>
              </w:tc>
              <w:tc>
                <w:tcPr>
                  <w:tcW w:w="704" w:type="dxa"/>
                  <w:tcBorders>
                    <w:right w:val="single" w:color="auto" w:sz="4" w:space="0"/>
                  </w:tcBorders>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沉淀</w:t>
                  </w:r>
                </w:p>
              </w:tc>
              <w:tc>
                <w:tcPr>
                  <w:tcW w:w="674" w:type="dxa"/>
                  <w:tcBorders>
                    <w:left w:val="single" w:color="auto" w:sz="4" w:space="0"/>
                  </w:tcBorders>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是</w:t>
                  </w:r>
                </w:p>
              </w:tc>
              <w:tc>
                <w:tcPr>
                  <w:tcW w:w="568" w:type="dxa"/>
                  <w:vAlign w:val="center"/>
                </w:tcPr>
                <w:p>
                  <w:pPr>
                    <w:pStyle w:val="41"/>
                    <w:spacing w:before="0" w:beforeAutospacing="0" w:line="240" w:lineRule="exact"/>
                    <w:jc w:val="center"/>
                    <w:rPr>
                      <w:rFonts w:ascii="Times New Roman" w:hAnsi="Times New Roman" w:eastAsiaTheme="minorEastAsia"/>
                      <w:spacing w:val="-1"/>
                      <w:sz w:val="15"/>
                      <w:szCs w:val="15"/>
                    </w:rPr>
                  </w:pPr>
                  <w:r>
                    <w:rPr>
                      <w:rFonts w:hint="eastAsia" w:ascii="Times New Roman" w:hAnsi="Times New Roman" w:eastAsiaTheme="minorEastAsia"/>
                      <w:spacing w:val="-1"/>
                      <w:sz w:val="15"/>
                      <w:szCs w:val="15"/>
                    </w:rPr>
                    <w:t>/</w:t>
                  </w:r>
                </w:p>
              </w:tc>
              <w:tc>
                <w:tcPr>
                  <w:tcW w:w="939"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w:t>
                  </w:r>
                </w:p>
              </w:tc>
              <w:tc>
                <w:tcPr>
                  <w:tcW w:w="532" w:type="dxa"/>
                  <w:vAlign w:val="center"/>
                </w:tcPr>
                <w:p>
                  <w:pPr>
                    <w:pStyle w:val="41"/>
                    <w:spacing w:before="0" w:beforeAutospacing="0" w:line="240" w:lineRule="exact"/>
                    <w:jc w:val="center"/>
                    <w:rPr>
                      <w:rFonts w:ascii="Times New Roman" w:hAnsi="Times New Roman"/>
                      <w:sz w:val="15"/>
                      <w:szCs w:val="15"/>
                    </w:rPr>
                  </w:pPr>
                  <w:r>
                    <w:rPr>
                      <w:rFonts w:hint="eastAsia" w:ascii="Times New Roman" w:hAnsi="Times New Roman"/>
                      <w:sz w:val="15"/>
                      <w:szCs w:val="15"/>
                    </w:rPr>
                    <w:t>/</w:t>
                  </w:r>
                </w:p>
              </w:tc>
            </w:tr>
          </w:tbl>
          <w:p>
            <w:pPr>
              <w:autoSpaceDE w:val="0"/>
              <w:autoSpaceDN w:val="0"/>
              <w:adjustRightInd w:val="0"/>
              <w:snapToGrid w:val="0"/>
              <w:spacing w:line="400" w:lineRule="exact"/>
              <w:ind w:firstLine="422" w:firstLineChars="200"/>
              <w:jc w:val="left"/>
              <w:rPr>
                <w:b/>
                <w:kern w:val="0"/>
                <w:szCs w:val="21"/>
              </w:rPr>
            </w:pPr>
            <w:r>
              <w:rPr>
                <w:b/>
                <w:kern w:val="0"/>
                <w:szCs w:val="21"/>
              </w:rPr>
              <w:t>（4）达标分析</w:t>
            </w:r>
          </w:p>
          <w:p>
            <w:pPr>
              <w:autoSpaceDE w:val="0"/>
              <w:autoSpaceDN w:val="0"/>
              <w:adjustRightInd w:val="0"/>
              <w:snapToGrid w:val="0"/>
              <w:spacing w:line="400" w:lineRule="exact"/>
              <w:ind w:firstLine="420" w:firstLineChars="200"/>
              <w:jc w:val="left"/>
              <w:rPr>
                <w:b/>
                <w:kern w:val="0"/>
                <w:szCs w:val="21"/>
              </w:rPr>
            </w:pPr>
            <w:r>
              <w:rPr>
                <w:kern w:val="0"/>
                <w:szCs w:val="21"/>
              </w:rPr>
              <w:t>本项目营运生产废水包括有脱硫系统的脱硫废液、</w:t>
            </w:r>
            <w:r>
              <w:rPr>
                <w:rFonts w:hint="eastAsia"/>
                <w:kern w:val="0"/>
                <w:szCs w:val="21"/>
              </w:rPr>
              <w:t>车辆冲洗废水、</w:t>
            </w:r>
            <w:r>
              <w:rPr>
                <w:kern w:val="0"/>
                <w:szCs w:val="21"/>
              </w:rPr>
              <w:t>员工生活污水。通过设置相应的废水处理设施处理后，能够实现循环回用不外排；厂区实现雨污分流，场地散排水也能得到有效收集，处理后回用。生活污水经预处理后，清掏做农肥使用不外排，对周围水环境影响较小。</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3、噪声</w:t>
            </w:r>
          </w:p>
          <w:p>
            <w:pPr>
              <w:autoSpaceDE w:val="0"/>
              <w:autoSpaceDN w:val="0"/>
              <w:adjustRightInd w:val="0"/>
              <w:snapToGrid w:val="0"/>
              <w:spacing w:line="400" w:lineRule="exact"/>
              <w:ind w:firstLine="420" w:firstLineChars="200"/>
              <w:jc w:val="left"/>
              <w:rPr>
                <w:kern w:val="0"/>
                <w:szCs w:val="21"/>
              </w:rPr>
            </w:pPr>
            <w:r>
              <w:rPr>
                <w:kern w:val="0"/>
                <w:szCs w:val="21"/>
              </w:rPr>
              <w:t>（1）噪声源强</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本项目为技改项目，技改前厂区正常生产时的噪声源主要为各类生产设备的运行噪声，如破碎机、风机、搅拌机、制砖机等，声源强度在65~95dB(A)之间。技改后新增噪声设备有：滚筒烘干机、回用水泵、风机等。</w:t>
            </w:r>
          </w:p>
          <w:p>
            <w:pPr>
              <w:autoSpaceDE w:val="0"/>
              <w:autoSpaceDN w:val="0"/>
              <w:adjustRightInd w:val="0"/>
              <w:snapToGrid w:val="0"/>
              <w:spacing w:line="400" w:lineRule="exact"/>
              <w:ind w:firstLine="420" w:firstLineChars="200"/>
              <w:jc w:val="left"/>
              <w:rPr>
                <w:kern w:val="0"/>
                <w:sz w:val="24"/>
                <w:szCs w:val="21"/>
              </w:rPr>
            </w:pPr>
            <w:r>
              <w:rPr>
                <w:rFonts w:hint="eastAsia"/>
                <w:kern w:val="0"/>
                <w:szCs w:val="21"/>
              </w:rPr>
              <w:t>主要产噪设备及产噪情况详见下表。</w:t>
            </w:r>
          </w:p>
          <w:p>
            <w:pPr>
              <w:pStyle w:val="14"/>
              <w:spacing w:after="0" w:line="400" w:lineRule="exact"/>
              <w:jc w:val="center"/>
              <w:rPr>
                <w:rFonts w:ascii="黑体" w:hAnsi="黑体" w:eastAsia="黑体"/>
                <w:sz w:val="18"/>
                <w:szCs w:val="18"/>
              </w:rPr>
            </w:pPr>
            <w:r>
              <w:rPr>
                <w:rFonts w:hint="eastAsia" w:ascii="黑体" w:hAnsi="黑体" w:eastAsia="黑体"/>
                <w:sz w:val="18"/>
                <w:szCs w:val="18"/>
              </w:rPr>
              <w:t>表4-3   主要设备噪声污染源    单位：</w:t>
            </w:r>
            <w:r>
              <w:rPr>
                <w:rFonts w:hint="eastAsia" w:eastAsia="黑体"/>
                <w:sz w:val="18"/>
                <w:szCs w:val="18"/>
              </w:rPr>
              <w:t>dB(A)</w:t>
            </w:r>
          </w:p>
          <w:tbl>
            <w:tblPr>
              <w:tblStyle w:val="20"/>
              <w:tblW w:w="780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1"/>
              <w:gridCol w:w="850"/>
              <w:gridCol w:w="426"/>
              <w:gridCol w:w="688"/>
              <w:gridCol w:w="729"/>
              <w:gridCol w:w="2552"/>
              <w:gridCol w:w="708"/>
              <w:gridCol w:w="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b/>
                      <w:sz w:val="15"/>
                      <w:szCs w:val="15"/>
                    </w:rPr>
                  </w:pPr>
                  <w:r>
                    <w:rPr>
                      <w:rFonts w:hint="eastAsia" w:ascii="Times New Roman" w:hAnsi="Times New Roman" w:cs="宋体"/>
                      <w:b/>
                      <w:kern w:val="0"/>
                      <w:sz w:val="15"/>
                      <w:szCs w:val="15"/>
                    </w:rPr>
                    <w:t>生产工序</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b/>
                      <w:sz w:val="15"/>
                      <w:szCs w:val="15"/>
                    </w:rPr>
                  </w:pPr>
                  <w:r>
                    <w:rPr>
                      <w:rFonts w:hint="eastAsia" w:ascii="Times New Roman" w:hAnsi="Times New Roman" w:cs="宋体"/>
                      <w:b/>
                      <w:kern w:val="0"/>
                      <w:sz w:val="15"/>
                      <w:szCs w:val="15"/>
                    </w:rPr>
                    <w:t>噪声源</w:t>
                  </w:r>
                </w:p>
              </w:tc>
              <w:tc>
                <w:tcPr>
                  <w:tcW w:w="4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b/>
                      <w:sz w:val="15"/>
                      <w:szCs w:val="15"/>
                    </w:rPr>
                  </w:pPr>
                  <w:r>
                    <w:rPr>
                      <w:rFonts w:hint="eastAsia" w:ascii="Times New Roman" w:hAnsi="Times New Roman" w:cs="宋体"/>
                      <w:b/>
                      <w:kern w:val="0"/>
                      <w:sz w:val="15"/>
                      <w:szCs w:val="15"/>
                    </w:rPr>
                    <w:t>数量台</w:t>
                  </w:r>
                </w:p>
              </w:tc>
              <w:tc>
                <w:tcPr>
                  <w:tcW w:w="688" w:type="dxa"/>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b/>
                      <w:sz w:val="15"/>
                      <w:szCs w:val="15"/>
                    </w:rPr>
                  </w:pPr>
                  <w:r>
                    <w:rPr>
                      <w:rFonts w:hint="eastAsia" w:ascii="Times New Roman" w:hAnsi="Times New Roman" w:cs="宋体"/>
                      <w:b/>
                      <w:kern w:val="0"/>
                      <w:sz w:val="15"/>
                      <w:szCs w:val="15"/>
                    </w:rPr>
                    <w:t>噪声值</w:t>
                  </w:r>
                </w:p>
              </w:tc>
              <w:tc>
                <w:tcPr>
                  <w:tcW w:w="729"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b/>
                      <w:sz w:val="15"/>
                      <w:szCs w:val="15"/>
                    </w:rPr>
                  </w:pPr>
                  <w:r>
                    <w:rPr>
                      <w:rFonts w:hint="eastAsia" w:ascii="Times New Roman" w:hAnsi="Times New Roman" w:cs="宋体"/>
                      <w:b/>
                      <w:kern w:val="0"/>
                      <w:sz w:val="15"/>
                      <w:szCs w:val="15"/>
                    </w:rPr>
                    <w:t>排放特征</w:t>
                  </w:r>
                </w:p>
              </w:tc>
              <w:tc>
                <w:tcPr>
                  <w:tcW w:w="3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b/>
                      <w:sz w:val="15"/>
                      <w:szCs w:val="15"/>
                    </w:rPr>
                  </w:pPr>
                  <w:r>
                    <w:rPr>
                      <w:rFonts w:hint="eastAsia" w:ascii="Times New Roman" w:hAnsi="Times New Roman" w:cs="宋体"/>
                      <w:b/>
                      <w:kern w:val="0"/>
                      <w:sz w:val="15"/>
                      <w:szCs w:val="15"/>
                    </w:rPr>
                    <w:t>治理措施</w:t>
                  </w:r>
                </w:p>
              </w:tc>
              <w:tc>
                <w:tcPr>
                  <w:tcW w:w="757"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b/>
                      <w:sz w:val="15"/>
                      <w:szCs w:val="15"/>
                    </w:rPr>
                  </w:pPr>
                  <w:r>
                    <w:rPr>
                      <w:rFonts w:hint="eastAsia" w:ascii="Times New Roman" w:hAnsi="Times New Roman" w:cs="宋体"/>
                      <w:b/>
                      <w:kern w:val="0"/>
                      <w:sz w:val="15"/>
                      <w:szCs w:val="15"/>
                    </w:rPr>
                    <w:t>治理后噪声值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rPr>
                      <w:sz w:val="15"/>
                      <w:szCs w:val="15"/>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rPr>
                      <w:sz w:val="15"/>
                      <w:szCs w:val="15"/>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rPr>
                      <w:sz w:val="15"/>
                      <w:szCs w:val="15"/>
                    </w:rPr>
                  </w:pPr>
                </w:p>
              </w:tc>
              <w:tc>
                <w:tcPr>
                  <w:tcW w:w="688"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spacing w:line="260" w:lineRule="exact"/>
                    <w:rPr>
                      <w:sz w:val="15"/>
                      <w:szCs w:val="15"/>
                    </w:rPr>
                  </w:pPr>
                </w:p>
              </w:tc>
              <w:tc>
                <w:tcPr>
                  <w:tcW w:w="729"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rPr>
                      <w:sz w:val="15"/>
                      <w:szCs w:val="15"/>
                    </w:rPr>
                  </w:pP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b/>
                      <w:sz w:val="15"/>
                      <w:szCs w:val="15"/>
                    </w:rPr>
                  </w:pPr>
                  <w:r>
                    <w:rPr>
                      <w:rFonts w:hint="eastAsia" w:ascii="Times New Roman" w:hAnsi="Times New Roman" w:cs="宋体"/>
                      <w:b/>
                      <w:kern w:val="0"/>
                      <w:sz w:val="15"/>
                      <w:szCs w:val="15"/>
                    </w:rPr>
                    <w:t>工艺</w:t>
                  </w:r>
                </w:p>
              </w:tc>
              <w:tc>
                <w:tcPr>
                  <w:tcW w:w="708"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b/>
                      <w:sz w:val="15"/>
                      <w:szCs w:val="15"/>
                    </w:rPr>
                  </w:pPr>
                  <w:r>
                    <w:rPr>
                      <w:rFonts w:hint="eastAsia" w:ascii="Times New Roman" w:hAnsi="Times New Roman" w:cs="宋体"/>
                      <w:b/>
                      <w:kern w:val="0"/>
                      <w:sz w:val="15"/>
                      <w:szCs w:val="15"/>
                    </w:rPr>
                    <w:t>降噪效果</w:t>
                  </w:r>
                </w:p>
              </w:tc>
              <w:tc>
                <w:tcPr>
                  <w:tcW w:w="757"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 w:hRule="atLeast"/>
                <w:jc w:val="center"/>
              </w:trPr>
              <w:tc>
                <w:tcPr>
                  <w:tcW w:w="1091" w:type="dxa"/>
                  <w:vMerge w:val="restart"/>
                  <w:tcBorders>
                    <w:top w:val="single" w:color="000000" w:sz="4" w:space="0"/>
                    <w:left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z w:val="15"/>
                      <w:szCs w:val="15"/>
                    </w:rPr>
                  </w:pPr>
                  <w:r>
                    <w:rPr>
                      <w:rFonts w:ascii="Times New Roman" w:hAnsi="Times New Roman" w:cs="Times New Roman"/>
                      <w:sz w:val="15"/>
                      <w:szCs w:val="15"/>
                    </w:rPr>
                    <w:t>原料处理及制砖生产线（现有噪声源）</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ascii="Times New Roman" w:hAnsi="Times New Roman" w:cs="Times New Roman"/>
                      <w:sz w:val="15"/>
                      <w:szCs w:val="15"/>
                    </w:rPr>
                    <w:t>破碎机</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hint="eastAsia" w:ascii="Times New Roman" w:hAnsi="Times New Roman" w:cs="Times New Roman"/>
                      <w:sz w:val="15"/>
                      <w:szCs w:val="15"/>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Times New Roman"/>
                      <w:spacing w:val="1"/>
                      <w:sz w:val="15"/>
                      <w:szCs w:val="15"/>
                    </w:rPr>
                    <w:t>90~95</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宋体"/>
                      <w:kern w:val="0"/>
                      <w:sz w:val="15"/>
                      <w:szCs w:val="15"/>
                    </w:rPr>
                    <w:t>频发</w:t>
                  </w:r>
                </w:p>
              </w:tc>
              <w:tc>
                <w:tcPr>
                  <w:tcW w:w="2552" w:type="dxa"/>
                  <w:vMerge w:val="restart"/>
                  <w:tcBorders>
                    <w:top w:val="single" w:color="000000" w:sz="4" w:space="0"/>
                    <w:left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z w:val="15"/>
                      <w:szCs w:val="15"/>
                    </w:rPr>
                  </w:pPr>
                  <w:r>
                    <w:rPr>
                      <w:rFonts w:hint="eastAsia" w:ascii="Times New Roman" w:hAnsi="Times New Roman" w:cs="宋体"/>
                      <w:kern w:val="0"/>
                      <w:sz w:val="15"/>
                      <w:szCs w:val="15"/>
                    </w:rPr>
                    <w:t>合理布局、封闭式车间隔声，优选低噪声设备、基础减振、风管采用软性接头</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ascii="Times New Roman" w:hAnsi="Times New Roman" w:cs="Times New Roman"/>
                      <w:spacing w:val="1"/>
                      <w:kern w:val="0"/>
                      <w:sz w:val="15"/>
                      <w:szCs w:val="15"/>
                    </w:rPr>
                    <w:t>20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hint="eastAsia" w:ascii="Times New Roman" w:hAnsi="Times New Roman" w:cs="Times New Roman"/>
                      <w:spacing w:val="1"/>
                      <w:sz w:val="15"/>
                      <w:szCs w:val="15"/>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 w:hRule="atLeast"/>
                <w:jc w:val="center"/>
              </w:trPr>
              <w:tc>
                <w:tcPr>
                  <w:tcW w:w="1091" w:type="dxa"/>
                  <w:vMerge w:val="continue"/>
                  <w:tcBorders>
                    <w:left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z w:val="15"/>
                      <w:szCs w:val="15"/>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ascii="Times New Roman" w:hAnsi="Times New Roman" w:cs="Times New Roman"/>
                      <w:sz w:val="15"/>
                      <w:szCs w:val="15"/>
                    </w:rPr>
                    <w:t>粉碎机</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hint="eastAsia" w:ascii="Times New Roman" w:hAnsi="Times New Roman" w:cs="Times New Roman"/>
                      <w:sz w:val="15"/>
                      <w:szCs w:val="15"/>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Times New Roman"/>
                      <w:spacing w:val="1"/>
                      <w:sz w:val="15"/>
                      <w:szCs w:val="15"/>
                    </w:rPr>
                    <w:t>85~90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宋体"/>
                      <w:kern w:val="0"/>
                      <w:sz w:val="15"/>
                      <w:szCs w:val="15"/>
                    </w:rPr>
                    <w:t>频发</w:t>
                  </w:r>
                </w:p>
              </w:tc>
              <w:tc>
                <w:tcPr>
                  <w:tcW w:w="2552" w:type="dxa"/>
                  <w:vMerge w:val="continue"/>
                  <w:tcBorders>
                    <w:left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z w:val="15"/>
                      <w:szCs w:val="15"/>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ascii="Times New Roman" w:hAnsi="Times New Roman" w:cs="Times New Roman"/>
                      <w:spacing w:val="1"/>
                      <w:kern w:val="0"/>
                      <w:sz w:val="15"/>
                      <w:szCs w:val="15"/>
                    </w:rPr>
                    <w:t>20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hint="eastAsia" w:ascii="Times New Roman" w:hAnsi="Times New Roman" w:cs="Times New Roman"/>
                      <w:spacing w:val="1"/>
                      <w:sz w:val="15"/>
                      <w:szCs w:val="15"/>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 w:hRule="atLeast"/>
                <w:jc w:val="center"/>
              </w:trPr>
              <w:tc>
                <w:tcPr>
                  <w:tcW w:w="1091" w:type="dxa"/>
                  <w:vMerge w:val="continue"/>
                  <w:tcBorders>
                    <w:left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z w:val="15"/>
                      <w:szCs w:val="15"/>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ascii="Times New Roman" w:hAnsi="Times New Roman" w:cs="Times New Roman"/>
                      <w:sz w:val="15"/>
                      <w:szCs w:val="15"/>
                    </w:rPr>
                    <w:t>振动筛</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hint="eastAsia" w:ascii="Times New Roman" w:hAnsi="Times New Roman" w:cs="Times New Roman"/>
                      <w:sz w:val="15"/>
                      <w:szCs w:val="15"/>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Times New Roman"/>
                      <w:spacing w:val="1"/>
                      <w:sz w:val="15"/>
                      <w:szCs w:val="15"/>
                    </w:rPr>
                    <w:t>85~90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宋体"/>
                      <w:kern w:val="0"/>
                      <w:sz w:val="15"/>
                      <w:szCs w:val="15"/>
                    </w:rPr>
                    <w:t>频发</w:t>
                  </w:r>
                </w:p>
              </w:tc>
              <w:tc>
                <w:tcPr>
                  <w:tcW w:w="2552" w:type="dxa"/>
                  <w:vMerge w:val="continue"/>
                  <w:tcBorders>
                    <w:left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z w:val="15"/>
                      <w:szCs w:val="15"/>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ascii="Times New Roman" w:hAnsi="Times New Roman" w:cs="Times New Roman"/>
                      <w:spacing w:val="1"/>
                      <w:kern w:val="0"/>
                      <w:sz w:val="15"/>
                      <w:szCs w:val="15"/>
                    </w:rPr>
                    <w:t>20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hint="eastAsia" w:ascii="Times New Roman" w:hAnsi="Times New Roman" w:cs="Times New Roman"/>
                      <w:spacing w:val="1"/>
                      <w:sz w:val="15"/>
                      <w:szCs w:val="15"/>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 w:hRule="atLeast"/>
                <w:jc w:val="center"/>
              </w:trPr>
              <w:tc>
                <w:tcPr>
                  <w:tcW w:w="1091" w:type="dxa"/>
                  <w:vMerge w:val="continue"/>
                  <w:tcBorders>
                    <w:left w:val="single" w:color="000000" w:sz="4" w:space="0"/>
                    <w:right w:val="single" w:color="000000" w:sz="4" w:space="0"/>
                  </w:tcBorders>
                  <w:shd w:val="clear" w:color="auto" w:fill="auto"/>
                  <w:vAlign w:val="center"/>
                </w:tcPr>
                <w:p>
                  <w:pPr>
                    <w:spacing w:line="260" w:lineRule="exact"/>
                    <w:jc w:val="center"/>
                    <w:rPr>
                      <w:sz w:val="15"/>
                      <w:szCs w:val="15"/>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ascii="Times New Roman" w:hAnsi="Times New Roman" w:cs="Times New Roman"/>
                      <w:sz w:val="15"/>
                      <w:szCs w:val="15"/>
                    </w:rPr>
                    <w:t>搅拌机</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hint="eastAsia" w:ascii="Times New Roman" w:hAnsi="Times New Roman" w:cs="Times New Roman"/>
                      <w:sz w:val="15"/>
                      <w:szCs w:val="15"/>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Times New Roman"/>
                      <w:spacing w:val="1"/>
                      <w:sz w:val="15"/>
                      <w:szCs w:val="15"/>
                    </w:rPr>
                    <w:t>75~80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宋体"/>
                      <w:kern w:val="0"/>
                      <w:sz w:val="15"/>
                      <w:szCs w:val="15"/>
                    </w:rPr>
                    <w:t>频发</w:t>
                  </w:r>
                </w:p>
              </w:tc>
              <w:tc>
                <w:tcPr>
                  <w:tcW w:w="2552" w:type="dxa"/>
                  <w:vMerge w:val="continue"/>
                  <w:tcBorders>
                    <w:left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z w:val="15"/>
                      <w:szCs w:val="15"/>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ascii="Times New Roman" w:hAnsi="Times New Roman" w:cs="Times New Roman"/>
                      <w:spacing w:val="1"/>
                      <w:kern w:val="0"/>
                      <w:sz w:val="15"/>
                      <w:szCs w:val="15"/>
                    </w:rPr>
                    <w:t>20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hint="eastAsia" w:ascii="Times New Roman" w:hAnsi="Times New Roman" w:cs="Times New Roman"/>
                      <w:spacing w:val="1"/>
                      <w:sz w:val="15"/>
                      <w:szCs w:val="15"/>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 w:hRule="atLeast"/>
                <w:jc w:val="center"/>
              </w:trPr>
              <w:tc>
                <w:tcPr>
                  <w:tcW w:w="1091" w:type="dxa"/>
                  <w:vMerge w:val="continue"/>
                  <w:tcBorders>
                    <w:left w:val="single" w:color="000000" w:sz="4" w:space="0"/>
                    <w:right w:val="single" w:color="000000" w:sz="4" w:space="0"/>
                  </w:tcBorders>
                  <w:shd w:val="clear" w:color="auto" w:fill="auto"/>
                  <w:vAlign w:val="center"/>
                </w:tcPr>
                <w:p>
                  <w:pPr>
                    <w:spacing w:line="260" w:lineRule="exact"/>
                    <w:jc w:val="center"/>
                    <w:rPr>
                      <w:sz w:val="15"/>
                      <w:szCs w:val="15"/>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ascii="Times New Roman" w:hAnsi="Times New Roman" w:cs="Times New Roman"/>
                      <w:sz w:val="15"/>
                      <w:szCs w:val="15"/>
                    </w:rPr>
                    <w:t>真空制砖机</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hint="eastAsia" w:ascii="Times New Roman" w:hAnsi="Times New Roman" w:cs="Times New Roman"/>
                      <w:sz w:val="15"/>
                      <w:szCs w:val="15"/>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Times New Roman"/>
                      <w:spacing w:val="1"/>
                      <w:sz w:val="15"/>
                      <w:szCs w:val="15"/>
                    </w:rPr>
                    <w:t>75~80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宋体"/>
                      <w:kern w:val="0"/>
                      <w:sz w:val="15"/>
                      <w:szCs w:val="15"/>
                    </w:rPr>
                    <w:t>频发</w:t>
                  </w:r>
                </w:p>
              </w:tc>
              <w:tc>
                <w:tcPr>
                  <w:tcW w:w="2552" w:type="dxa"/>
                  <w:vMerge w:val="continue"/>
                  <w:tcBorders>
                    <w:left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宋体"/>
                      <w:kern w:val="0"/>
                      <w:sz w:val="15"/>
                      <w:szCs w:val="15"/>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ascii="Times New Roman" w:hAnsi="Times New Roman" w:cs="Times New Roman"/>
                      <w:spacing w:val="1"/>
                      <w:kern w:val="0"/>
                      <w:sz w:val="15"/>
                      <w:szCs w:val="15"/>
                    </w:rPr>
                    <w:t>20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kern w:val="0"/>
                      <w:sz w:val="15"/>
                      <w:szCs w:val="15"/>
                    </w:rPr>
                  </w:pPr>
                  <w:r>
                    <w:rPr>
                      <w:rFonts w:hint="eastAsia" w:ascii="Times New Roman" w:hAnsi="Times New Roman" w:cs="Times New Roman"/>
                      <w:spacing w:val="1"/>
                      <w:kern w:val="0"/>
                      <w:sz w:val="15"/>
                      <w:szCs w:val="15"/>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 w:hRule="atLeast"/>
                <w:jc w:val="center"/>
              </w:trPr>
              <w:tc>
                <w:tcPr>
                  <w:tcW w:w="1091" w:type="dxa"/>
                  <w:vMerge w:val="continue"/>
                  <w:tcBorders>
                    <w:left w:val="single" w:color="000000" w:sz="4" w:space="0"/>
                    <w:right w:val="single" w:color="000000" w:sz="4" w:space="0"/>
                  </w:tcBorders>
                  <w:shd w:val="clear" w:color="auto" w:fill="auto"/>
                  <w:vAlign w:val="center"/>
                </w:tcPr>
                <w:p>
                  <w:pPr>
                    <w:spacing w:line="260" w:lineRule="exact"/>
                    <w:jc w:val="center"/>
                    <w:rPr>
                      <w:sz w:val="15"/>
                      <w:szCs w:val="15"/>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ascii="Times New Roman" w:hAnsi="Times New Roman" w:cs="Times New Roman"/>
                      <w:sz w:val="15"/>
                      <w:szCs w:val="15"/>
                    </w:rPr>
                    <w:t>切条机</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hint="eastAsia" w:ascii="Times New Roman" w:hAnsi="Times New Roman" w:cs="Times New Roman"/>
                      <w:sz w:val="15"/>
                      <w:szCs w:val="15"/>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Times New Roman"/>
                      <w:spacing w:val="1"/>
                      <w:sz w:val="15"/>
                      <w:szCs w:val="15"/>
                    </w:rPr>
                    <w:t>65~70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宋体"/>
                      <w:kern w:val="0"/>
                      <w:sz w:val="15"/>
                      <w:szCs w:val="15"/>
                    </w:rPr>
                    <w:t>频发</w:t>
                  </w:r>
                </w:p>
              </w:tc>
              <w:tc>
                <w:tcPr>
                  <w:tcW w:w="2552" w:type="dxa"/>
                  <w:vMerge w:val="continue"/>
                  <w:tcBorders>
                    <w:left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宋体"/>
                      <w:kern w:val="0"/>
                      <w:sz w:val="15"/>
                      <w:szCs w:val="15"/>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ascii="Times New Roman" w:hAnsi="Times New Roman" w:cs="Times New Roman"/>
                      <w:spacing w:val="1"/>
                      <w:kern w:val="0"/>
                      <w:sz w:val="15"/>
                      <w:szCs w:val="15"/>
                    </w:rPr>
                    <w:t>20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kern w:val="0"/>
                      <w:sz w:val="15"/>
                      <w:szCs w:val="15"/>
                    </w:rPr>
                  </w:pPr>
                  <w:r>
                    <w:rPr>
                      <w:rFonts w:hint="eastAsia" w:ascii="Times New Roman" w:hAnsi="Times New Roman" w:cs="Times New Roman"/>
                      <w:spacing w:val="1"/>
                      <w:kern w:val="0"/>
                      <w:sz w:val="15"/>
                      <w:szCs w:val="15"/>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 w:hRule="atLeast"/>
                <w:jc w:val="center"/>
              </w:trPr>
              <w:tc>
                <w:tcPr>
                  <w:tcW w:w="1091" w:type="dxa"/>
                  <w:vMerge w:val="continue"/>
                  <w:tcBorders>
                    <w:left w:val="single" w:color="000000" w:sz="4" w:space="0"/>
                    <w:right w:val="single" w:color="000000" w:sz="4" w:space="0"/>
                  </w:tcBorders>
                  <w:shd w:val="clear" w:color="auto" w:fill="auto"/>
                  <w:vAlign w:val="center"/>
                </w:tcPr>
                <w:p>
                  <w:pPr>
                    <w:spacing w:line="260" w:lineRule="exact"/>
                    <w:jc w:val="center"/>
                    <w:rPr>
                      <w:sz w:val="15"/>
                      <w:szCs w:val="15"/>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ascii="Times New Roman" w:hAnsi="Times New Roman" w:cs="Times New Roman"/>
                      <w:sz w:val="15"/>
                      <w:szCs w:val="15"/>
                    </w:rPr>
                    <w:t>切坯机</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hint="eastAsia" w:ascii="Times New Roman" w:hAnsi="Times New Roman" w:cs="Times New Roman"/>
                      <w:sz w:val="15"/>
                      <w:szCs w:val="15"/>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Times New Roman"/>
                      <w:spacing w:val="1"/>
                      <w:sz w:val="15"/>
                      <w:szCs w:val="15"/>
                    </w:rPr>
                    <w:t>65~70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宋体"/>
                      <w:kern w:val="0"/>
                      <w:sz w:val="15"/>
                      <w:szCs w:val="15"/>
                    </w:rPr>
                    <w:t>频发</w:t>
                  </w:r>
                </w:p>
              </w:tc>
              <w:tc>
                <w:tcPr>
                  <w:tcW w:w="2552" w:type="dxa"/>
                  <w:vMerge w:val="continue"/>
                  <w:tcBorders>
                    <w:left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宋体"/>
                      <w:kern w:val="0"/>
                      <w:sz w:val="15"/>
                      <w:szCs w:val="15"/>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ascii="Times New Roman" w:hAnsi="Times New Roman" w:cs="Times New Roman"/>
                      <w:spacing w:val="1"/>
                      <w:kern w:val="0"/>
                      <w:sz w:val="15"/>
                      <w:szCs w:val="15"/>
                    </w:rPr>
                    <w:t>20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kern w:val="0"/>
                      <w:sz w:val="15"/>
                      <w:szCs w:val="15"/>
                    </w:rPr>
                  </w:pPr>
                  <w:r>
                    <w:rPr>
                      <w:rFonts w:hint="eastAsia" w:ascii="Times New Roman" w:hAnsi="Times New Roman" w:cs="Times New Roman"/>
                      <w:spacing w:val="1"/>
                      <w:kern w:val="0"/>
                      <w:sz w:val="15"/>
                      <w:szCs w:val="15"/>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 w:hRule="atLeast"/>
                <w:jc w:val="center"/>
              </w:trPr>
              <w:tc>
                <w:tcPr>
                  <w:tcW w:w="1091" w:type="dxa"/>
                  <w:vMerge w:val="continue"/>
                  <w:tcBorders>
                    <w:left w:val="single" w:color="000000" w:sz="4" w:space="0"/>
                    <w:right w:val="single" w:color="000000" w:sz="4" w:space="0"/>
                  </w:tcBorders>
                  <w:shd w:val="clear" w:color="auto" w:fill="auto"/>
                  <w:vAlign w:val="center"/>
                </w:tcPr>
                <w:p>
                  <w:pPr>
                    <w:spacing w:line="260" w:lineRule="exact"/>
                    <w:jc w:val="center"/>
                    <w:rPr>
                      <w:sz w:val="15"/>
                      <w:szCs w:val="15"/>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ascii="Times New Roman" w:hAnsi="Times New Roman" w:cs="Times New Roman"/>
                      <w:sz w:val="15"/>
                      <w:szCs w:val="15"/>
                    </w:rPr>
                    <w:t>输送机</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hint="eastAsia" w:ascii="Times New Roman" w:hAnsi="Times New Roman" w:cs="Times New Roman"/>
                      <w:sz w:val="15"/>
                      <w:szCs w:val="15"/>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Times New Roman"/>
                      <w:spacing w:val="1"/>
                      <w:sz w:val="15"/>
                      <w:szCs w:val="15"/>
                    </w:rPr>
                    <w:t>70~75</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宋体"/>
                      <w:kern w:val="0"/>
                      <w:sz w:val="15"/>
                      <w:szCs w:val="15"/>
                    </w:rPr>
                    <w:t>频发</w:t>
                  </w:r>
                </w:p>
              </w:tc>
              <w:tc>
                <w:tcPr>
                  <w:tcW w:w="2552" w:type="dxa"/>
                  <w:vMerge w:val="continue"/>
                  <w:tcBorders>
                    <w:left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宋体"/>
                      <w:kern w:val="0"/>
                      <w:sz w:val="15"/>
                      <w:szCs w:val="15"/>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ascii="Times New Roman" w:hAnsi="Times New Roman" w:cs="Times New Roman"/>
                      <w:spacing w:val="1"/>
                      <w:kern w:val="0"/>
                      <w:sz w:val="15"/>
                      <w:szCs w:val="15"/>
                    </w:rPr>
                    <w:t>20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kern w:val="0"/>
                      <w:sz w:val="15"/>
                      <w:szCs w:val="15"/>
                    </w:rPr>
                  </w:pPr>
                  <w:r>
                    <w:rPr>
                      <w:rFonts w:hint="eastAsia" w:ascii="Times New Roman" w:hAnsi="Times New Roman" w:cs="Times New Roman"/>
                      <w:spacing w:val="1"/>
                      <w:kern w:val="0"/>
                      <w:sz w:val="15"/>
                      <w:szCs w:val="15"/>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 w:hRule="atLeast"/>
                <w:jc w:val="center"/>
              </w:trPr>
              <w:tc>
                <w:tcPr>
                  <w:tcW w:w="1091" w:type="dxa"/>
                  <w:vMerge w:val="continue"/>
                  <w:tcBorders>
                    <w:left w:val="single" w:color="000000" w:sz="4" w:space="0"/>
                    <w:right w:val="single" w:color="000000" w:sz="4" w:space="0"/>
                  </w:tcBorders>
                  <w:shd w:val="clear" w:color="auto" w:fill="auto"/>
                  <w:vAlign w:val="center"/>
                </w:tcPr>
                <w:p>
                  <w:pPr>
                    <w:spacing w:line="260" w:lineRule="exact"/>
                    <w:jc w:val="center"/>
                    <w:rPr>
                      <w:sz w:val="15"/>
                      <w:szCs w:val="15"/>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ascii="Times New Roman" w:hAnsi="Times New Roman" w:cs="Times New Roman"/>
                      <w:sz w:val="15"/>
                      <w:szCs w:val="15"/>
                    </w:rPr>
                    <w:t>人工码坯机</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hint="eastAsia" w:ascii="Times New Roman" w:hAnsi="Times New Roman" w:cs="Times New Roman"/>
                      <w:sz w:val="15"/>
                      <w:szCs w:val="15"/>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Times New Roman"/>
                      <w:spacing w:val="1"/>
                      <w:sz w:val="15"/>
                      <w:szCs w:val="15"/>
                    </w:rPr>
                    <w:t>65~70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宋体"/>
                      <w:kern w:val="0"/>
                      <w:sz w:val="15"/>
                      <w:szCs w:val="15"/>
                    </w:rPr>
                    <w:t>频发</w:t>
                  </w:r>
                </w:p>
              </w:tc>
              <w:tc>
                <w:tcPr>
                  <w:tcW w:w="2552" w:type="dxa"/>
                  <w:vMerge w:val="continue"/>
                  <w:tcBorders>
                    <w:left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宋体"/>
                      <w:kern w:val="0"/>
                      <w:sz w:val="15"/>
                      <w:szCs w:val="15"/>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ascii="Times New Roman" w:hAnsi="Times New Roman" w:cs="Times New Roman"/>
                      <w:spacing w:val="1"/>
                      <w:kern w:val="0"/>
                      <w:sz w:val="15"/>
                      <w:szCs w:val="15"/>
                    </w:rPr>
                    <w:t>20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kern w:val="0"/>
                      <w:sz w:val="15"/>
                      <w:szCs w:val="15"/>
                    </w:rPr>
                  </w:pPr>
                  <w:r>
                    <w:rPr>
                      <w:rFonts w:hint="eastAsia" w:ascii="Times New Roman" w:hAnsi="Times New Roman" w:cs="Times New Roman"/>
                      <w:spacing w:val="1"/>
                      <w:kern w:val="0"/>
                      <w:sz w:val="15"/>
                      <w:szCs w:val="15"/>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 w:hRule="atLeast"/>
                <w:jc w:val="center"/>
              </w:trPr>
              <w:tc>
                <w:tcPr>
                  <w:tcW w:w="1091" w:type="dxa"/>
                  <w:vMerge w:val="continue"/>
                  <w:tcBorders>
                    <w:left w:val="single" w:color="000000" w:sz="4" w:space="0"/>
                    <w:bottom w:val="single" w:color="auto" w:sz="4" w:space="0"/>
                    <w:right w:val="single" w:color="000000" w:sz="4" w:space="0"/>
                  </w:tcBorders>
                  <w:shd w:val="clear" w:color="auto" w:fill="auto"/>
                  <w:vAlign w:val="center"/>
                </w:tcPr>
                <w:p>
                  <w:pPr>
                    <w:spacing w:line="260" w:lineRule="exact"/>
                    <w:jc w:val="center"/>
                    <w:rPr>
                      <w:sz w:val="15"/>
                      <w:szCs w:val="15"/>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ascii="Times New Roman" w:hAnsi="Times New Roman" w:cs="Times New Roman"/>
                      <w:sz w:val="15"/>
                      <w:szCs w:val="15"/>
                    </w:rPr>
                    <w:t>风机</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hint="eastAsia" w:ascii="Times New Roman" w:hAnsi="Times New Roman" w:cs="Times New Roman"/>
                      <w:sz w:val="15"/>
                      <w:szCs w:val="15"/>
                    </w:rPr>
                    <w:t>2</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Times New Roman"/>
                      <w:spacing w:val="1"/>
                      <w:sz w:val="15"/>
                      <w:szCs w:val="15"/>
                    </w:rPr>
                    <w:t>90~95</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宋体"/>
                      <w:kern w:val="0"/>
                      <w:sz w:val="15"/>
                      <w:szCs w:val="15"/>
                    </w:rPr>
                    <w:t>频发</w:t>
                  </w:r>
                </w:p>
              </w:tc>
              <w:tc>
                <w:tcPr>
                  <w:tcW w:w="2552" w:type="dxa"/>
                  <w:vMerge w:val="continue"/>
                  <w:tcBorders>
                    <w:left w:val="single" w:color="000000" w:sz="4" w:space="0"/>
                    <w:bottom w:val="single" w:color="auto"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宋体"/>
                      <w:kern w:val="0"/>
                      <w:sz w:val="15"/>
                      <w:szCs w:val="15"/>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ascii="Times New Roman" w:hAnsi="Times New Roman" w:cs="Times New Roman"/>
                      <w:spacing w:val="1"/>
                      <w:kern w:val="0"/>
                      <w:sz w:val="15"/>
                      <w:szCs w:val="15"/>
                    </w:rPr>
                    <w:t>20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kern w:val="0"/>
                      <w:sz w:val="15"/>
                      <w:szCs w:val="15"/>
                    </w:rPr>
                  </w:pPr>
                  <w:r>
                    <w:rPr>
                      <w:rFonts w:hint="eastAsia" w:ascii="Times New Roman" w:hAnsi="Times New Roman" w:cs="Times New Roman"/>
                      <w:spacing w:val="1"/>
                      <w:kern w:val="0"/>
                      <w:sz w:val="15"/>
                      <w:szCs w:val="15"/>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 w:hRule="atLeast"/>
                <w:jc w:val="center"/>
              </w:trPr>
              <w:tc>
                <w:tcPr>
                  <w:tcW w:w="1091" w:type="dxa"/>
                  <w:vMerge w:val="restart"/>
                  <w:tcBorders>
                    <w:left w:val="single" w:color="000000" w:sz="4" w:space="0"/>
                    <w:right w:val="single" w:color="000000" w:sz="4" w:space="0"/>
                  </w:tcBorders>
                  <w:shd w:val="clear" w:color="auto" w:fill="auto"/>
                  <w:vAlign w:val="center"/>
                </w:tcPr>
                <w:p>
                  <w:pPr>
                    <w:spacing w:line="260" w:lineRule="exact"/>
                    <w:jc w:val="center"/>
                    <w:rPr>
                      <w:sz w:val="15"/>
                      <w:szCs w:val="15"/>
                    </w:rPr>
                  </w:pPr>
                  <w:r>
                    <w:rPr>
                      <w:rFonts w:hint="eastAsia"/>
                      <w:sz w:val="15"/>
                      <w:szCs w:val="15"/>
                    </w:rPr>
                    <w:t>污泥烘干</w:t>
                  </w:r>
                </w:p>
                <w:p>
                  <w:pPr>
                    <w:spacing w:line="260" w:lineRule="exact"/>
                    <w:jc w:val="center"/>
                    <w:rPr>
                      <w:sz w:val="15"/>
                      <w:szCs w:val="15"/>
                    </w:rPr>
                  </w:pPr>
                  <w:r>
                    <w:rPr>
                      <w:sz w:val="15"/>
                      <w:szCs w:val="15"/>
                    </w:rPr>
                    <w:t>（新增噪声源）</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z w:val="15"/>
                      <w:szCs w:val="15"/>
                    </w:rPr>
                  </w:pPr>
                  <w:r>
                    <w:rPr>
                      <w:rFonts w:hint="eastAsia" w:ascii="Times New Roman" w:hAnsi="Times New Roman" w:cs="Times New Roman"/>
                      <w:sz w:val="15"/>
                      <w:szCs w:val="15"/>
                    </w:rPr>
                    <w:t>滚筒烘干机</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z w:val="15"/>
                      <w:szCs w:val="15"/>
                    </w:rPr>
                  </w:pPr>
                  <w:r>
                    <w:rPr>
                      <w:rFonts w:hint="eastAsia" w:ascii="Times New Roman" w:hAnsi="Times New Roman" w:cs="Times New Roman"/>
                      <w:sz w:val="15"/>
                      <w:szCs w:val="15"/>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hint="eastAsia" w:ascii="Times New Roman" w:hAnsi="Times New Roman" w:cs="Times New Roman"/>
                      <w:spacing w:val="1"/>
                      <w:sz w:val="15"/>
                      <w:szCs w:val="15"/>
                    </w:rPr>
                    <w:t>80~85</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hint="eastAsia" w:ascii="Times New Roman" w:hAnsi="Times New Roman" w:cs="宋体"/>
                      <w:kern w:val="0"/>
                      <w:sz w:val="15"/>
                      <w:szCs w:val="15"/>
                    </w:rPr>
                    <w:t>频发</w:t>
                  </w:r>
                </w:p>
              </w:tc>
              <w:tc>
                <w:tcPr>
                  <w:tcW w:w="2552" w:type="dxa"/>
                  <w:vMerge w:val="restart"/>
                  <w:tcBorders>
                    <w:left w:val="single" w:color="000000" w:sz="4" w:space="0"/>
                    <w:right w:val="single" w:color="000000" w:sz="4" w:space="0"/>
                  </w:tcBorders>
                  <w:shd w:val="clear" w:color="auto" w:fill="auto"/>
                  <w:vAlign w:val="center"/>
                </w:tcPr>
                <w:p>
                  <w:pPr>
                    <w:pStyle w:val="18"/>
                    <w:widowControl w:val="0"/>
                    <w:spacing w:before="0" w:after="0" w:line="260" w:lineRule="exact"/>
                    <w:jc w:val="center"/>
                    <w:rPr>
                      <w:rFonts w:ascii="Times New Roman" w:hAnsi="Times New Roman" w:cs="宋体"/>
                      <w:kern w:val="0"/>
                      <w:sz w:val="15"/>
                      <w:szCs w:val="15"/>
                    </w:rPr>
                  </w:pPr>
                  <w:r>
                    <w:rPr>
                      <w:rFonts w:hint="eastAsia" w:ascii="Times New Roman" w:hAnsi="Times New Roman" w:cs="宋体"/>
                      <w:kern w:val="0"/>
                      <w:sz w:val="15"/>
                      <w:szCs w:val="15"/>
                    </w:rPr>
                    <w:t>合理布局、封闭式车间隔声，优选低噪声设备、基础减振</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kern w:val="0"/>
                      <w:sz w:val="15"/>
                      <w:szCs w:val="15"/>
                    </w:rPr>
                  </w:pPr>
                  <w:r>
                    <w:rPr>
                      <w:rFonts w:hint="eastAsia" w:ascii="Times New Roman" w:hAnsi="Times New Roman" w:cs="Times New Roman"/>
                      <w:spacing w:val="1"/>
                      <w:kern w:val="0"/>
                      <w:sz w:val="15"/>
                      <w:szCs w:val="15"/>
                    </w:rPr>
                    <w:t>20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kern w:val="0"/>
                      <w:sz w:val="15"/>
                      <w:szCs w:val="15"/>
                    </w:rPr>
                  </w:pPr>
                  <w:r>
                    <w:rPr>
                      <w:rFonts w:hint="eastAsia" w:ascii="Times New Roman" w:hAnsi="Times New Roman" w:cs="Times New Roman"/>
                      <w:spacing w:val="1"/>
                      <w:kern w:val="0"/>
                      <w:sz w:val="15"/>
                      <w:szCs w:val="15"/>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 w:hRule="atLeast"/>
                <w:jc w:val="center"/>
              </w:trPr>
              <w:tc>
                <w:tcPr>
                  <w:tcW w:w="1091" w:type="dxa"/>
                  <w:vMerge w:val="continue"/>
                  <w:tcBorders>
                    <w:left w:val="single" w:color="000000" w:sz="4" w:space="0"/>
                    <w:bottom w:val="single" w:color="000000" w:sz="4" w:space="0"/>
                    <w:right w:val="single" w:color="000000" w:sz="4" w:space="0"/>
                  </w:tcBorders>
                  <w:shd w:val="clear" w:color="auto" w:fill="auto"/>
                  <w:vAlign w:val="center"/>
                </w:tcPr>
                <w:p>
                  <w:pPr>
                    <w:spacing w:line="260" w:lineRule="exact"/>
                    <w:jc w:val="center"/>
                    <w:rPr>
                      <w:sz w:val="15"/>
                      <w:szCs w:val="15"/>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ascii="Times New Roman" w:hAnsi="Times New Roman" w:cs="Times New Roman"/>
                      <w:sz w:val="15"/>
                      <w:szCs w:val="15"/>
                    </w:rPr>
                    <w:t>风机</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z w:val="15"/>
                      <w:szCs w:val="15"/>
                    </w:rPr>
                  </w:pPr>
                  <w:r>
                    <w:rPr>
                      <w:rFonts w:hint="eastAsia" w:ascii="Times New Roman" w:hAnsi="Times New Roman" w:cs="Times New Roman"/>
                      <w:sz w:val="15"/>
                      <w:szCs w:val="15"/>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Times New Roman"/>
                      <w:spacing w:val="1"/>
                      <w:sz w:val="15"/>
                      <w:szCs w:val="15"/>
                    </w:rPr>
                    <w:t>90~95</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300" w:lineRule="exact"/>
                    <w:jc w:val="center"/>
                    <w:rPr>
                      <w:rFonts w:ascii="Times New Roman" w:hAnsi="Times New Roman" w:cs="Times New Roman"/>
                      <w:spacing w:val="1"/>
                      <w:sz w:val="15"/>
                      <w:szCs w:val="15"/>
                    </w:rPr>
                  </w:pPr>
                  <w:r>
                    <w:rPr>
                      <w:rFonts w:hint="eastAsia" w:ascii="Times New Roman" w:hAnsi="Times New Roman" w:cs="宋体"/>
                      <w:kern w:val="0"/>
                      <w:sz w:val="15"/>
                      <w:szCs w:val="15"/>
                    </w:rPr>
                    <w:t>频发</w:t>
                  </w:r>
                </w:p>
              </w:tc>
              <w:tc>
                <w:tcPr>
                  <w:tcW w:w="2552" w:type="dxa"/>
                  <w:vMerge w:val="continue"/>
                  <w:tcBorders>
                    <w:left w:val="single" w:color="000000" w:sz="4" w:space="0"/>
                    <w:bottom w:val="single" w:color="000000" w:sz="4" w:space="0"/>
                    <w:right w:val="single" w:color="000000" w:sz="4" w:space="0"/>
                  </w:tcBorders>
                  <w:shd w:val="clear" w:color="auto" w:fill="auto"/>
                  <w:vAlign w:val="center"/>
                </w:tcPr>
                <w:p>
                  <w:pPr>
                    <w:pStyle w:val="18"/>
                    <w:widowControl w:val="0"/>
                    <w:spacing w:before="0" w:after="0" w:line="260" w:lineRule="exact"/>
                    <w:jc w:val="center"/>
                    <w:rPr>
                      <w:rFonts w:ascii="Times New Roman" w:hAnsi="Times New Roman" w:cs="宋体"/>
                      <w:kern w:val="0"/>
                      <w:sz w:val="15"/>
                      <w:szCs w:val="15"/>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sz w:val="15"/>
                      <w:szCs w:val="15"/>
                    </w:rPr>
                  </w:pPr>
                  <w:r>
                    <w:rPr>
                      <w:rFonts w:ascii="Times New Roman" w:hAnsi="Times New Roman" w:cs="Times New Roman"/>
                      <w:spacing w:val="1"/>
                      <w:kern w:val="0"/>
                      <w:sz w:val="15"/>
                      <w:szCs w:val="15"/>
                    </w:rPr>
                    <w:t>20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val="0"/>
                    <w:spacing w:before="0" w:beforeAutospacing="0" w:after="0" w:afterAutospacing="0" w:line="260" w:lineRule="exact"/>
                    <w:jc w:val="center"/>
                    <w:rPr>
                      <w:rFonts w:ascii="Times New Roman" w:hAnsi="Times New Roman" w:cs="Times New Roman"/>
                      <w:spacing w:val="1"/>
                      <w:kern w:val="0"/>
                      <w:sz w:val="15"/>
                      <w:szCs w:val="15"/>
                    </w:rPr>
                  </w:pPr>
                  <w:r>
                    <w:rPr>
                      <w:rFonts w:hint="eastAsia" w:ascii="Times New Roman" w:hAnsi="Times New Roman" w:cs="Times New Roman"/>
                      <w:spacing w:val="1"/>
                      <w:kern w:val="0"/>
                      <w:sz w:val="15"/>
                      <w:szCs w:val="15"/>
                    </w:rPr>
                    <w:t>75</w:t>
                  </w:r>
                </w:p>
              </w:tc>
            </w:tr>
          </w:tbl>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（2）环境影响及达标分析</w:t>
            </w:r>
          </w:p>
          <w:p>
            <w:pPr>
              <w:autoSpaceDE w:val="0"/>
              <w:autoSpaceDN w:val="0"/>
              <w:adjustRightInd w:val="0"/>
              <w:snapToGrid w:val="0"/>
              <w:spacing w:line="400" w:lineRule="exact"/>
              <w:ind w:firstLine="420" w:firstLineChars="200"/>
              <w:jc w:val="left"/>
              <w:rPr>
                <w:kern w:val="0"/>
                <w:sz w:val="24"/>
                <w:szCs w:val="21"/>
              </w:rPr>
            </w:pPr>
            <w:r>
              <w:rPr>
                <w:rFonts w:hint="eastAsia" w:cs="宋体"/>
                <w:kern w:val="0"/>
                <w:szCs w:val="21"/>
              </w:rPr>
              <w:t>本项目厂界噪声预测，以各设备传播到厂界的噪声贡献值进行叠加，作为厂界噪声值的评价量，噪声源距厂界的距离以离厂界最近声源距离为计算依据，预测厂界噪声达标情况。预测结果如下：</w:t>
            </w:r>
          </w:p>
          <w:p>
            <w:pPr>
              <w:adjustRightInd w:val="0"/>
              <w:snapToGrid w:val="0"/>
              <w:spacing w:line="400" w:lineRule="exact"/>
              <w:jc w:val="center"/>
              <w:rPr>
                <w:rFonts w:eastAsia="黑体"/>
                <w:sz w:val="18"/>
                <w:szCs w:val="18"/>
              </w:rPr>
            </w:pPr>
            <w:r>
              <w:rPr>
                <w:rFonts w:ascii="黑体" w:hAnsi="黑体" w:eastAsia="黑体"/>
                <w:sz w:val="18"/>
                <w:szCs w:val="18"/>
              </w:rPr>
              <w:t>表</w:t>
            </w:r>
            <w:r>
              <w:rPr>
                <w:rFonts w:hint="eastAsia" w:eastAsia="黑体"/>
                <w:sz w:val="18"/>
                <w:szCs w:val="18"/>
              </w:rPr>
              <w:t xml:space="preserve">4-4   </w:t>
            </w:r>
            <w:r>
              <w:rPr>
                <w:rFonts w:ascii="黑体" w:hAnsi="黑体" w:eastAsia="黑体"/>
                <w:sz w:val="18"/>
                <w:szCs w:val="18"/>
              </w:rPr>
              <w:t>厂界噪声预测结果</w:t>
            </w:r>
            <w:r>
              <w:rPr>
                <w:rFonts w:hint="eastAsia" w:ascii="黑体" w:hAnsi="黑体" w:eastAsia="黑体"/>
                <w:sz w:val="18"/>
                <w:szCs w:val="18"/>
              </w:rPr>
              <w:t xml:space="preserve">  </w:t>
            </w:r>
            <w:r>
              <w:rPr>
                <w:rFonts w:hint="eastAsia" w:ascii="黑体" w:hAnsi="黑体" w:eastAsia="黑体"/>
                <w:bCs/>
                <w:sz w:val="18"/>
                <w:szCs w:val="18"/>
              </w:rPr>
              <w:t>单位：</w:t>
            </w:r>
            <w:r>
              <w:rPr>
                <w:rFonts w:hint="eastAsia"/>
                <w:sz w:val="18"/>
                <w:szCs w:val="18"/>
              </w:rPr>
              <w:t>dB(A)</w:t>
            </w:r>
          </w:p>
          <w:tbl>
            <w:tblPr>
              <w:tblStyle w:val="20"/>
              <w:tblW w:w="77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644"/>
              <w:gridCol w:w="600"/>
              <w:gridCol w:w="687"/>
              <w:gridCol w:w="787"/>
              <w:gridCol w:w="759"/>
              <w:gridCol w:w="786"/>
              <w:gridCol w:w="758"/>
              <w:gridCol w:w="800"/>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158" w:type="dxa"/>
                  <w:vMerge w:val="restart"/>
                  <w:tcBorders>
                    <w:top w:val="single" w:color="auto" w:sz="4" w:space="0"/>
                    <w:left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项目</w:t>
                  </w:r>
                </w:p>
              </w:tc>
              <w:tc>
                <w:tcPr>
                  <w:tcW w:w="1244" w:type="dxa"/>
                  <w:gridSpan w:val="2"/>
                  <w:tcBorders>
                    <w:top w:val="single" w:color="auto" w:sz="4" w:space="0"/>
                    <w:left w:val="nil"/>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治理后噪声值</w:t>
                  </w:r>
                </w:p>
              </w:tc>
              <w:tc>
                <w:tcPr>
                  <w:tcW w:w="687" w:type="dxa"/>
                  <w:vMerge w:val="restart"/>
                  <w:tcBorders>
                    <w:top w:val="single" w:color="auto" w:sz="4" w:space="0"/>
                    <w:left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距厂界距离</w:t>
                  </w:r>
                </w:p>
              </w:tc>
              <w:tc>
                <w:tcPr>
                  <w:tcW w:w="1546" w:type="dxa"/>
                  <w:gridSpan w:val="2"/>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贡献值</w:t>
                  </w:r>
                </w:p>
              </w:tc>
              <w:tc>
                <w:tcPr>
                  <w:tcW w:w="1544" w:type="dxa"/>
                  <w:gridSpan w:val="2"/>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执行标准</w:t>
                  </w:r>
                </w:p>
              </w:tc>
              <w:tc>
                <w:tcPr>
                  <w:tcW w:w="1582" w:type="dxa"/>
                  <w:gridSpan w:val="2"/>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158" w:type="dxa"/>
                  <w:vMerge w:val="continue"/>
                  <w:tcBorders>
                    <w:left w:val="single" w:color="auto" w:sz="4" w:space="0"/>
                    <w:bottom w:val="single" w:color="auto" w:sz="4" w:space="0"/>
                    <w:right w:val="single" w:color="auto" w:sz="4" w:space="0"/>
                  </w:tcBorders>
                  <w:vAlign w:val="center"/>
                </w:tcPr>
                <w:p>
                  <w:pPr>
                    <w:widowControl/>
                    <w:spacing w:line="300" w:lineRule="exact"/>
                    <w:jc w:val="left"/>
                    <w:rPr>
                      <w:kern w:val="0"/>
                      <w:sz w:val="18"/>
                      <w:szCs w:val="18"/>
                    </w:rPr>
                  </w:pPr>
                </w:p>
              </w:tc>
              <w:tc>
                <w:tcPr>
                  <w:tcW w:w="644" w:type="dxa"/>
                  <w:tcBorders>
                    <w:left w:val="nil"/>
                    <w:bottom w:val="single" w:color="auto" w:sz="4" w:space="0"/>
                    <w:right w:val="single" w:color="auto" w:sz="4" w:space="0"/>
                  </w:tcBorders>
                  <w:vAlign w:val="center"/>
                </w:tcPr>
                <w:p>
                  <w:pPr>
                    <w:widowControl/>
                    <w:spacing w:line="300" w:lineRule="exact"/>
                    <w:jc w:val="center"/>
                    <w:rPr>
                      <w:kern w:val="0"/>
                      <w:sz w:val="18"/>
                      <w:szCs w:val="18"/>
                    </w:rPr>
                  </w:pPr>
                  <w:r>
                    <w:rPr>
                      <w:rFonts w:hint="eastAsia"/>
                      <w:kern w:val="0"/>
                      <w:sz w:val="18"/>
                      <w:szCs w:val="18"/>
                    </w:rPr>
                    <w:t>昼间</w:t>
                  </w:r>
                </w:p>
              </w:tc>
              <w:tc>
                <w:tcPr>
                  <w:tcW w:w="600" w:type="dxa"/>
                  <w:tcBorders>
                    <w:left w:val="single" w:color="auto" w:sz="4" w:space="0"/>
                    <w:bottom w:val="single" w:color="auto" w:sz="4" w:space="0"/>
                    <w:right w:val="single" w:color="auto" w:sz="4" w:space="0"/>
                  </w:tcBorders>
                  <w:vAlign w:val="center"/>
                </w:tcPr>
                <w:p>
                  <w:pPr>
                    <w:widowControl/>
                    <w:spacing w:line="300" w:lineRule="exact"/>
                    <w:jc w:val="center"/>
                    <w:rPr>
                      <w:kern w:val="0"/>
                      <w:sz w:val="18"/>
                      <w:szCs w:val="18"/>
                    </w:rPr>
                  </w:pPr>
                  <w:r>
                    <w:rPr>
                      <w:rFonts w:hint="eastAsia"/>
                      <w:kern w:val="0"/>
                      <w:sz w:val="18"/>
                      <w:szCs w:val="18"/>
                    </w:rPr>
                    <w:t>夜间</w:t>
                  </w:r>
                </w:p>
              </w:tc>
              <w:tc>
                <w:tcPr>
                  <w:tcW w:w="687" w:type="dxa"/>
                  <w:vMerge w:val="continue"/>
                  <w:tcBorders>
                    <w:left w:val="single" w:color="auto" w:sz="4" w:space="0"/>
                    <w:bottom w:val="single" w:color="auto" w:sz="4" w:space="0"/>
                    <w:right w:val="single" w:color="auto" w:sz="4" w:space="0"/>
                  </w:tcBorders>
                  <w:vAlign w:val="center"/>
                </w:tcPr>
                <w:p>
                  <w:pPr>
                    <w:widowControl/>
                    <w:spacing w:line="300" w:lineRule="exact"/>
                    <w:jc w:val="center"/>
                    <w:rPr>
                      <w:kern w:val="0"/>
                      <w:sz w:val="18"/>
                      <w:szCs w:val="18"/>
                    </w:rPr>
                  </w:pPr>
                </w:p>
              </w:tc>
              <w:tc>
                <w:tcPr>
                  <w:tcW w:w="787" w:type="dxa"/>
                  <w:tcBorders>
                    <w:top w:val="single" w:color="auto" w:sz="4" w:space="0"/>
                    <w:left w:val="nil"/>
                    <w:bottom w:val="single" w:color="auto" w:sz="4" w:space="0"/>
                    <w:right w:val="single" w:color="auto" w:sz="4" w:space="0"/>
                  </w:tcBorders>
                  <w:vAlign w:val="center"/>
                </w:tcPr>
                <w:p>
                  <w:pPr>
                    <w:widowControl/>
                    <w:spacing w:line="300" w:lineRule="exact"/>
                    <w:jc w:val="center"/>
                    <w:rPr>
                      <w:kern w:val="0"/>
                      <w:sz w:val="18"/>
                      <w:szCs w:val="18"/>
                    </w:rPr>
                  </w:pPr>
                  <w:r>
                    <w:rPr>
                      <w:rFonts w:hint="eastAsia"/>
                      <w:kern w:val="0"/>
                      <w:sz w:val="18"/>
                      <w:szCs w:val="18"/>
                    </w:rPr>
                    <w:t>昼间</w:t>
                  </w:r>
                </w:p>
              </w:tc>
              <w:tc>
                <w:tcPr>
                  <w:tcW w:w="75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kern w:val="0"/>
                      <w:sz w:val="18"/>
                      <w:szCs w:val="18"/>
                    </w:rPr>
                  </w:pPr>
                  <w:r>
                    <w:rPr>
                      <w:rFonts w:hint="eastAsia"/>
                      <w:kern w:val="0"/>
                      <w:sz w:val="18"/>
                      <w:szCs w:val="18"/>
                    </w:rPr>
                    <w:t>夜间</w:t>
                  </w:r>
                </w:p>
              </w:tc>
              <w:tc>
                <w:tcPr>
                  <w:tcW w:w="786" w:type="dxa"/>
                  <w:tcBorders>
                    <w:top w:val="single" w:color="auto" w:sz="4" w:space="0"/>
                    <w:left w:val="nil"/>
                    <w:bottom w:val="single" w:color="auto" w:sz="4" w:space="0"/>
                    <w:right w:val="single" w:color="auto" w:sz="4" w:space="0"/>
                  </w:tcBorders>
                  <w:vAlign w:val="center"/>
                </w:tcPr>
                <w:p>
                  <w:pPr>
                    <w:spacing w:line="300" w:lineRule="exact"/>
                    <w:ind w:right="-53" w:rightChars="-25"/>
                    <w:jc w:val="center"/>
                    <w:rPr>
                      <w:kern w:val="0"/>
                      <w:sz w:val="18"/>
                      <w:szCs w:val="18"/>
                    </w:rPr>
                  </w:pPr>
                  <w:r>
                    <w:rPr>
                      <w:kern w:val="0"/>
                      <w:sz w:val="18"/>
                      <w:szCs w:val="18"/>
                    </w:rPr>
                    <w:t>昼间</w:t>
                  </w:r>
                </w:p>
              </w:tc>
              <w:tc>
                <w:tcPr>
                  <w:tcW w:w="758" w:type="dxa"/>
                  <w:tcBorders>
                    <w:top w:val="single" w:color="auto" w:sz="4" w:space="0"/>
                    <w:left w:val="nil"/>
                    <w:bottom w:val="single" w:color="auto" w:sz="4" w:space="0"/>
                    <w:right w:val="single" w:color="auto" w:sz="4" w:space="0"/>
                  </w:tcBorders>
                  <w:vAlign w:val="center"/>
                </w:tcPr>
                <w:p>
                  <w:pPr>
                    <w:spacing w:line="300" w:lineRule="exact"/>
                    <w:ind w:right="-53" w:rightChars="-25"/>
                    <w:jc w:val="center"/>
                    <w:rPr>
                      <w:kern w:val="0"/>
                      <w:sz w:val="18"/>
                      <w:szCs w:val="18"/>
                    </w:rPr>
                  </w:pPr>
                  <w:r>
                    <w:rPr>
                      <w:kern w:val="0"/>
                      <w:sz w:val="18"/>
                      <w:szCs w:val="18"/>
                    </w:rPr>
                    <w:t>夜间</w:t>
                  </w:r>
                </w:p>
              </w:tc>
              <w:tc>
                <w:tcPr>
                  <w:tcW w:w="800"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昼间</w:t>
                  </w:r>
                </w:p>
              </w:tc>
              <w:tc>
                <w:tcPr>
                  <w:tcW w:w="782"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kern w:val="0"/>
                      <w:sz w:val="18"/>
                      <w:szCs w:val="18"/>
                    </w:rPr>
                  </w:pPr>
                  <w:r>
                    <w:rPr>
                      <w:kern w:val="0"/>
                      <w:sz w:val="18"/>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158"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东厂界</w:t>
                  </w:r>
                </w:p>
              </w:tc>
              <w:tc>
                <w:tcPr>
                  <w:tcW w:w="644" w:type="dxa"/>
                  <w:tcBorders>
                    <w:top w:val="single" w:color="auto" w:sz="4" w:space="0"/>
                    <w:left w:val="nil"/>
                    <w:bottom w:val="single" w:color="auto" w:sz="4" w:space="0"/>
                    <w:right w:val="single" w:color="auto" w:sz="4" w:space="0"/>
                  </w:tcBorders>
                  <w:vAlign w:val="bottom"/>
                </w:tcPr>
                <w:p>
                  <w:pPr>
                    <w:spacing w:line="300" w:lineRule="exact"/>
                    <w:ind w:left="-53" w:leftChars="-25" w:right="-53" w:rightChars="-25"/>
                    <w:jc w:val="center"/>
                    <w:rPr>
                      <w:sz w:val="18"/>
                      <w:szCs w:val="18"/>
                    </w:rPr>
                  </w:pPr>
                  <w:r>
                    <w:rPr>
                      <w:rFonts w:hint="eastAsia"/>
                      <w:sz w:val="18"/>
                      <w:szCs w:val="18"/>
                    </w:rPr>
                    <w:t>80</w:t>
                  </w:r>
                </w:p>
              </w:tc>
              <w:tc>
                <w:tcPr>
                  <w:tcW w:w="600" w:type="dxa"/>
                  <w:tcBorders>
                    <w:top w:val="single" w:color="auto" w:sz="4" w:space="0"/>
                    <w:left w:val="single" w:color="auto" w:sz="4" w:space="0"/>
                    <w:bottom w:val="single" w:color="auto" w:sz="4" w:space="0"/>
                    <w:right w:val="single" w:color="auto" w:sz="4" w:space="0"/>
                  </w:tcBorders>
                  <w:vAlign w:val="bottom"/>
                </w:tcPr>
                <w:p>
                  <w:pPr>
                    <w:spacing w:line="300" w:lineRule="exact"/>
                    <w:ind w:left="-53" w:leftChars="-25" w:right="-53" w:rightChars="-25"/>
                    <w:jc w:val="center"/>
                    <w:rPr>
                      <w:sz w:val="18"/>
                      <w:szCs w:val="18"/>
                    </w:rPr>
                  </w:pPr>
                  <w:r>
                    <w:rPr>
                      <w:rFonts w:hint="eastAsia"/>
                      <w:sz w:val="18"/>
                      <w:szCs w:val="18"/>
                    </w:rPr>
                    <w:t>70</w:t>
                  </w:r>
                </w:p>
              </w:tc>
              <w:tc>
                <w:tcPr>
                  <w:tcW w:w="687" w:type="dxa"/>
                  <w:tcBorders>
                    <w:top w:val="single" w:color="auto" w:sz="4" w:space="0"/>
                    <w:left w:val="single" w:color="auto" w:sz="4" w:space="0"/>
                    <w:bottom w:val="single" w:color="auto" w:sz="4" w:space="0"/>
                    <w:right w:val="single" w:color="auto" w:sz="4" w:space="0"/>
                  </w:tcBorders>
                  <w:vAlign w:val="bottom"/>
                </w:tcPr>
                <w:p>
                  <w:pPr>
                    <w:spacing w:line="300" w:lineRule="exact"/>
                    <w:ind w:left="-53" w:leftChars="-25" w:right="-53" w:rightChars="-25"/>
                    <w:jc w:val="center"/>
                    <w:rPr>
                      <w:sz w:val="18"/>
                      <w:szCs w:val="18"/>
                    </w:rPr>
                  </w:pPr>
                  <w:r>
                    <w:rPr>
                      <w:sz w:val="18"/>
                      <w:szCs w:val="18"/>
                    </w:rPr>
                    <w:t>11</w:t>
                  </w:r>
                </w:p>
              </w:tc>
              <w:tc>
                <w:tcPr>
                  <w:tcW w:w="787" w:type="dxa"/>
                  <w:tcBorders>
                    <w:top w:val="single" w:color="auto" w:sz="4" w:space="0"/>
                    <w:left w:val="nil"/>
                    <w:bottom w:val="single" w:color="auto" w:sz="4" w:space="0"/>
                    <w:right w:val="single" w:color="auto" w:sz="4" w:space="0"/>
                  </w:tcBorders>
                  <w:vAlign w:val="bottom"/>
                </w:tcPr>
                <w:p>
                  <w:pPr>
                    <w:spacing w:line="300" w:lineRule="exact"/>
                    <w:ind w:left="-53" w:leftChars="-25" w:right="-53" w:rightChars="-25"/>
                    <w:jc w:val="center"/>
                    <w:rPr>
                      <w:sz w:val="18"/>
                      <w:szCs w:val="18"/>
                    </w:rPr>
                  </w:pPr>
                  <w:r>
                    <w:rPr>
                      <w:rFonts w:hint="eastAsia"/>
                      <w:sz w:val="18"/>
                      <w:szCs w:val="18"/>
                    </w:rPr>
                    <w:t>59.2</w:t>
                  </w:r>
                  <w:r>
                    <w:rPr>
                      <w:sz w:val="18"/>
                      <w:szCs w:val="18"/>
                    </w:rPr>
                    <w:t xml:space="preserve"> </w:t>
                  </w:r>
                </w:p>
              </w:tc>
              <w:tc>
                <w:tcPr>
                  <w:tcW w:w="759" w:type="dxa"/>
                  <w:tcBorders>
                    <w:top w:val="single" w:color="auto" w:sz="4" w:space="0"/>
                    <w:left w:val="single" w:color="auto" w:sz="4" w:space="0"/>
                    <w:bottom w:val="single" w:color="auto" w:sz="4" w:space="0"/>
                    <w:right w:val="single" w:color="auto" w:sz="4" w:space="0"/>
                  </w:tcBorders>
                  <w:vAlign w:val="bottom"/>
                </w:tcPr>
                <w:p>
                  <w:pPr>
                    <w:spacing w:line="300" w:lineRule="exact"/>
                    <w:ind w:left="-53" w:leftChars="-25" w:right="-53" w:rightChars="-25"/>
                    <w:jc w:val="center"/>
                    <w:rPr>
                      <w:sz w:val="18"/>
                      <w:szCs w:val="18"/>
                    </w:rPr>
                  </w:pPr>
                  <w:r>
                    <w:rPr>
                      <w:sz w:val="18"/>
                      <w:szCs w:val="18"/>
                    </w:rPr>
                    <w:t xml:space="preserve">49.2 </w:t>
                  </w:r>
                </w:p>
              </w:tc>
              <w:tc>
                <w:tcPr>
                  <w:tcW w:w="786" w:type="dxa"/>
                  <w:tcBorders>
                    <w:top w:val="single" w:color="auto" w:sz="4" w:space="0"/>
                    <w:left w:val="nil"/>
                    <w:bottom w:val="single" w:color="auto" w:sz="4" w:space="0"/>
                    <w:right w:val="single" w:color="auto" w:sz="4" w:space="0"/>
                  </w:tcBorders>
                  <w:vAlign w:val="center"/>
                </w:tcPr>
                <w:p>
                  <w:pPr>
                    <w:spacing w:line="300" w:lineRule="exact"/>
                    <w:ind w:right="-53" w:rightChars="-25"/>
                    <w:jc w:val="center"/>
                    <w:rPr>
                      <w:kern w:val="0"/>
                      <w:sz w:val="18"/>
                      <w:szCs w:val="18"/>
                    </w:rPr>
                  </w:pPr>
                  <w:r>
                    <w:rPr>
                      <w:rFonts w:hint="eastAsia"/>
                      <w:kern w:val="0"/>
                      <w:sz w:val="18"/>
                      <w:szCs w:val="18"/>
                    </w:rPr>
                    <w:t>60</w:t>
                  </w:r>
                </w:p>
              </w:tc>
              <w:tc>
                <w:tcPr>
                  <w:tcW w:w="758" w:type="dxa"/>
                  <w:tcBorders>
                    <w:top w:val="single" w:color="auto" w:sz="4" w:space="0"/>
                    <w:left w:val="nil"/>
                    <w:bottom w:val="single" w:color="auto" w:sz="4" w:space="0"/>
                    <w:right w:val="single" w:color="auto" w:sz="4" w:space="0"/>
                  </w:tcBorders>
                  <w:vAlign w:val="center"/>
                </w:tcPr>
                <w:p>
                  <w:pPr>
                    <w:spacing w:line="300" w:lineRule="exact"/>
                    <w:ind w:right="-53" w:rightChars="-25"/>
                    <w:jc w:val="center"/>
                    <w:rPr>
                      <w:kern w:val="0"/>
                      <w:sz w:val="18"/>
                      <w:szCs w:val="18"/>
                    </w:rPr>
                  </w:pPr>
                  <w:r>
                    <w:rPr>
                      <w:rFonts w:hint="eastAsia"/>
                      <w:kern w:val="0"/>
                      <w:sz w:val="18"/>
                      <w:szCs w:val="18"/>
                    </w:rPr>
                    <w:t>50</w:t>
                  </w:r>
                </w:p>
              </w:tc>
              <w:tc>
                <w:tcPr>
                  <w:tcW w:w="800"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达标</w:t>
                  </w:r>
                </w:p>
              </w:tc>
              <w:tc>
                <w:tcPr>
                  <w:tcW w:w="782"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158"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南厂界</w:t>
                  </w:r>
                </w:p>
              </w:tc>
              <w:tc>
                <w:tcPr>
                  <w:tcW w:w="644" w:type="dxa"/>
                  <w:tcBorders>
                    <w:top w:val="single" w:color="auto" w:sz="4" w:space="0"/>
                    <w:left w:val="nil"/>
                    <w:bottom w:val="single" w:color="auto" w:sz="4" w:space="0"/>
                    <w:right w:val="single" w:color="auto" w:sz="4" w:space="0"/>
                  </w:tcBorders>
                  <w:vAlign w:val="bottom"/>
                </w:tcPr>
                <w:p>
                  <w:pPr>
                    <w:spacing w:line="300" w:lineRule="exact"/>
                    <w:ind w:left="-53" w:leftChars="-25" w:right="-53" w:rightChars="-25"/>
                    <w:jc w:val="center"/>
                    <w:rPr>
                      <w:sz w:val="18"/>
                      <w:szCs w:val="18"/>
                    </w:rPr>
                  </w:pPr>
                  <w:r>
                    <w:rPr>
                      <w:rFonts w:hint="eastAsia"/>
                      <w:sz w:val="18"/>
                      <w:szCs w:val="18"/>
                    </w:rPr>
                    <w:t>80</w:t>
                  </w:r>
                </w:p>
              </w:tc>
              <w:tc>
                <w:tcPr>
                  <w:tcW w:w="600" w:type="dxa"/>
                  <w:tcBorders>
                    <w:top w:val="single" w:color="auto" w:sz="4" w:space="0"/>
                    <w:left w:val="single" w:color="auto" w:sz="4" w:space="0"/>
                    <w:bottom w:val="single" w:color="auto" w:sz="4" w:space="0"/>
                    <w:right w:val="single" w:color="auto" w:sz="4" w:space="0"/>
                  </w:tcBorders>
                  <w:vAlign w:val="bottom"/>
                </w:tcPr>
                <w:p>
                  <w:pPr>
                    <w:spacing w:line="300" w:lineRule="exact"/>
                    <w:ind w:left="-53" w:leftChars="-25" w:right="-53" w:rightChars="-25"/>
                    <w:jc w:val="center"/>
                    <w:rPr>
                      <w:sz w:val="18"/>
                      <w:szCs w:val="18"/>
                    </w:rPr>
                  </w:pPr>
                  <w:r>
                    <w:rPr>
                      <w:rFonts w:hint="eastAsia"/>
                      <w:sz w:val="18"/>
                      <w:szCs w:val="18"/>
                    </w:rPr>
                    <w:t>70</w:t>
                  </w:r>
                </w:p>
              </w:tc>
              <w:tc>
                <w:tcPr>
                  <w:tcW w:w="687" w:type="dxa"/>
                  <w:tcBorders>
                    <w:top w:val="single" w:color="auto" w:sz="4" w:space="0"/>
                    <w:left w:val="single" w:color="auto" w:sz="4" w:space="0"/>
                    <w:bottom w:val="single" w:color="auto" w:sz="4" w:space="0"/>
                    <w:right w:val="single" w:color="auto" w:sz="4" w:space="0"/>
                  </w:tcBorders>
                  <w:vAlign w:val="bottom"/>
                </w:tcPr>
                <w:p>
                  <w:pPr>
                    <w:spacing w:line="300" w:lineRule="exact"/>
                    <w:ind w:left="-53" w:leftChars="-25" w:right="-53" w:rightChars="-25"/>
                    <w:jc w:val="center"/>
                    <w:rPr>
                      <w:sz w:val="18"/>
                      <w:szCs w:val="18"/>
                    </w:rPr>
                  </w:pPr>
                  <w:r>
                    <w:rPr>
                      <w:sz w:val="18"/>
                      <w:szCs w:val="18"/>
                    </w:rPr>
                    <w:t>20</w:t>
                  </w:r>
                </w:p>
              </w:tc>
              <w:tc>
                <w:tcPr>
                  <w:tcW w:w="787" w:type="dxa"/>
                  <w:tcBorders>
                    <w:top w:val="single" w:color="auto" w:sz="4" w:space="0"/>
                    <w:left w:val="nil"/>
                    <w:bottom w:val="single" w:color="auto" w:sz="4" w:space="0"/>
                    <w:right w:val="single" w:color="auto" w:sz="4" w:space="0"/>
                  </w:tcBorders>
                  <w:vAlign w:val="bottom"/>
                </w:tcPr>
                <w:p>
                  <w:pPr>
                    <w:spacing w:line="300" w:lineRule="exact"/>
                    <w:ind w:left="-53" w:leftChars="-25" w:right="-53" w:rightChars="-25"/>
                    <w:jc w:val="center"/>
                    <w:rPr>
                      <w:sz w:val="18"/>
                      <w:szCs w:val="18"/>
                    </w:rPr>
                  </w:pPr>
                  <w:r>
                    <w:rPr>
                      <w:sz w:val="18"/>
                      <w:szCs w:val="18"/>
                    </w:rPr>
                    <w:t xml:space="preserve">54.0 </w:t>
                  </w:r>
                </w:p>
              </w:tc>
              <w:tc>
                <w:tcPr>
                  <w:tcW w:w="759" w:type="dxa"/>
                  <w:tcBorders>
                    <w:top w:val="single" w:color="auto" w:sz="4" w:space="0"/>
                    <w:left w:val="single" w:color="auto" w:sz="4" w:space="0"/>
                    <w:bottom w:val="single" w:color="auto" w:sz="4" w:space="0"/>
                    <w:right w:val="single" w:color="auto" w:sz="4" w:space="0"/>
                  </w:tcBorders>
                  <w:vAlign w:val="bottom"/>
                </w:tcPr>
                <w:p>
                  <w:pPr>
                    <w:spacing w:line="300" w:lineRule="exact"/>
                    <w:ind w:left="-53" w:leftChars="-25" w:right="-53" w:rightChars="-25"/>
                    <w:jc w:val="center"/>
                    <w:rPr>
                      <w:sz w:val="18"/>
                      <w:szCs w:val="18"/>
                    </w:rPr>
                  </w:pPr>
                  <w:r>
                    <w:rPr>
                      <w:sz w:val="18"/>
                      <w:szCs w:val="18"/>
                    </w:rPr>
                    <w:t xml:space="preserve">44.0 </w:t>
                  </w:r>
                </w:p>
              </w:tc>
              <w:tc>
                <w:tcPr>
                  <w:tcW w:w="786" w:type="dxa"/>
                  <w:tcBorders>
                    <w:top w:val="single" w:color="auto" w:sz="4" w:space="0"/>
                    <w:left w:val="nil"/>
                    <w:bottom w:val="single" w:color="auto" w:sz="4" w:space="0"/>
                    <w:right w:val="single" w:color="auto" w:sz="4" w:space="0"/>
                  </w:tcBorders>
                  <w:vAlign w:val="center"/>
                </w:tcPr>
                <w:p>
                  <w:pPr>
                    <w:spacing w:line="300" w:lineRule="exact"/>
                    <w:ind w:right="-53" w:rightChars="-25"/>
                    <w:jc w:val="center"/>
                    <w:rPr>
                      <w:kern w:val="0"/>
                      <w:sz w:val="18"/>
                      <w:szCs w:val="18"/>
                    </w:rPr>
                  </w:pPr>
                  <w:r>
                    <w:rPr>
                      <w:rFonts w:hint="eastAsia"/>
                      <w:kern w:val="0"/>
                      <w:sz w:val="18"/>
                      <w:szCs w:val="18"/>
                    </w:rPr>
                    <w:t>60</w:t>
                  </w:r>
                </w:p>
              </w:tc>
              <w:tc>
                <w:tcPr>
                  <w:tcW w:w="758" w:type="dxa"/>
                  <w:tcBorders>
                    <w:top w:val="single" w:color="auto" w:sz="4" w:space="0"/>
                    <w:left w:val="nil"/>
                    <w:bottom w:val="single" w:color="auto" w:sz="4" w:space="0"/>
                    <w:right w:val="single" w:color="auto" w:sz="4" w:space="0"/>
                  </w:tcBorders>
                  <w:vAlign w:val="center"/>
                </w:tcPr>
                <w:p>
                  <w:pPr>
                    <w:spacing w:line="300" w:lineRule="exact"/>
                    <w:ind w:right="-53" w:rightChars="-25"/>
                    <w:jc w:val="center"/>
                    <w:rPr>
                      <w:kern w:val="0"/>
                      <w:sz w:val="18"/>
                      <w:szCs w:val="18"/>
                    </w:rPr>
                  </w:pPr>
                  <w:r>
                    <w:rPr>
                      <w:rFonts w:hint="eastAsia"/>
                      <w:kern w:val="0"/>
                      <w:sz w:val="18"/>
                      <w:szCs w:val="18"/>
                    </w:rPr>
                    <w:t>50</w:t>
                  </w:r>
                </w:p>
              </w:tc>
              <w:tc>
                <w:tcPr>
                  <w:tcW w:w="800"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bCs/>
                      <w:kern w:val="0"/>
                      <w:sz w:val="18"/>
                      <w:szCs w:val="18"/>
                    </w:rPr>
                  </w:pPr>
                  <w:r>
                    <w:rPr>
                      <w:rFonts w:hint="eastAsia"/>
                      <w:kern w:val="0"/>
                      <w:sz w:val="18"/>
                      <w:szCs w:val="18"/>
                    </w:rPr>
                    <w:t>达标</w:t>
                  </w:r>
                </w:p>
              </w:tc>
              <w:tc>
                <w:tcPr>
                  <w:tcW w:w="782"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bCs/>
                      <w:kern w:val="0"/>
                      <w:sz w:val="18"/>
                      <w:szCs w:val="18"/>
                    </w:rPr>
                  </w:pPr>
                  <w:r>
                    <w:rPr>
                      <w:rFonts w:hint="eastAsia"/>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158"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西厂界</w:t>
                  </w:r>
                </w:p>
              </w:tc>
              <w:tc>
                <w:tcPr>
                  <w:tcW w:w="644" w:type="dxa"/>
                  <w:tcBorders>
                    <w:top w:val="single" w:color="auto" w:sz="4" w:space="0"/>
                    <w:left w:val="nil"/>
                    <w:bottom w:val="single" w:color="auto" w:sz="4" w:space="0"/>
                    <w:right w:val="single" w:color="auto" w:sz="4" w:space="0"/>
                  </w:tcBorders>
                  <w:vAlign w:val="bottom"/>
                </w:tcPr>
                <w:p>
                  <w:pPr>
                    <w:spacing w:line="300" w:lineRule="exact"/>
                    <w:ind w:left="-53" w:leftChars="-25" w:right="-53" w:rightChars="-25"/>
                    <w:jc w:val="center"/>
                    <w:rPr>
                      <w:sz w:val="18"/>
                      <w:szCs w:val="18"/>
                    </w:rPr>
                  </w:pPr>
                  <w:r>
                    <w:rPr>
                      <w:rFonts w:hint="eastAsia"/>
                      <w:sz w:val="18"/>
                      <w:szCs w:val="18"/>
                    </w:rPr>
                    <w:t>80</w:t>
                  </w:r>
                </w:p>
              </w:tc>
              <w:tc>
                <w:tcPr>
                  <w:tcW w:w="600" w:type="dxa"/>
                  <w:tcBorders>
                    <w:top w:val="single" w:color="auto" w:sz="4" w:space="0"/>
                    <w:left w:val="single" w:color="auto" w:sz="4" w:space="0"/>
                    <w:bottom w:val="single" w:color="auto" w:sz="4" w:space="0"/>
                    <w:right w:val="single" w:color="auto" w:sz="4" w:space="0"/>
                  </w:tcBorders>
                  <w:vAlign w:val="bottom"/>
                </w:tcPr>
                <w:p>
                  <w:pPr>
                    <w:spacing w:line="300" w:lineRule="exact"/>
                    <w:ind w:left="-53" w:leftChars="-25" w:right="-53" w:rightChars="-25"/>
                    <w:jc w:val="center"/>
                    <w:rPr>
                      <w:sz w:val="18"/>
                      <w:szCs w:val="18"/>
                    </w:rPr>
                  </w:pPr>
                  <w:r>
                    <w:rPr>
                      <w:rFonts w:hint="eastAsia"/>
                      <w:sz w:val="18"/>
                      <w:szCs w:val="18"/>
                    </w:rPr>
                    <w:t>70</w:t>
                  </w:r>
                </w:p>
              </w:tc>
              <w:tc>
                <w:tcPr>
                  <w:tcW w:w="687" w:type="dxa"/>
                  <w:tcBorders>
                    <w:top w:val="single" w:color="auto" w:sz="4" w:space="0"/>
                    <w:left w:val="single" w:color="auto" w:sz="4" w:space="0"/>
                    <w:bottom w:val="single" w:color="auto" w:sz="4" w:space="0"/>
                    <w:right w:val="single" w:color="auto" w:sz="4" w:space="0"/>
                  </w:tcBorders>
                  <w:vAlign w:val="bottom"/>
                </w:tcPr>
                <w:p>
                  <w:pPr>
                    <w:spacing w:line="300" w:lineRule="exact"/>
                    <w:ind w:left="-53" w:leftChars="-25" w:right="-53" w:rightChars="-25"/>
                    <w:jc w:val="center"/>
                    <w:rPr>
                      <w:sz w:val="18"/>
                      <w:szCs w:val="18"/>
                    </w:rPr>
                  </w:pPr>
                  <w:r>
                    <w:rPr>
                      <w:sz w:val="18"/>
                      <w:szCs w:val="18"/>
                    </w:rPr>
                    <w:t>15</w:t>
                  </w:r>
                </w:p>
              </w:tc>
              <w:tc>
                <w:tcPr>
                  <w:tcW w:w="787" w:type="dxa"/>
                  <w:tcBorders>
                    <w:top w:val="single" w:color="auto" w:sz="4" w:space="0"/>
                    <w:left w:val="nil"/>
                    <w:bottom w:val="single" w:color="auto" w:sz="4" w:space="0"/>
                    <w:right w:val="single" w:color="auto" w:sz="4" w:space="0"/>
                  </w:tcBorders>
                  <w:vAlign w:val="bottom"/>
                </w:tcPr>
                <w:p>
                  <w:pPr>
                    <w:spacing w:line="300" w:lineRule="exact"/>
                    <w:ind w:left="-53" w:leftChars="-25" w:right="-53" w:rightChars="-25"/>
                    <w:jc w:val="center"/>
                    <w:rPr>
                      <w:sz w:val="18"/>
                      <w:szCs w:val="18"/>
                    </w:rPr>
                  </w:pPr>
                  <w:r>
                    <w:rPr>
                      <w:sz w:val="18"/>
                      <w:szCs w:val="18"/>
                    </w:rPr>
                    <w:t xml:space="preserve">56.5 </w:t>
                  </w:r>
                </w:p>
              </w:tc>
              <w:tc>
                <w:tcPr>
                  <w:tcW w:w="759" w:type="dxa"/>
                  <w:tcBorders>
                    <w:top w:val="single" w:color="auto" w:sz="4" w:space="0"/>
                    <w:left w:val="single" w:color="auto" w:sz="4" w:space="0"/>
                    <w:bottom w:val="single" w:color="auto" w:sz="4" w:space="0"/>
                    <w:right w:val="single" w:color="auto" w:sz="4" w:space="0"/>
                  </w:tcBorders>
                  <w:vAlign w:val="bottom"/>
                </w:tcPr>
                <w:p>
                  <w:pPr>
                    <w:spacing w:line="300" w:lineRule="exact"/>
                    <w:ind w:left="-53" w:leftChars="-25" w:right="-53" w:rightChars="-25"/>
                    <w:jc w:val="center"/>
                    <w:rPr>
                      <w:sz w:val="18"/>
                      <w:szCs w:val="18"/>
                    </w:rPr>
                  </w:pPr>
                  <w:r>
                    <w:rPr>
                      <w:sz w:val="18"/>
                      <w:szCs w:val="18"/>
                    </w:rPr>
                    <w:t xml:space="preserve">46.5 </w:t>
                  </w:r>
                </w:p>
              </w:tc>
              <w:tc>
                <w:tcPr>
                  <w:tcW w:w="786" w:type="dxa"/>
                  <w:tcBorders>
                    <w:top w:val="single" w:color="auto" w:sz="4" w:space="0"/>
                    <w:left w:val="nil"/>
                    <w:bottom w:val="single" w:color="auto" w:sz="4" w:space="0"/>
                    <w:right w:val="single" w:color="auto" w:sz="4" w:space="0"/>
                  </w:tcBorders>
                  <w:vAlign w:val="center"/>
                </w:tcPr>
                <w:p>
                  <w:pPr>
                    <w:spacing w:line="300" w:lineRule="exact"/>
                    <w:ind w:right="-53" w:rightChars="-25"/>
                    <w:jc w:val="center"/>
                    <w:rPr>
                      <w:kern w:val="0"/>
                      <w:sz w:val="18"/>
                      <w:szCs w:val="18"/>
                    </w:rPr>
                  </w:pPr>
                  <w:r>
                    <w:rPr>
                      <w:rFonts w:hint="eastAsia"/>
                      <w:kern w:val="0"/>
                      <w:sz w:val="18"/>
                      <w:szCs w:val="18"/>
                    </w:rPr>
                    <w:t>60</w:t>
                  </w:r>
                </w:p>
              </w:tc>
              <w:tc>
                <w:tcPr>
                  <w:tcW w:w="758" w:type="dxa"/>
                  <w:tcBorders>
                    <w:top w:val="single" w:color="auto" w:sz="4" w:space="0"/>
                    <w:left w:val="nil"/>
                    <w:bottom w:val="single" w:color="auto" w:sz="4" w:space="0"/>
                    <w:right w:val="single" w:color="auto" w:sz="4" w:space="0"/>
                  </w:tcBorders>
                  <w:vAlign w:val="center"/>
                </w:tcPr>
                <w:p>
                  <w:pPr>
                    <w:spacing w:line="300" w:lineRule="exact"/>
                    <w:ind w:right="-53" w:rightChars="-25"/>
                    <w:jc w:val="center"/>
                    <w:rPr>
                      <w:kern w:val="0"/>
                      <w:sz w:val="18"/>
                      <w:szCs w:val="18"/>
                    </w:rPr>
                  </w:pPr>
                  <w:r>
                    <w:rPr>
                      <w:rFonts w:hint="eastAsia"/>
                      <w:kern w:val="0"/>
                      <w:sz w:val="18"/>
                      <w:szCs w:val="18"/>
                    </w:rPr>
                    <w:t>50</w:t>
                  </w:r>
                </w:p>
              </w:tc>
              <w:tc>
                <w:tcPr>
                  <w:tcW w:w="800"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b/>
                      <w:bCs/>
                      <w:kern w:val="0"/>
                      <w:sz w:val="18"/>
                      <w:szCs w:val="18"/>
                    </w:rPr>
                  </w:pPr>
                  <w:r>
                    <w:rPr>
                      <w:rFonts w:hint="eastAsia"/>
                      <w:kern w:val="0"/>
                      <w:sz w:val="18"/>
                      <w:szCs w:val="18"/>
                    </w:rPr>
                    <w:t>达标</w:t>
                  </w:r>
                </w:p>
              </w:tc>
              <w:tc>
                <w:tcPr>
                  <w:tcW w:w="782"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b/>
                      <w:bCs/>
                      <w:kern w:val="0"/>
                      <w:sz w:val="18"/>
                      <w:szCs w:val="18"/>
                    </w:rPr>
                  </w:pPr>
                  <w:r>
                    <w:rPr>
                      <w:rFonts w:hint="eastAsia"/>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 w:hRule="atLeast"/>
                <w:jc w:val="center"/>
              </w:trPr>
              <w:tc>
                <w:tcPr>
                  <w:tcW w:w="1158"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北厂界</w:t>
                  </w:r>
                </w:p>
              </w:tc>
              <w:tc>
                <w:tcPr>
                  <w:tcW w:w="644" w:type="dxa"/>
                  <w:tcBorders>
                    <w:top w:val="single" w:color="auto" w:sz="4" w:space="0"/>
                    <w:left w:val="nil"/>
                    <w:bottom w:val="single" w:color="auto" w:sz="4" w:space="0"/>
                    <w:right w:val="single" w:color="auto" w:sz="4" w:space="0"/>
                  </w:tcBorders>
                  <w:vAlign w:val="bottom"/>
                </w:tcPr>
                <w:p>
                  <w:pPr>
                    <w:spacing w:line="300" w:lineRule="exact"/>
                    <w:ind w:left="-53" w:leftChars="-25" w:right="-53" w:rightChars="-25"/>
                    <w:jc w:val="center"/>
                    <w:rPr>
                      <w:sz w:val="18"/>
                      <w:szCs w:val="18"/>
                    </w:rPr>
                  </w:pPr>
                  <w:r>
                    <w:rPr>
                      <w:rFonts w:hint="eastAsia"/>
                      <w:sz w:val="18"/>
                      <w:szCs w:val="18"/>
                    </w:rPr>
                    <w:t>80</w:t>
                  </w:r>
                </w:p>
              </w:tc>
              <w:tc>
                <w:tcPr>
                  <w:tcW w:w="600" w:type="dxa"/>
                  <w:tcBorders>
                    <w:top w:val="single" w:color="auto" w:sz="4" w:space="0"/>
                    <w:left w:val="single" w:color="auto" w:sz="4" w:space="0"/>
                    <w:bottom w:val="single" w:color="auto" w:sz="4" w:space="0"/>
                    <w:right w:val="single" w:color="auto" w:sz="4" w:space="0"/>
                  </w:tcBorders>
                  <w:vAlign w:val="bottom"/>
                </w:tcPr>
                <w:p>
                  <w:pPr>
                    <w:spacing w:line="300" w:lineRule="exact"/>
                    <w:ind w:left="-53" w:leftChars="-25" w:right="-53" w:rightChars="-25"/>
                    <w:jc w:val="center"/>
                    <w:rPr>
                      <w:sz w:val="18"/>
                      <w:szCs w:val="18"/>
                    </w:rPr>
                  </w:pPr>
                  <w:r>
                    <w:rPr>
                      <w:rFonts w:hint="eastAsia"/>
                      <w:sz w:val="18"/>
                      <w:szCs w:val="18"/>
                    </w:rPr>
                    <w:t>70</w:t>
                  </w:r>
                </w:p>
              </w:tc>
              <w:tc>
                <w:tcPr>
                  <w:tcW w:w="687" w:type="dxa"/>
                  <w:tcBorders>
                    <w:top w:val="single" w:color="auto" w:sz="4" w:space="0"/>
                    <w:left w:val="single" w:color="auto" w:sz="4" w:space="0"/>
                    <w:bottom w:val="single" w:color="auto" w:sz="4" w:space="0"/>
                    <w:right w:val="single" w:color="auto" w:sz="4" w:space="0"/>
                  </w:tcBorders>
                  <w:vAlign w:val="bottom"/>
                </w:tcPr>
                <w:p>
                  <w:pPr>
                    <w:spacing w:line="300" w:lineRule="exact"/>
                    <w:ind w:left="-53" w:leftChars="-25" w:right="-53" w:rightChars="-25"/>
                    <w:jc w:val="center"/>
                    <w:rPr>
                      <w:sz w:val="18"/>
                      <w:szCs w:val="18"/>
                    </w:rPr>
                  </w:pPr>
                  <w:r>
                    <w:rPr>
                      <w:sz w:val="18"/>
                      <w:szCs w:val="18"/>
                    </w:rPr>
                    <w:t>68</w:t>
                  </w:r>
                </w:p>
              </w:tc>
              <w:tc>
                <w:tcPr>
                  <w:tcW w:w="787" w:type="dxa"/>
                  <w:tcBorders>
                    <w:top w:val="single" w:color="auto" w:sz="4" w:space="0"/>
                    <w:left w:val="nil"/>
                    <w:bottom w:val="single" w:color="auto" w:sz="4" w:space="0"/>
                    <w:right w:val="single" w:color="auto" w:sz="4" w:space="0"/>
                  </w:tcBorders>
                  <w:vAlign w:val="bottom"/>
                </w:tcPr>
                <w:p>
                  <w:pPr>
                    <w:spacing w:line="300" w:lineRule="exact"/>
                    <w:ind w:left="-53" w:leftChars="-25" w:right="-53" w:rightChars="-25"/>
                    <w:jc w:val="center"/>
                    <w:rPr>
                      <w:sz w:val="18"/>
                      <w:szCs w:val="18"/>
                    </w:rPr>
                  </w:pPr>
                  <w:r>
                    <w:rPr>
                      <w:sz w:val="18"/>
                      <w:szCs w:val="18"/>
                    </w:rPr>
                    <w:t xml:space="preserve">43.3 </w:t>
                  </w:r>
                </w:p>
              </w:tc>
              <w:tc>
                <w:tcPr>
                  <w:tcW w:w="759" w:type="dxa"/>
                  <w:tcBorders>
                    <w:top w:val="single" w:color="auto" w:sz="4" w:space="0"/>
                    <w:left w:val="single" w:color="auto" w:sz="4" w:space="0"/>
                    <w:bottom w:val="single" w:color="auto" w:sz="4" w:space="0"/>
                    <w:right w:val="single" w:color="auto" w:sz="4" w:space="0"/>
                  </w:tcBorders>
                  <w:vAlign w:val="bottom"/>
                </w:tcPr>
                <w:p>
                  <w:pPr>
                    <w:spacing w:line="300" w:lineRule="exact"/>
                    <w:ind w:left="-53" w:leftChars="-25" w:right="-53" w:rightChars="-25"/>
                    <w:jc w:val="center"/>
                    <w:rPr>
                      <w:sz w:val="18"/>
                      <w:szCs w:val="18"/>
                    </w:rPr>
                  </w:pPr>
                  <w:r>
                    <w:rPr>
                      <w:sz w:val="18"/>
                      <w:szCs w:val="18"/>
                    </w:rPr>
                    <w:t xml:space="preserve">33.3 </w:t>
                  </w:r>
                </w:p>
              </w:tc>
              <w:tc>
                <w:tcPr>
                  <w:tcW w:w="786" w:type="dxa"/>
                  <w:tcBorders>
                    <w:top w:val="single" w:color="auto" w:sz="4" w:space="0"/>
                    <w:left w:val="nil"/>
                    <w:bottom w:val="single" w:color="auto" w:sz="4" w:space="0"/>
                    <w:right w:val="single" w:color="auto" w:sz="4" w:space="0"/>
                  </w:tcBorders>
                  <w:vAlign w:val="center"/>
                </w:tcPr>
                <w:p>
                  <w:pPr>
                    <w:spacing w:line="300" w:lineRule="exact"/>
                    <w:ind w:right="-53" w:rightChars="-25"/>
                    <w:jc w:val="center"/>
                    <w:rPr>
                      <w:kern w:val="0"/>
                      <w:sz w:val="18"/>
                      <w:szCs w:val="18"/>
                    </w:rPr>
                  </w:pPr>
                  <w:r>
                    <w:rPr>
                      <w:rFonts w:hint="eastAsia"/>
                      <w:kern w:val="0"/>
                      <w:sz w:val="18"/>
                      <w:szCs w:val="18"/>
                    </w:rPr>
                    <w:t>60</w:t>
                  </w:r>
                </w:p>
              </w:tc>
              <w:tc>
                <w:tcPr>
                  <w:tcW w:w="758" w:type="dxa"/>
                  <w:tcBorders>
                    <w:top w:val="single" w:color="auto" w:sz="4" w:space="0"/>
                    <w:left w:val="nil"/>
                    <w:bottom w:val="single" w:color="auto" w:sz="4" w:space="0"/>
                    <w:right w:val="single" w:color="auto" w:sz="4" w:space="0"/>
                  </w:tcBorders>
                  <w:vAlign w:val="center"/>
                </w:tcPr>
                <w:p>
                  <w:pPr>
                    <w:spacing w:line="300" w:lineRule="exact"/>
                    <w:ind w:right="-53" w:rightChars="-25"/>
                    <w:jc w:val="center"/>
                    <w:rPr>
                      <w:kern w:val="0"/>
                      <w:sz w:val="18"/>
                      <w:szCs w:val="18"/>
                    </w:rPr>
                  </w:pPr>
                  <w:r>
                    <w:rPr>
                      <w:rFonts w:hint="eastAsia"/>
                      <w:kern w:val="0"/>
                      <w:sz w:val="18"/>
                      <w:szCs w:val="18"/>
                    </w:rPr>
                    <w:t>50</w:t>
                  </w:r>
                </w:p>
              </w:tc>
              <w:tc>
                <w:tcPr>
                  <w:tcW w:w="800"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达标</w:t>
                  </w:r>
                </w:p>
              </w:tc>
              <w:tc>
                <w:tcPr>
                  <w:tcW w:w="782"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达标</w:t>
                  </w:r>
                </w:p>
              </w:tc>
            </w:tr>
          </w:tbl>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由上表预测结果可知，本项目设备噪声通过建筑隔声、基础减振、距离衰减等措施的情况下，项目厂界四周噪声值能够满足《工业企业厂界环境噪声排放标准》（GB12348）2类声环境功能区的排放限值要求。评价认为，项目建设不会改变区域声环境质量现状。</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声环境保护目标的噪声预测结果：</w:t>
            </w:r>
          </w:p>
          <w:p>
            <w:pPr>
              <w:adjustRightInd w:val="0"/>
              <w:snapToGrid w:val="0"/>
              <w:spacing w:line="400" w:lineRule="exact"/>
              <w:jc w:val="center"/>
              <w:rPr>
                <w:rFonts w:eastAsia="黑体"/>
                <w:sz w:val="18"/>
                <w:szCs w:val="18"/>
              </w:rPr>
            </w:pPr>
            <w:r>
              <w:rPr>
                <w:rFonts w:ascii="黑体" w:hAnsi="黑体" w:eastAsia="黑体"/>
                <w:sz w:val="18"/>
                <w:szCs w:val="18"/>
              </w:rPr>
              <w:t>表</w:t>
            </w:r>
            <w:r>
              <w:rPr>
                <w:rFonts w:hint="eastAsia" w:eastAsia="黑体"/>
                <w:sz w:val="18"/>
                <w:szCs w:val="18"/>
              </w:rPr>
              <w:t xml:space="preserve">4-5   </w:t>
            </w:r>
            <w:r>
              <w:rPr>
                <w:rFonts w:hint="eastAsia" w:ascii="黑体" w:hAnsi="黑体" w:eastAsia="黑体"/>
                <w:sz w:val="18"/>
                <w:szCs w:val="18"/>
              </w:rPr>
              <w:t>声环境保护目标的</w:t>
            </w:r>
            <w:r>
              <w:rPr>
                <w:rFonts w:ascii="黑体" w:hAnsi="黑体" w:eastAsia="黑体"/>
                <w:sz w:val="18"/>
                <w:szCs w:val="18"/>
              </w:rPr>
              <w:t>噪声预测结果</w:t>
            </w:r>
            <w:r>
              <w:rPr>
                <w:rFonts w:hint="eastAsia" w:ascii="黑体" w:hAnsi="黑体" w:eastAsia="黑体"/>
                <w:bCs/>
                <w:sz w:val="18"/>
                <w:szCs w:val="18"/>
              </w:rPr>
              <w:t>单位：</w:t>
            </w:r>
            <w:r>
              <w:rPr>
                <w:rFonts w:hint="eastAsia"/>
                <w:sz w:val="18"/>
                <w:szCs w:val="18"/>
              </w:rPr>
              <w:t>dB(A)</w:t>
            </w:r>
          </w:p>
          <w:tbl>
            <w:tblPr>
              <w:tblStyle w:val="20"/>
              <w:tblW w:w="79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673"/>
              <w:gridCol w:w="649"/>
              <w:gridCol w:w="667"/>
              <w:gridCol w:w="653"/>
              <w:gridCol w:w="691"/>
              <w:gridCol w:w="629"/>
              <w:gridCol w:w="672"/>
              <w:gridCol w:w="648"/>
              <w:gridCol w:w="684"/>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 w:hRule="atLeast"/>
                <w:jc w:val="center"/>
              </w:trPr>
              <w:tc>
                <w:tcPr>
                  <w:tcW w:w="1321" w:type="dxa"/>
                  <w:vMerge w:val="restart"/>
                  <w:tcBorders>
                    <w:top w:val="single" w:color="auto" w:sz="4" w:space="0"/>
                    <w:left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项目</w:t>
                  </w:r>
                </w:p>
              </w:tc>
              <w:tc>
                <w:tcPr>
                  <w:tcW w:w="1322" w:type="dxa"/>
                  <w:gridSpan w:val="2"/>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贡献值</w:t>
                  </w:r>
                </w:p>
              </w:tc>
              <w:tc>
                <w:tcPr>
                  <w:tcW w:w="1320" w:type="dxa"/>
                  <w:gridSpan w:val="2"/>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背景值</w:t>
                  </w:r>
                </w:p>
              </w:tc>
              <w:tc>
                <w:tcPr>
                  <w:tcW w:w="1320" w:type="dxa"/>
                  <w:gridSpan w:val="2"/>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预测值</w:t>
                  </w:r>
                </w:p>
              </w:tc>
              <w:tc>
                <w:tcPr>
                  <w:tcW w:w="1320" w:type="dxa"/>
                  <w:gridSpan w:val="2"/>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执行标准</w:t>
                  </w:r>
                </w:p>
              </w:tc>
              <w:tc>
                <w:tcPr>
                  <w:tcW w:w="1352" w:type="dxa"/>
                  <w:gridSpan w:val="2"/>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 w:hRule="atLeast"/>
                <w:jc w:val="center"/>
              </w:trPr>
              <w:tc>
                <w:tcPr>
                  <w:tcW w:w="1321" w:type="dxa"/>
                  <w:vMerge w:val="continue"/>
                  <w:tcBorders>
                    <w:left w:val="single" w:color="auto" w:sz="4" w:space="0"/>
                    <w:bottom w:val="single" w:color="auto" w:sz="4" w:space="0"/>
                    <w:right w:val="single" w:color="auto" w:sz="4" w:space="0"/>
                  </w:tcBorders>
                  <w:vAlign w:val="center"/>
                </w:tcPr>
                <w:p>
                  <w:pPr>
                    <w:widowControl/>
                    <w:spacing w:line="300" w:lineRule="exact"/>
                    <w:jc w:val="left"/>
                    <w:rPr>
                      <w:kern w:val="0"/>
                      <w:sz w:val="18"/>
                      <w:szCs w:val="18"/>
                    </w:rPr>
                  </w:pPr>
                </w:p>
              </w:tc>
              <w:tc>
                <w:tcPr>
                  <w:tcW w:w="673" w:type="dxa"/>
                  <w:tcBorders>
                    <w:top w:val="single" w:color="auto" w:sz="4" w:space="0"/>
                    <w:left w:val="nil"/>
                    <w:bottom w:val="single" w:color="auto" w:sz="4" w:space="0"/>
                    <w:right w:val="single" w:color="auto" w:sz="4" w:space="0"/>
                  </w:tcBorders>
                  <w:vAlign w:val="center"/>
                </w:tcPr>
                <w:p>
                  <w:pPr>
                    <w:widowControl/>
                    <w:spacing w:line="300" w:lineRule="exact"/>
                    <w:jc w:val="center"/>
                    <w:rPr>
                      <w:kern w:val="0"/>
                      <w:sz w:val="18"/>
                      <w:szCs w:val="18"/>
                    </w:rPr>
                  </w:pPr>
                  <w:r>
                    <w:rPr>
                      <w:rFonts w:hint="eastAsia"/>
                      <w:kern w:val="0"/>
                      <w:sz w:val="18"/>
                      <w:szCs w:val="18"/>
                    </w:rPr>
                    <w:t>昼间</w:t>
                  </w:r>
                </w:p>
              </w:tc>
              <w:tc>
                <w:tcPr>
                  <w:tcW w:w="64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kern w:val="0"/>
                      <w:sz w:val="18"/>
                      <w:szCs w:val="18"/>
                    </w:rPr>
                  </w:pPr>
                  <w:r>
                    <w:rPr>
                      <w:rFonts w:hint="eastAsia"/>
                      <w:kern w:val="0"/>
                      <w:sz w:val="18"/>
                      <w:szCs w:val="18"/>
                    </w:rPr>
                    <w:t>夜间</w:t>
                  </w:r>
                </w:p>
              </w:tc>
              <w:tc>
                <w:tcPr>
                  <w:tcW w:w="667" w:type="dxa"/>
                  <w:tcBorders>
                    <w:top w:val="single" w:color="auto" w:sz="4" w:space="0"/>
                    <w:left w:val="nil"/>
                    <w:bottom w:val="single" w:color="auto" w:sz="4" w:space="0"/>
                    <w:right w:val="single" w:color="auto" w:sz="4" w:space="0"/>
                  </w:tcBorders>
                  <w:vAlign w:val="center"/>
                </w:tcPr>
                <w:p>
                  <w:pPr>
                    <w:spacing w:line="300" w:lineRule="exact"/>
                    <w:ind w:right="-53" w:rightChars="-25"/>
                    <w:jc w:val="center"/>
                    <w:rPr>
                      <w:kern w:val="0"/>
                      <w:sz w:val="18"/>
                      <w:szCs w:val="18"/>
                    </w:rPr>
                  </w:pPr>
                  <w:r>
                    <w:rPr>
                      <w:rFonts w:hint="eastAsia"/>
                      <w:kern w:val="0"/>
                      <w:sz w:val="18"/>
                      <w:szCs w:val="18"/>
                    </w:rPr>
                    <w:t>昼间</w:t>
                  </w:r>
                </w:p>
              </w:tc>
              <w:tc>
                <w:tcPr>
                  <w:tcW w:w="653" w:type="dxa"/>
                  <w:tcBorders>
                    <w:top w:val="single" w:color="auto" w:sz="4" w:space="0"/>
                    <w:left w:val="single" w:color="auto" w:sz="4" w:space="0"/>
                    <w:bottom w:val="single" w:color="auto" w:sz="4" w:space="0"/>
                    <w:right w:val="single" w:color="auto" w:sz="4" w:space="0"/>
                  </w:tcBorders>
                  <w:vAlign w:val="center"/>
                </w:tcPr>
                <w:p>
                  <w:pPr>
                    <w:spacing w:line="300" w:lineRule="exact"/>
                    <w:ind w:right="-53" w:rightChars="-25"/>
                    <w:jc w:val="center"/>
                    <w:rPr>
                      <w:kern w:val="0"/>
                      <w:sz w:val="18"/>
                      <w:szCs w:val="18"/>
                    </w:rPr>
                  </w:pPr>
                  <w:r>
                    <w:rPr>
                      <w:rFonts w:hint="eastAsia"/>
                      <w:kern w:val="0"/>
                      <w:sz w:val="18"/>
                      <w:szCs w:val="18"/>
                    </w:rPr>
                    <w:t>夜间</w:t>
                  </w:r>
                </w:p>
              </w:tc>
              <w:tc>
                <w:tcPr>
                  <w:tcW w:w="691" w:type="dxa"/>
                  <w:tcBorders>
                    <w:top w:val="single" w:color="auto" w:sz="4" w:space="0"/>
                    <w:left w:val="nil"/>
                    <w:bottom w:val="single" w:color="auto" w:sz="4" w:space="0"/>
                    <w:right w:val="single" w:color="auto" w:sz="4" w:space="0"/>
                  </w:tcBorders>
                  <w:vAlign w:val="center"/>
                </w:tcPr>
                <w:p>
                  <w:pPr>
                    <w:spacing w:line="300" w:lineRule="exact"/>
                    <w:ind w:right="-53" w:rightChars="-25"/>
                    <w:jc w:val="center"/>
                    <w:rPr>
                      <w:kern w:val="0"/>
                      <w:sz w:val="18"/>
                      <w:szCs w:val="18"/>
                    </w:rPr>
                  </w:pPr>
                  <w:r>
                    <w:rPr>
                      <w:rFonts w:hint="eastAsia"/>
                      <w:kern w:val="0"/>
                      <w:sz w:val="18"/>
                      <w:szCs w:val="18"/>
                    </w:rPr>
                    <w:t>昼间</w:t>
                  </w:r>
                </w:p>
              </w:tc>
              <w:tc>
                <w:tcPr>
                  <w:tcW w:w="629" w:type="dxa"/>
                  <w:tcBorders>
                    <w:top w:val="single" w:color="auto" w:sz="4" w:space="0"/>
                    <w:left w:val="single" w:color="auto" w:sz="4" w:space="0"/>
                    <w:bottom w:val="single" w:color="auto" w:sz="4" w:space="0"/>
                    <w:right w:val="single" w:color="auto" w:sz="4" w:space="0"/>
                  </w:tcBorders>
                  <w:vAlign w:val="center"/>
                </w:tcPr>
                <w:p>
                  <w:pPr>
                    <w:spacing w:line="300" w:lineRule="exact"/>
                    <w:ind w:right="-53" w:rightChars="-25"/>
                    <w:jc w:val="center"/>
                    <w:rPr>
                      <w:kern w:val="0"/>
                      <w:sz w:val="18"/>
                      <w:szCs w:val="18"/>
                    </w:rPr>
                  </w:pPr>
                  <w:r>
                    <w:rPr>
                      <w:rFonts w:hint="eastAsia"/>
                      <w:kern w:val="0"/>
                      <w:sz w:val="18"/>
                      <w:szCs w:val="18"/>
                    </w:rPr>
                    <w:t>夜间</w:t>
                  </w:r>
                </w:p>
              </w:tc>
              <w:tc>
                <w:tcPr>
                  <w:tcW w:w="672" w:type="dxa"/>
                  <w:tcBorders>
                    <w:top w:val="single" w:color="auto" w:sz="4" w:space="0"/>
                    <w:left w:val="nil"/>
                    <w:bottom w:val="single" w:color="auto" w:sz="4" w:space="0"/>
                    <w:right w:val="single" w:color="auto" w:sz="4" w:space="0"/>
                  </w:tcBorders>
                  <w:vAlign w:val="center"/>
                </w:tcPr>
                <w:p>
                  <w:pPr>
                    <w:spacing w:line="300" w:lineRule="exact"/>
                    <w:ind w:right="-53" w:rightChars="-25"/>
                    <w:jc w:val="center"/>
                    <w:rPr>
                      <w:kern w:val="0"/>
                      <w:sz w:val="18"/>
                      <w:szCs w:val="18"/>
                    </w:rPr>
                  </w:pPr>
                  <w:r>
                    <w:rPr>
                      <w:kern w:val="0"/>
                      <w:sz w:val="18"/>
                      <w:szCs w:val="18"/>
                    </w:rPr>
                    <w:t>昼间</w:t>
                  </w:r>
                </w:p>
              </w:tc>
              <w:tc>
                <w:tcPr>
                  <w:tcW w:w="648" w:type="dxa"/>
                  <w:tcBorders>
                    <w:top w:val="single" w:color="auto" w:sz="4" w:space="0"/>
                    <w:left w:val="nil"/>
                    <w:bottom w:val="single" w:color="auto" w:sz="4" w:space="0"/>
                    <w:right w:val="single" w:color="auto" w:sz="4" w:space="0"/>
                  </w:tcBorders>
                  <w:vAlign w:val="center"/>
                </w:tcPr>
                <w:p>
                  <w:pPr>
                    <w:spacing w:line="300" w:lineRule="exact"/>
                    <w:ind w:right="-53" w:rightChars="-25"/>
                    <w:jc w:val="center"/>
                    <w:rPr>
                      <w:kern w:val="0"/>
                      <w:sz w:val="18"/>
                      <w:szCs w:val="18"/>
                    </w:rPr>
                  </w:pPr>
                  <w:r>
                    <w:rPr>
                      <w:kern w:val="0"/>
                      <w:sz w:val="18"/>
                      <w:szCs w:val="18"/>
                    </w:rPr>
                    <w:t>夜间</w:t>
                  </w:r>
                </w:p>
              </w:tc>
              <w:tc>
                <w:tcPr>
                  <w:tcW w:w="684"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kern w:val="0"/>
                      <w:sz w:val="18"/>
                      <w:szCs w:val="18"/>
                    </w:rPr>
                  </w:pPr>
                  <w:r>
                    <w:rPr>
                      <w:rFonts w:hint="eastAsia"/>
                      <w:kern w:val="0"/>
                      <w:sz w:val="18"/>
                      <w:szCs w:val="18"/>
                    </w:rPr>
                    <w:t>昼间</w:t>
                  </w:r>
                </w:p>
              </w:tc>
              <w:tc>
                <w:tcPr>
                  <w:tcW w:w="668"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kern w:val="0"/>
                      <w:sz w:val="18"/>
                      <w:szCs w:val="18"/>
                    </w:rPr>
                  </w:pPr>
                  <w:r>
                    <w:rPr>
                      <w:kern w:val="0"/>
                      <w:sz w:val="18"/>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1321"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东北面住户</w:t>
                  </w:r>
                </w:p>
              </w:tc>
              <w:tc>
                <w:tcPr>
                  <w:tcW w:w="673" w:type="dxa"/>
                  <w:tcBorders>
                    <w:top w:val="single" w:color="auto" w:sz="4" w:space="0"/>
                    <w:left w:val="nil"/>
                    <w:bottom w:val="single" w:color="auto" w:sz="4" w:space="0"/>
                    <w:right w:val="single" w:color="auto" w:sz="4" w:space="0"/>
                  </w:tcBorders>
                  <w:vAlign w:val="bottom"/>
                </w:tcPr>
                <w:p>
                  <w:pPr>
                    <w:spacing w:line="300" w:lineRule="exact"/>
                    <w:ind w:left="-53" w:leftChars="-25" w:right="-53" w:rightChars="-25"/>
                    <w:jc w:val="center"/>
                    <w:rPr>
                      <w:sz w:val="18"/>
                      <w:szCs w:val="18"/>
                    </w:rPr>
                  </w:pPr>
                  <w:r>
                    <w:rPr>
                      <w:sz w:val="18"/>
                      <w:szCs w:val="18"/>
                    </w:rPr>
                    <w:t xml:space="preserve">41.9 </w:t>
                  </w:r>
                </w:p>
              </w:tc>
              <w:tc>
                <w:tcPr>
                  <w:tcW w:w="649" w:type="dxa"/>
                  <w:tcBorders>
                    <w:top w:val="single" w:color="auto" w:sz="4" w:space="0"/>
                    <w:left w:val="single" w:color="auto" w:sz="4" w:space="0"/>
                    <w:bottom w:val="single" w:color="auto" w:sz="4" w:space="0"/>
                    <w:right w:val="single" w:color="auto" w:sz="4" w:space="0"/>
                  </w:tcBorders>
                  <w:vAlign w:val="bottom"/>
                </w:tcPr>
                <w:p>
                  <w:pPr>
                    <w:spacing w:line="300" w:lineRule="exact"/>
                    <w:ind w:left="-53" w:leftChars="-25" w:right="-53" w:rightChars="-25"/>
                    <w:jc w:val="center"/>
                    <w:rPr>
                      <w:sz w:val="18"/>
                      <w:szCs w:val="18"/>
                    </w:rPr>
                  </w:pPr>
                  <w:r>
                    <w:rPr>
                      <w:rFonts w:hint="eastAsia"/>
                      <w:sz w:val="18"/>
                      <w:szCs w:val="18"/>
                    </w:rPr>
                    <w:t>3</w:t>
                  </w:r>
                  <w:r>
                    <w:rPr>
                      <w:sz w:val="18"/>
                      <w:szCs w:val="18"/>
                    </w:rPr>
                    <w:t xml:space="preserve">1.9 </w:t>
                  </w:r>
                </w:p>
              </w:tc>
              <w:tc>
                <w:tcPr>
                  <w:tcW w:w="667"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54.00</w:t>
                  </w:r>
                </w:p>
              </w:tc>
              <w:tc>
                <w:tcPr>
                  <w:tcW w:w="653"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45.00</w:t>
                  </w:r>
                </w:p>
              </w:tc>
              <w:tc>
                <w:tcPr>
                  <w:tcW w:w="691"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8"/>
                      <w:szCs w:val="18"/>
                    </w:rPr>
                  </w:pPr>
                  <w:r>
                    <w:rPr>
                      <w:sz w:val="18"/>
                      <w:szCs w:val="18"/>
                    </w:rPr>
                    <w:t xml:space="preserve">54.3 </w:t>
                  </w:r>
                </w:p>
              </w:tc>
              <w:tc>
                <w:tcPr>
                  <w:tcW w:w="629"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sz w:val="18"/>
                      <w:szCs w:val="18"/>
                    </w:rPr>
                    <w:t xml:space="preserve">45.2 </w:t>
                  </w:r>
                </w:p>
              </w:tc>
              <w:tc>
                <w:tcPr>
                  <w:tcW w:w="672"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60</w:t>
                  </w:r>
                </w:p>
              </w:tc>
              <w:tc>
                <w:tcPr>
                  <w:tcW w:w="648"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50</w:t>
                  </w:r>
                </w:p>
              </w:tc>
              <w:tc>
                <w:tcPr>
                  <w:tcW w:w="684"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bCs/>
                      <w:kern w:val="0"/>
                      <w:sz w:val="18"/>
                      <w:szCs w:val="18"/>
                    </w:rPr>
                  </w:pPr>
                  <w:r>
                    <w:rPr>
                      <w:rFonts w:hint="eastAsia"/>
                      <w:kern w:val="0"/>
                      <w:sz w:val="18"/>
                      <w:szCs w:val="18"/>
                    </w:rPr>
                    <w:t>达标</w:t>
                  </w:r>
                </w:p>
              </w:tc>
              <w:tc>
                <w:tcPr>
                  <w:tcW w:w="668"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bCs/>
                      <w:kern w:val="0"/>
                      <w:sz w:val="18"/>
                      <w:szCs w:val="18"/>
                    </w:rPr>
                  </w:pPr>
                  <w:r>
                    <w:rPr>
                      <w:rFonts w:hint="eastAsia"/>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1321"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东面住户</w:t>
                  </w:r>
                </w:p>
              </w:tc>
              <w:tc>
                <w:tcPr>
                  <w:tcW w:w="673" w:type="dxa"/>
                  <w:tcBorders>
                    <w:top w:val="single" w:color="auto" w:sz="4" w:space="0"/>
                    <w:left w:val="nil"/>
                    <w:bottom w:val="single" w:color="auto" w:sz="4" w:space="0"/>
                    <w:right w:val="single" w:color="auto" w:sz="4" w:space="0"/>
                  </w:tcBorders>
                  <w:vAlign w:val="bottom"/>
                </w:tcPr>
                <w:p>
                  <w:pPr>
                    <w:spacing w:line="300" w:lineRule="exact"/>
                    <w:ind w:left="-53" w:leftChars="-25" w:right="-53" w:rightChars="-25"/>
                    <w:jc w:val="center"/>
                    <w:rPr>
                      <w:sz w:val="18"/>
                      <w:szCs w:val="18"/>
                    </w:rPr>
                  </w:pPr>
                  <w:r>
                    <w:rPr>
                      <w:sz w:val="18"/>
                      <w:szCs w:val="18"/>
                    </w:rPr>
                    <w:t xml:space="preserve">56.5 </w:t>
                  </w:r>
                </w:p>
              </w:tc>
              <w:tc>
                <w:tcPr>
                  <w:tcW w:w="649" w:type="dxa"/>
                  <w:tcBorders>
                    <w:top w:val="single" w:color="auto" w:sz="4" w:space="0"/>
                    <w:left w:val="single" w:color="auto" w:sz="4" w:space="0"/>
                    <w:bottom w:val="single" w:color="auto" w:sz="4" w:space="0"/>
                    <w:right w:val="single" w:color="auto" w:sz="4" w:space="0"/>
                  </w:tcBorders>
                  <w:vAlign w:val="bottom"/>
                </w:tcPr>
                <w:p>
                  <w:pPr>
                    <w:spacing w:line="300" w:lineRule="exact"/>
                    <w:ind w:left="-53" w:leftChars="-25" w:right="-53" w:rightChars="-25"/>
                    <w:jc w:val="center"/>
                    <w:rPr>
                      <w:sz w:val="18"/>
                      <w:szCs w:val="18"/>
                    </w:rPr>
                  </w:pPr>
                  <w:r>
                    <w:rPr>
                      <w:rFonts w:hint="eastAsia"/>
                      <w:sz w:val="18"/>
                      <w:szCs w:val="18"/>
                    </w:rPr>
                    <w:t>4</w:t>
                  </w:r>
                  <w:r>
                    <w:rPr>
                      <w:sz w:val="18"/>
                      <w:szCs w:val="18"/>
                    </w:rPr>
                    <w:t xml:space="preserve">6.5 </w:t>
                  </w:r>
                </w:p>
              </w:tc>
              <w:tc>
                <w:tcPr>
                  <w:tcW w:w="667"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56.00</w:t>
                  </w:r>
                </w:p>
              </w:tc>
              <w:tc>
                <w:tcPr>
                  <w:tcW w:w="653"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47.00</w:t>
                  </w:r>
                </w:p>
              </w:tc>
              <w:tc>
                <w:tcPr>
                  <w:tcW w:w="691"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8"/>
                      <w:szCs w:val="18"/>
                    </w:rPr>
                  </w:pPr>
                  <w:r>
                    <w:rPr>
                      <w:sz w:val="18"/>
                      <w:szCs w:val="18"/>
                    </w:rPr>
                    <w:t xml:space="preserve">59.3 </w:t>
                  </w:r>
                </w:p>
              </w:tc>
              <w:tc>
                <w:tcPr>
                  <w:tcW w:w="629"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sz w:val="18"/>
                      <w:szCs w:val="18"/>
                    </w:rPr>
                    <w:t xml:space="preserve">49.8 </w:t>
                  </w:r>
                </w:p>
              </w:tc>
              <w:tc>
                <w:tcPr>
                  <w:tcW w:w="672"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60</w:t>
                  </w:r>
                </w:p>
              </w:tc>
              <w:tc>
                <w:tcPr>
                  <w:tcW w:w="648"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50</w:t>
                  </w:r>
                </w:p>
              </w:tc>
              <w:tc>
                <w:tcPr>
                  <w:tcW w:w="684"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bCs/>
                      <w:kern w:val="0"/>
                      <w:sz w:val="18"/>
                      <w:szCs w:val="18"/>
                    </w:rPr>
                  </w:pPr>
                  <w:r>
                    <w:rPr>
                      <w:rFonts w:hint="eastAsia"/>
                      <w:kern w:val="0"/>
                      <w:sz w:val="18"/>
                      <w:szCs w:val="18"/>
                    </w:rPr>
                    <w:t>达标</w:t>
                  </w:r>
                </w:p>
              </w:tc>
              <w:tc>
                <w:tcPr>
                  <w:tcW w:w="668"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bCs/>
                      <w:kern w:val="0"/>
                      <w:sz w:val="18"/>
                      <w:szCs w:val="18"/>
                    </w:rPr>
                  </w:pPr>
                  <w:r>
                    <w:rPr>
                      <w:rFonts w:hint="eastAsia"/>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1321"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东南面住户</w:t>
                  </w:r>
                </w:p>
              </w:tc>
              <w:tc>
                <w:tcPr>
                  <w:tcW w:w="673" w:type="dxa"/>
                  <w:tcBorders>
                    <w:top w:val="single" w:color="auto" w:sz="4" w:space="0"/>
                    <w:left w:val="nil"/>
                    <w:bottom w:val="single" w:color="auto" w:sz="4" w:space="0"/>
                    <w:right w:val="single" w:color="auto" w:sz="4" w:space="0"/>
                  </w:tcBorders>
                  <w:vAlign w:val="bottom"/>
                </w:tcPr>
                <w:p>
                  <w:pPr>
                    <w:spacing w:line="300" w:lineRule="exact"/>
                    <w:ind w:left="-53" w:leftChars="-25" w:right="-53" w:rightChars="-25"/>
                    <w:jc w:val="center"/>
                    <w:rPr>
                      <w:sz w:val="18"/>
                      <w:szCs w:val="18"/>
                    </w:rPr>
                  </w:pPr>
                  <w:r>
                    <w:rPr>
                      <w:sz w:val="18"/>
                      <w:szCs w:val="18"/>
                    </w:rPr>
                    <w:t xml:space="preserve">55.9 </w:t>
                  </w:r>
                </w:p>
              </w:tc>
              <w:tc>
                <w:tcPr>
                  <w:tcW w:w="649" w:type="dxa"/>
                  <w:tcBorders>
                    <w:top w:val="single" w:color="auto" w:sz="4" w:space="0"/>
                    <w:left w:val="single" w:color="auto" w:sz="4" w:space="0"/>
                    <w:bottom w:val="single" w:color="auto" w:sz="4" w:space="0"/>
                    <w:right w:val="single" w:color="auto" w:sz="4" w:space="0"/>
                  </w:tcBorders>
                  <w:vAlign w:val="bottom"/>
                </w:tcPr>
                <w:p>
                  <w:pPr>
                    <w:spacing w:line="300" w:lineRule="exact"/>
                    <w:ind w:left="-53" w:leftChars="-25" w:right="-53" w:rightChars="-25"/>
                    <w:jc w:val="center"/>
                    <w:rPr>
                      <w:sz w:val="18"/>
                      <w:szCs w:val="18"/>
                    </w:rPr>
                  </w:pPr>
                  <w:r>
                    <w:rPr>
                      <w:rFonts w:hint="eastAsia"/>
                      <w:sz w:val="18"/>
                      <w:szCs w:val="18"/>
                    </w:rPr>
                    <w:t>4</w:t>
                  </w:r>
                  <w:r>
                    <w:rPr>
                      <w:sz w:val="18"/>
                      <w:szCs w:val="18"/>
                    </w:rPr>
                    <w:t xml:space="preserve">5.9 </w:t>
                  </w:r>
                </w:p>
              </w:tc>
              <w:tc>
                <w:tcPr>
                  <w:tcW w:w="667"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57.00</w:t>
                  </w:r>
                </w:p>
              </w:tc>
              <w:tc>
                <w:tcPr>
                  <w:tcW w:w="653"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47.00</w:t>
                  </w:r>
                </w:p>
              </w:tc>
              <w:tc>
                <w:tcPr>
                  <w:tcW w:w="691"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8"/>
                      <w:szCs w:val="18"/>
                    </w:rPr>
                  </w:pPr>
                  <w:r>
                    <w:rPr>
                      <w:sz w:val="18"/>
                      <w:szCs w:val="18"/>
                    </w:rPr>
                    <w:t xml:space="preserve">59.5 </w:t>
                  </w:r>
                </w:p>
              </w:tc>
              <w:tc>
                <w:tcPr>
                  <w:tcW w:w="629"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sz w:val="18"/>
                      <w:szCs w:val="18"/>
                    </w:rPr>
                    <w:t xml:space="preserve">49.5 </w:t>
                  </w:r>
                </w:p>
              </w:tc>
              <w:tc>
                <w:tcPr>
                  <w:tcW w:w="672"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60</w:t>
                  </w:r>
                </w:p>
              </w:tc>
              <w:tc>
                <w:tcPr>
                  <w:tcW w:w="648"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50</w:t>
                  </w:r>
                </w:p>
              </w:tc>
              <w:tc>
                <w:tcPr>
                  <w:tcW w:w="684"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bCs/>
                      <w:kern w:val="0"/>
                      <w:sz w:val="18"/>
                      <w:szCs w:val="18"/>
                    </w:rPr>
                  </w:pPr>
                  <w:r>
                    <w:rPr>
                      <w:rFonts w:hint="eastAsia"/>
                      <w:kern w:val="0"/>
                      <w:sz w:val="18"/>
                      <w:szCs w:val="18"/>
                    </w:rPr>
                    <w:t>达标</w:t>
                  </w:r>
                </w:p>
              </w:tc>
              <w:tc>
                <w:tcPr>
                  <w:tcW w:w="668"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bCs/>
                      <w:kern w:val="0"/>
                      <w:sz w:val="18"/>
                      <w:szCs w:val="18"/>
                    </w:rPr>
                  </w:pPr>
                  <w:r>
                    <w:rPr>
                      <w:rFonts w:hint="eastAsia"/>
                      <w:kern w:val="0"/>
                      <w:sz w:val="18"/>
                      <w:szCs w:val="18"/>
                    </w:rPr>
                    <w:t>达标</w:t>
                  </w:r>
                </w:p>
              </w:tc>
            </w:tr>
          </w:tbl>
          <w:p>
            <w:pPr>
              <w:autoSpaceDE w:val="0"/>
              <w:autoSpaceDN w:val="0"/>
              <w:adjustRightInd w:val="0"/>
              <w:snapToGrid w:val="0"/>
              <w:spacing w:line="400" w:lineRule="exact"/>
              <w:ind w:firstLine="420" w:firstLineChars="200"/>
              <w:jc w:val="left"/>
              <w:rPr>
                <w:kern w:val="0"/>
                <w:szCs w:val="21"/>
              </w:rPr>
            </w:pPr>
            <w:r>
              <w:rPr>
                <w:kern w:val="0"/>
                <w:szCs w:val="21"/>
              </w:rPr>
              <w:t>由上表预测结果可知，本项目</w:t>
            </w:r>
            <w:r>
              <w:rPr>
                <w:rFonts w:hint="eastAsia"/>
                <w:kern w:val="0"/>
                <w:szCs w:val="21"/>
              </w:rPr>
              <w:t>周边声环境保护目标处的噪声值</w:t>
            </w:r>
            <w:r>
              <w:rPr>
                <w:kern w:val="0"/>
                <w:szCs w:val="21"/>
              </w:rPr>
              <w:t>能够满足《</w:t>
            </w:r>
            <w:r>
              <w:rPr>
                <w:rFonts w:hint="eastAsia"/>
                <w:kern w:val="0"/>
                <w:szCs w:val="21"/>
              </w:rPr>
              <w:t>声环境质量标准</w:t>
            </w:r>
            <w:r>
              <w:rPr>
                <w:kern w:val="0"/>
                <w:szCs w:val="21"/>
              </w:rPr>
              <w:t>》（</w:t>
            </w:r>
            <w:r>
              <w:rPr>
                <w:rFonts w:hint="eastAsia"/>
                <w:kern w:val="0"/>
                <w:szCs w:val="21"/>
              </w:rPr>
              <w:t>GB 3096-2008</w:t>
            </w:r>
            <w:r>
              <w:rPr>
                <w:kern w:val="0"/>
                <w:szCs w:val="21"/>
              </w:rPr>
              <w:t>）</w:t>
            </w:r>
            <w:r>
              <w:rPr>
                <w:rFonts w:hint="eastAsia"/>
                <w:kern w:val="0"/>
                <w:szCs w:val="21"/>
              </w:rPr>
              <w:t>中相应声环境功能区的标准</w:t>
            </w:r>
            <w:r>
              <w:rPr>
                <w:kern w:val="0"/>
                <w:szCs w:val="21"/>
              </w:rPr>
              <w:t>限值要求。评价认为，项目</w:t>
            </w:r>
            <w:r>
              <w:rPr>
                <w:rFonts w:hint="eastAsia"/>
                <w:kern w:val="0"/>
                <w:szCs w:val="21"/>
              </w:rPr>
              <w:t>的</w:t>
            </w:r>
            <w:r>
              <w:rPr>
                <w:kern w:val="0"/>
                <w:szCs w:val="21"/>
              </w:rPr>
              <w:t>建设不会</w:t>
            </w:r>
            <w:r>
              <w:rPr>
                <w:rFonts w:hint="eastAsia"/>
                <w:kern w:val="0"/>
                <w:szCs w:val="21"/>
              </w:rPr>
              <w:t>对周边住户造成扰民影响</w:t>
            </w:r>
            <w:r>
              <w:rPr>
                <w:kern w:val="0"/>
                <w:szCs w:val="21"/>
              </w:rPr>
              <w:t>。</w:t>
            </w:r>
          </w:p>
          <w:p>
            <w:pPr>
              <w:autoSpaceDE w:val="0"/>
              <w:autoSpaceDN w:val="0"/>
              <w:adjustRightInd w:val="0"/>
              <w:snapToGrid w:val="0"/>
              <w:spacing w:line="400" w:lineRule="exact"/>
              <w:ind w:firstLine="420" w:firstLineChars="200"/>
              <w:jc w:val="left"/>
              <w:rPr>
                <w:kern w:val="0"/>
                <w:szCs w:val="21"/>
              </w:rPr>
            </w:pPr>
            <w:r>
              <w:rPr>
                <w:kern w:val="0"/>
                <w:szCs w:val="21"/>
              </w:rPr>
              <w:t>（3）监测计划</w:t>
            </w:r>
          </w:p>
          <w:p>
            <w:pPr>
              <w:autoSpaceDE w:val="0"/>
              <w:autoSpaceDN w:val="0"/>
              <w:adjustRightInd w:val="0"/>
              <w:snapToGrid w:val="0"/>
              <w:spacing w:line="400" w:lineRule="exact"/>
              <w:ind w:firstLine="420" w:firstLineChars="200"/>
              <w:jc w:val="left"/>
              <w:rPr>
                <w:kern w:val="0"/>
                <w:sz w:val="24"/>
                <w:szCs w:val="21"/>
              </w:rPr>
            </w:pPr>
            <w:r>
              <w:rPr>
                <w:kern w:val="0"/>
                <w:szCs w:val="21"/>
              </w:rPr>
              <w:t>根据《排污单位自行监测技术指南总则》（HJ819-2017）文件，并结合本项目污染物的特点，制定营运期监测计划见下表。</w:t>
            </w:r>
          </w:p>
          <w:p>
            <w:pPr>
              <w:autoSpaceDE w:val="0"/>
              <w:autoSpaceDN w:val="0"/>
              <w:adjustRightInd w:val="0"/>
              <w:spacing w:line="400" w:lineRule="exact"/>
              <w:ind w:firstLine="465"/>
              <w:jc w:val="center"/>
              <w:rPr>
                <w:rFonts w:eastAsia="黑体"/>
                <w:bCs/>
                <w:sz w:val="18"/>
                <w:szCs w:val="18"/>
              </w:rPr>
            </w:pPr>
            <w:r>
              <w:rPr>
                <w:rFonts w:eastAsia="黑体"/>
                <w:bCs/>
                <w:sz w:val="18"/>
                <w:szCs w:val="18"/>
              </w:rPr>
              <w:t>表</w:t>
            </w:r>
            <w:r>
              <w:rPr>
                <w:rFonts w:hint="eastAsia" w:eastAsia="黑体"/>
                <w:bCs/>
                <w:sz w:val="18"/>
                <w:szCs w:val="18"/>
              </w:rPr>
              <w:t xml:space="preserve">4-6    </w:t>
            </w:r>
            <w:r>
              <w:rPr>
                <w:rFonts w:eastAsia="黑体"/>
                <w:bCs/>
                <w:sz w:val="18"/>
                <w:szCs w:val="18"/>
              </w:rPr>
              <w:t>营运期噪声监测计划</w:t>
            </w:r>
          </w:p>
          <w:tbl>
            <w:tblPr>
              <w:tblStyle w:val="20"/>
              <w:tblW w:w="78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151"/>
              <w:gridCol w:w="1023"/>
              <w:gridCol w:w="944"/>
              <w:gridCol w:w="1063"/>
              <w:gridCol w:w="2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b/>
                      <w:sz w:val="18"/>
                      <w:szCs w:val="18"/>
                    </w:rPr>
                  </w:pPr>
                  <w:r>
                    <w:rPr>
                      <w:b/>
                      <w:sz w:val="18"/>
                      <w:szCs w:val="18"/>
                    </w:rPr>
                    <w:t>监测项目</w:t>
                  </w:r>
                </w:p>
              </w:tc>
              <w:tc>
                <w:tcPr>
                  <w:tcW w:w="1151"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
                      <w:sz w:val="18"/>
                      <w:szCs w:val="18"/>
                    </w:rPr>
                  </w:pPr>
                  <w:r>
                    <w:rPr>
                      <w:b/>
                      <w:sz w:val="18"/>
                      <w:szCs w:val="18"/>
                    </w:rPr>
                    <w:t>监测点位</w:t>
                  </w:r>
                </w:p>
              </w:tc>
              <w:tc>
                <w:tcPr>
                  <w:tcW w:w="1023"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
                      <w:sz w:val="18"/>
                      <w:szCs w:val="18"/>
                    </w:rPr>
                  </w:pPr>
                  <w:r>
                    <w:rPr>
                      <w:b/>
                      <w:sz w:val="18"/>
                      <w:szCs w:val="18"/>
                    </w:rPr>
                    <w:t>监测因子</w:t>
                  </w:r>
                </w:p>
              </w:tc>
              <w:tc>
                <w:tcPr>
                  <w:tcW w:w="94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
                      <w:sz w:val="18"/>
                      <w:szCs w:val="18"/>
                    </w:rPr>
                  </w:pPr>
                  <w:r>
                    <w:rPr>
                      <w:b/>
                      <w:sz w:val="18"/>
                      <w:szCs w:val="18"/>
                    </w:rPr>
                    <w:t>监测频次</w:t>
                  </w:r>
                </w:p>
              </w:tc>
              <w:tc>
                <w:tcPr>
                  <w:tcW w:w="1063"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
                      <w:sz w:val="18"/>
                      <w:szCs w:val="18"/>
                    </w:rPr>
                  </w:pPr>
                  <w:r>
                    <w:rPr>
                      <w:b/>
                      <w:sz w:val="18"/>
                      <w:szCs w:val="18"/>
                    </w:rPr>
                    <w:t>监测周期</w:t>
                  </w:r>
                </w:p>
              </w:tc>
              <w:tc>
                <w:tcPr>
                  <w:tcW w:w="2667"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
                      <w:sz w:val="18"/>
                      <w:szCs w:val="18"/>
                    </w:rPr>
                  </w:pPr>
                  <w:r>
                    <w:rPr>
                      <w:b/>
                      <w:sz w:val="18"/>
                      <w:szCs w:val="18"/>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988" w:type="dxa"/>
                  <w:vMerge w:val="restart"/>
                  <w:tcBorders>
                    <w:top w:val="single" w:color="auto" w:sz="4" w:space="0"/>
                    <w:left w:val="single" w:color="auto" w:sz="4" w:space="0"/>
                    <w:right w:val="single" w:color="auto" w:sz="4" w:space="0"/>
                  </w:tcBorders>
                  <w:vAlign w:val="center"/>
                </w:tcPr>
                <w:p>
                  <w:pPr>
                    <w:autoSpaceDE w:val="0"/>
                    <w:autoSpaceDN w:val="0"/>
                    <w:adjustRightInd w:val="0"/>
                    <w:spacing w:line="300" w:lineRule="exact"/>
                    <w:jc w:val="center"/>
                    <w:rPr>
                      <w:bCs/>
                      <w:sz w:val="18"/>
                      <w:szCs w:val="18"/>
                    </w:rPr>
                  </w:pPr>
                  <w:r>
                    <w:rPr>
                      <w:bCs/>
                      <w:sz w:val="18"/>
                      <w:szCs w:val="18"/>
                    </w:rPr>
                    <w:t>噪声</w:t>
                  </w:r>
                </w:p>
              </w:tc>
              <w:tc>
                <w:tcPr>
                  <w:tcW w:w="1151"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Cs/>
                      <w:sz w:val="18"/>
                      <w:szCs w:val="18"/>
                    </w:rPr>
                  </w:pPr>
                  <w:r>
                    <w:rPr>
                      <w:bCs/>
                      <w:sz w:val="18"/>
                      <w:szCs w:val="18"/>
                    </w:rPr>
                    <w:t>厂界四周</w:t>
                  </w:r>
                </w:p>
              </w:tc>
              <w:tc>
                <w:tcPr>
                  <w:tcW w:w="1023"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Cs/>
                      <w:sz w:val="18"/>
                      <w:szCs w:val="18"/>
                    </w:rPr>
                  </w:pPr>
                  <w:r>
                    <w:rPr>
                      <w:sz w:val="18"/>
                      <w:szCs w:val="18"/>
                    </w:rPr>
                    <w:t>噪声</w:t>
                  </w:r>
                </w:p>
              </w:tc>
              <w:tc>
                <w:tcPr>
                  <w:tcW w:w="94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Cs/>
                      <w:sz w:val="18"/>
                      <w:szCs w:val="18"/>
                    </w:rPr>
                  </w:pPr>
                  <w:r>
                    <w:rPr>
                      <w:rFonts w:hint="eastAsia"/>
                      <w:bCs/>
                      <w:sz w:val="18"/>
                      <w:szCs w:val="18"/>
                    </w:rPr>
                    <w:t>1</w:t>
                  </w:r>
                  <w:r>
                    <w:rPr>
                      <w:bCs/>
                      <w:sz w:val="18"/>
                      <w:szCs w:val="18"/>
                    </w:rPr>
                    <w:t>天</w:t>
                  </w:r>
                </w:p>
              </w:tc>
              <w:tc>
                <w:tcPr>
                  <w:tcW w:w="1063"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Cs/>
                      <w:sz w:val="18"/>
                      <w:szCs w:val="18"/>
                    </w:rPr>
                  </w:pPr>
                  <w:r>
                    <w:rPr>
                      <w:bCs/>
                      <w:sz w:val="18"/>
                      <w:szCs w:val="18"/>
                    </w:rPr>
                    <w:t>每季度1次</w:t>
                  </w:r>
                </w:p>
              </w:tc>
              <w:tc>
                <w:tcPr>
                  <w:tcW w:w="2667"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Cs/>
                      <w:sz w:val="18"/>
                      <w:szCs w:val="18"/>
                    </w:rPr>
                  </w:pPr>
                  <w:r>
                    <w:rPr>
                      <w:bCs/>
                      <w:sz w:val="18"/>
                      <w:szCs w:val="18"/>
                    </w:rPr>
                    <w:t>《工业企业厂界环境噪声排放标准》（GB12348-2008）</w:t>
                  </w:r>
                  <w:r>
                    <w:rPr>
                      <w:rFonts w:hint="eastAsia"/>
                      <w:bCs/>
                      <w:sz w:val="18"/>
                      <w:szCs w:val="18"/>
                    </w:rPr>
                    <w:t>2</w:t>
                  </w:r>
                  <w:r>
                    <w:rPr>
                      <w:bCs/>
                      <w:sz w:val="18"/>
                      <w:szCs w:val="18"/>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 w:hRule="atLeast"/>
                <w:jc w:val="center"/>
              </w:trPr>
              <w:tc>
                <w:tcPr>
                  <w:tcW w:w="988" w:type="dxa"/>
                  <w:vMerge w:val="continue"/>
                  <w:tcBorders>
                    <w:left w:val="single" w:color="auto" w:sz="4" w:space="0"/>
                    <w:right w:val="single" w:color="auto" w:sz="4" w:space="0"/>
                  </w:tcBorders>
                  <w:vAlign w:val="center"/>
                </w:tcPr>
                <w:p>
                  <w:pPr>
                    <w:autoSpaceDE w:val="0"/>
                    <w:autoSpaceDN w:val="0"/>
                    <w:adjustRightInd w:val="0"/>
                    <w:spacing w:line="300" w:lineRule="exact"/>
                    <w:jc w:val="center"/>
                    <w:rPr>
                      <w:bCs/>
                      <w:sz w:val="18"/>
                      <w:szCs w:val="18"/>
                    </w:rPr>
                  </w:pPr>
                </w:p>
              </w:tc>
              <w:tc>
                <w:tcPr>
                  <w:tcW w:w="1151"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Cs/>
                      <w:sz w:val="18"/>
                      <w:szCs w:val="18"/>
                    </w:rPr>
                  </w:pPr>
                  <w:r>
                    <w:rPr>
                      <w:rFonts w:hint="eastAsia"/>
                      <w:bCs/>
                      <w:sz w:val="18"/>
                      <w:szCs w:val="18"/>
                    </w:rPr>
                    <w:t>东北面住户</w:t>
                  </w:r>
                </w:p>
              </w:tc>
              <w:tc>
                <w:tcPr>
                  <w:tcW w:w="1023"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sz w:val="18"/>
                      <w:szCs w:val="18"/>
                    </w:rPr>
                  </w:pPr>
                  <w:r>
                    <w:rPr>
                      <w:sz w:val="18"/>
                      <w:szCs w:val="18"/>
                    </w:rPr>
                    <w:t>噪声</w:t>
                  </w:r>
                </w:p>
              </w:tc>
              <w:tc>
                <w:tcPr>
                  <w:tcW w:w="94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Cs/>
                      <w:sz w:val="18"/>
                      <w:szCs w:val="18"/>
                    </w:rPr>
                  </w:pPr>
                  <w:r>
                    <w:rPr>
                      <w:rFonts w:hint="eastAsia"/>
                      <w:bCs/>
                      <w:sz w:val="18"/>
                      <w:szCs w:val="18"/>
                    </w:rPr>
                    <w:t>1天</w:t>
                  </w:r>
                </w:p>
              </w:tc>
              <w:tc>
                <w:tcPr>
                  <w:tcW w:w="1063"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Cs/>
                      <w:sz w:val="18"/>
                      <w:szCs w:val="18"/>
                    </w:rPr>
                  </w:pPr>
                  <w:r>
                    <w:rPr>
                      <w:bCs/>
                      <w:sz w:val="18"/>
                      <w:szCs w:val="18"/>
                    </w:rPr>
                    <w:t>每年</w:t>
                  </w:r>
                  <w:r>
                    <w:rPr>
                      <w:rFonts w:hint="eastAsia"/>
                      <w:bCs/>
                      <w:sz w:val="18"/>
                      <w:szCs w:val="18"/>
                    </w:rPr>
                    <w:t>1</w:t>
                  </w:r>
                  <w:r>
                    <w:rPr>
                      <w:bCs/>
                      <w:sz w:val="18"/>
                      <w:szCs w:val="18"/>
                    </w:rPr>
                    <w:t>次</w:t>
                  </w:r>
                </w:p>
              </w:tc>
              <w:tc>
                <w:tcPr>
                  <w:tcW w:w="2667" w:type="dxa"/>
                  <w:vMerge w:val="restart"/>
                  <w:tcBorders>
                    <w:top w:val="single" w:color="auto" w:sz="4" w:space="0"/>
                    <w:left w:val="nil"/>
                    <w:right w:val="single" w:color="auto" w:sz="4" w:space="0"/>
                  </w:tcBorders>
                  <w:vAlign w:val="center"/>
                </w:tcPr>
                <w:p>
                  <w:pPr>
                    <w:autoSpaceDE w:val="0"/>
                    <w:autoSpaceDN w:val="0"/>
                    <w:adjustRightInd w:val="0"/>
                    <w:spacing w:line="300" w:lineRule="exact"/>
                    <w:jc w:val="center"/>
                    <w:rPr>
                      <w:bCs/>
                      <w:sz w:val="18"/>
                      <w:szCs w:val="18"/>
                    </w:rPr>
                  </w:pPr>
                  <w:r>
                    <w:rPr>
                      <w:rFonts w:hint="eastAsia"/>
                      <w:bCs/>
                      <w:sz w:val="18"/>
                      <w:szCs w:val="18"/>
                    </w:rPr>
                    <w:t>《声环境质量标准》（GB 3096-2008）2类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 w:hRule="atLeast"/>
                <w:jc w:val="center"/>
              </w:trPr>
              <w:tc>
                <w:tcPr>
                  <w:tcW w:w="988" w:type="dxa"/>
                  <w:vMerge w:val="continue"/>
                  <w:tcBorders>
                    <w:left w:val="single" w:color="auto" w:sz="4" w:space="0"/>
                    <w:right w:val="single" w:color="auto" w:sz="4" w:space="0"/>
                  </w:tcBorders>
                  <w:vAlign w:val="center"/>
                </w:tcPr>
                <w:p>
                  <w:pPr>
                    <w:autoSpaceDE w:val="0"/>
                    <w:autoSpaceDN w:val="0"/>
                    <w:adjustRightInd w:val="0"/>
                    <w:spacing w:line="300" w:lineRule="exact"/>
                    <w:jc w:val="center"/>
                    <w:rPr>
                      <w:bCs/>
                      <w:sz w:val="18"/>
                      <w:szCs w:val="18"/>
                    </w:rPr>
                  </w:pPr>
                </w:p>
              </w:tc>
              <w:tc>
                <w:tcPr>
                  <w:tcW w:w="1151"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Cs/>
                      <w:sz w:val="18"/>
                      <w:szCs w:val="18"/>
                    </w:rPr>
                  </w:pPr>
                  <w:r>
                    <w:rPr>
                      <w:rFonts w:hint="eastAsia"/>
                      <w:bCs/>
                      <w:sz w:val="18"/>
                      <w:szCs w:val="18"/>
                    </w:rPr>
                    <w:t>东面住户</w:t>
                  </w:r>
                </w:p>
              </w:tc>
              <w:tc>
                <w:tcPr>
                  <w:tcW w:w="1023"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sz w:val="18"/>
                      <w:szCs w:val="18"/>
                    </w:rPr>
                  </w:pPr>
                  <w:r>
                    <w:rPr>
                      <w:sz w:val="18"/>
                      <w:szCs w:val="18"/>
                    </w:rPr>
                    <w:t>噪声</w:t>
                  </w:r>
                </w:p>
              </w:tc>
              <w:tc>
                <w:tcPr>
                  <w:tcW w:w="94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Cs/>
                      <w:sz w:val="18"/>
                      <w:szCs w:val="18"/>
                    </w:rPr>
                  </w:pPr>
                  <w:r>
                    <w:rPr>
                      <w:rFonts w:hint="eastAsia"/>
                      <w:bCs/>
                      <w:sz w:val="18"/>
                      <w:szCs w:val="18"/>
                    </w:rPr>
                    <w:t>1天</w:t>
                  </w:r>
                </w:p>
              </w:tc>
              <w:tc>
                <w:tcPr>
                  <w:tcW w:w="1063"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Cs/>
                      <w:sz w:val="18"/>
                      <w:szCs w:val="18"/>
                    </w:rPr>
                  </w:pPr>
                  <w:r>
                    <w:rPr>
                      <w:bCs/>
                      <w:sz w:val="18"/>
                      <w:szCs w:val="18"/>
                    </w:rPr>
                    <w:t>每年</w:t>
                  </w:r>
                  <w:r>
                    <w:rPr>
                      <w:rFonts w:hint="eastAsia"/>
                      <w:bCs/>
                      <w:sz w:val="18"/>
                      <w:szCs w:val="18"/>
                    </w:rPr>
                    <w:t>1</w:t>
                  </w:r>
                  <w:r>
                    <w:rPr>
                      <w:bCs/>
                      <w:sz w:val="18"/>
                      <w:szCs w:val="18"/>
                    </w:rPr>
                    <w:t>次</w:t>
                  </w:r>
                </w:p>
              </w:tc>
              <w:tc>
                <w:tcPr>
                  <w:tcW w:w="2667" w:type="dxa"/>
                  <w:vMerge w:val="continue"/>
                  <w:tcBorders>
                    <w:left w:val="nil"/>
                    <w:right w:val="single" w:color="auto" w:sz="4" w:space="0"/>
                  </w:tcBorders>
                  <w:vAlign w:val="center"/>
                </w:tcPr>
                <w:p>
                  <w:pPr>
                    <w:autoSpaceDE w:val="0"/>
                    <w:autoSpaceDN w:val="0"/>
                    <w:adjustRightInd w:val="0"/>
                    <w:spacing w:line="300" w:lineRule="exact"/>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 w:hRule="atLeast"/>
                <w:jc w:val="center"/>
              </w:trPr>
              <w:tc>
                <w:tcPr>
                  <w:tcW w:w="988" w:type="dxa"/>
                  <w:vMerge w:val="continue"/>
                  <w:tcBorders>
                    <w:left w:val="single" w:color="auto" w:sz="4" w:space="0"/>
                    <w:right w:val="single" w:color="auto" w:sz="4" w:space="0"/>
                  </w:tcBorders>
                  <w:vAlign w:val="center"/>
                </w:tcPr>
                <w:p>
                  <w:pPr>
                    <w:autoSpaceDE w:val="0"/>
                    <w:autoSpaceDN w:val="0"/>
                    <w:adjustRightInd w:val="0"/>
                    <w:spacing w:line="300" w:lineRule="exact"/>
                    <w:jc w:val="center"/>
                    <w:rPr>
                      <w:bCs/>
                      <w:sz w:val="18"/>
                      <w:szCs w:val="18"/>
                    </w:rPr>
                  </w:pPr>
                </w:p>
              </w:tc>
              <w:tc>
                <w:tcPr>
                  <w:tcW w:w="1151"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Cs/>
                      <w:sz w:val="18"/>
                      <w:szCs w:val="18"/>
                    </w:rPr>
                  </w:pPr>
                  <w:r>
                    <w:rPr>
                      <w:rFonts w:hint="eastAsia"/>
                      <w:bCs/>
                      <w:sz w:val="18"/>
                      <w:szCs w:val="18"/>
                    </w:rPr>
                    <w:t>东南面住户</w:t>
                  </w:r>
                </w:p>
              </w:tc>
              <w:tc>
                <w:tcPr>
                  <w:tcW w:w="1023"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sz w:val="18"/>
                      <w:szCs w:val="18"/>
                    </w:rPr>
                  </w:pPr>
                  <w:r>
                    <w:rPr>
                      <w:sz w:val="18"/>
                      <w:szCs w:val="18"/>
                    </w:rPr>
                    <w:t>噪声</w:t>
                  </w:r>
                </w:p>
              </w:tc>
              <w:tc>
                <w:tcPr>
                  <w:tcW w:w="94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Cs/>
                      <w:sz w:val="18"/>
                      <w:szCs w:val="18"/>
                    </w:rPr>
                  </w:pPr>
                  <w:r>
                    <w:rPr>
                      <w:rFonts w:hint="eastAsia"/>
                      <w:bCs/>
                      <w:sz w:val="18"/>
                      <w:szCs w:val="18"/>
                    </w:rPr>
                    <w:t>1天</w:t>
                  </w:r>
                </w:p>
              </w:tc>
              <w:tc>
                <w:tcPr>
                  <w:tcW w:w="1063"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bCs/>
                      <w:sz w:val="18"/>
                      <w:szCs w:val="18"/>
                    </w:rPr>
                  </w:pPr>
                  <w:r>
                    <w:rPr>
                      <w:bCs/>
                      <w:sz w:val="18"/>
                      <w:szCs w:val="18"/>
                    </w:rPr>
                    <w:t>每年</w:t>
                  </w:r>
                  <w:r>
                    <w:rPr>
                      <w:rFonts w:hint="eastAsia"/>
                      <w:bCs/>
                      <w:sz w:val="18"/>
                      <w:szCs w:val="18"/>
                    </w:rPr>
                    <w:t>1</w:t>
                  </w:r>
                  <w:r>
                    <w:rPr>
                      <w:bCs/>
                      <w:sz w:val="18"/>
                      <w:szCs w:val="18"/>
                    </w:rPr>
                    <w:t>次</w:t>
                  </w:r>
                </w:p>
              </w:tc>
              <w:tc>
                <w:tcPr>
                  <w:tcW w:w="2667" w:type="dxa"/>
                  <w:vMerge w:val="continue"/>
                  <w:tcBorders>
                    <w:left w:val="nil"/>
                    <w:bottom w:val="single" w:color="auto" w:sz="4" w:space="0"/>
                    <w:right w:val="single" w:color="auto" w:sz="4" w:space="0"/>
                  </w:tcBorders>
                  <w:vAlign w:val="center"/>
                </w:tcPr>
                <w:p>
                  <w:pPr>
                    <w:autoSpaceDE w:val="0"/>
                    <w:autoSpaceDN w:val="0"/>
                    <w:adjustRightInd w:val="0"/>
                    <w:spacing w:line="300" w:lineRule="exact"/>
                    <w:jc w:val="center"/>
                    <w:rPr>
                      <w:bCs/>
                      <w:sz w:val="18"/>
                      <w:szCs w:val="18"/>
                    </w:rPr>
                  </w:pPr>
                </w:p>
              </w:tc>
            </w:tr>
          </w:tbl>
          <w:p>
            <w:pPr>
              <w:adjustRightInd w:val="0"/>
              <w:snapToGrid w:val="0"/>
              <w:spacing w:line="400" w:lineRule="exact"/>
              <w:jc w:val="left"/>
              <w:rPr>
                <w:rFonts w:eastAsia="黑体"/>
                <w:bCs/>
                <w:sz w:val="22"/>
                <w:szCs w:val="22"/>
              </w:rPr>
            </w:pPr>
          </w:p>
          <w:p>
            <w:pPr>
              <w:adjustRightInd w:val="0"/>
              <w:snapToGrid w:val="0"/>
              <w:spacing w:line="400" w:lineRule="exact"/>
              <w:jc w:val="left"/>
              <w:rPr>
                <w:rFonts w:eastAsia="黑体"/>
                <w:bCs/>
                <w:sz w:val="22"/>
                <w:szCs w:val="22"/>
              </w:rPr>
            </w:pPr>
            <w:r>
              <w:rPr>
                <w:rFonts w:eastAsia="黑体"/>
                <w:bCs/>
                <w:sz w:val="22"/>
                <w:szCs w:val="22"/>
              </w:rPr>
              <w:t>4、固体废物</w:t>
            </w:r>
          </w:p>
          <w:p>
            <w:pPr>
              <w:autoSpaceDE w:val="0"/>
              <w:autoSpaceDN w:val="0"/>
              <w:adjustRightInd w:val="0"/>
              <w:snapToGrid w:val="0"/>
              <w:spacing w:line="400" w:lineRule="exact"/>
              <w:ind w:firstLine="420" w:firstLineChars="200"/>
              <w:jc w:val="left"/>
              <w:rPr>
                <w:szCs w:val="21"/>
              </w:rPr>
            </w:pPr>
            <w:r>
              <w:rPr>
                <w:rFonts w:hint="eastAsia"/>
                <w:szCs w:val="21"/>
              </w:rPr>
              <w:t>营运期污泥利用过程产生的固废主要是在烧制砖过程产生的不合格砖和破损砖、废气脱硫处理过程产生的脱硫废渣、原料处理时产生的除尘灰和员工生活垃圾。设备维护保养会产生少量的废机油等。</w:t>
            </w:r>
          </w:p>
          <w:p>
            <w:pPr>
              <w:autoSpaceDE w:val="0"/>
              <w:autoSpaceDN w:val="0"/>
              <w:adjustRightInd w:val="0"/>
              <w:snapToGrid w:val="0"/>
              <w:spacing w:line="400" w:lineRule="exact"/>
              <w:ind w:firstLine="420" w:firstLineChars="200"/>
              <w:jc w:val="left"/>
              <w:rPr>
                <w:szCs w:val="21"/>
              </w:rPr>
            </w:pPr>
            <w:r>
              <w:rPr>
                <w:rFonts w:hint="eastAsia"/>
                <w:szCs w:val="21"/>
              </w:rPr>
              <w:t>（1）一般固废</w:t>
            </w:r>
          </w:p>
          <w:p>
            <w:pPr>
              <w:autoSpaceDE w:val="0"/>
              <w:autoSpaceDN w:val="0"/>
              <w:adjustRightInd w:val="0"/>
              <w:snapToGrid w:val="0"/>
              <w:spacing w:line="400" w:lineRule="exact"/>
              <w:ind w:firstLine="420" w:firstLineChars="200"/>
              <w:jc w:val="left"/>
              <w:rPr>
                <w:kern w:val="0"/>
                <w:szCs w:val="21"/>
              </w:rPr>
            </w:pPr>
            <w:r>
              <w:rPr>
                <w:rFonts w:hint="eastAsia" w:cs="宋体"/>
                <w:kern w:val="0"/>
                <w:szCs w:val="21"/>
              </w:rPr>
              <w:t>一般固废主要包括：</w:t>
            </w:r>
            <w:r>
              <w:rPr>
                <w:rFonts w:hint="eastAsia"/>
                <w:szCs w:val="21"/>
              </w:rPr>
              <w:t>不合格砖和破损砖、脱硫废渣、收集的除尘灰、煤渣和生活垃圾。</w:t>
            </w:r>
            <w:r>
              <w:rPr>
                <w:kern w:val="0"/>
                <w:szCs w:val="21"/>
              </w:rPr>
              <w:t>一般固废产生情况见下表。</w:t>
            </w:r>
          </w:p>
          <w:p>
            <w:pPr>
              <w:autoSpaceDE w:val="0"/>
              <w:autoSpaceDN w:val="0"/>
              <w:adjustRightInd w:val="0"/>
              <w:spacing w:line="400" w:lineRule="exact"/>
              <w:ind w:firstLine="465"/>
              <w:jc w:val="center"/>
              <w:rPr>
                <w:rFonts w:eastAsia="黑体"/>
                <w:bCs/>
                <w:sz w:val="18"/>
                <w:szCs w:val="18"/>
              </w:rPr>
            </w:pPr>
            <w:r>
              <w:rPr>
                <w:rFonts w:eastAsia="黑体"/>
                <w:bCs/>
                <w:sz w:val="18"/>
                <w:szCs w:val="18"/>
              </w:rPr>
              <w:t>表</w:t>
            </w:r>
            <w:r>
              <w:rPr>
                <w:rFonts w:hint="eastAsia" w:eastAsia="黑体"/>
                <w:bCs/>
                <w:sz w:val="18"/>
                <w:szCs w:val="18"/>
              </w:rPr>
              <w:t xml:space="preserve">4-7    </w:t>
            </w:r>
            <w:r>
              <w:rPr>
                <w:rFonts w:eastAsia="黑体"/>
                <w:bCs/>
                <w:sz w:val="18"/>
                <w:szCs w:val="18"/>
              </w:rPr>
              <w:t>一般固废的产生及处置情况表</w:t>
            </w:r>
            <w:r>
              <w:rPr>
                <w:rFonts w:hint="eastAsia" w:eastAsia="黑体"/>
                <w:bCs/>
                <w:sz w:val="18"/>
                <w:szCs w:val="18"/>
              </w:rPr>
              <w:t xml:space="preserve">  </w:t>
            </w:r>
            <w:r>
              <w:rPr>
                <w:rFonts w:eastAsia="黑体"/>
                <w:bCs/>
                <w:sz w:val="18"/>
                <w:szCs w:val="18"/>
              </w:rPr>
              <w:t>单位：</w:t>
            </w:r>
            <w:r>
              <w:rPr>
                <w:sz w:val="18"/>
                <w:szCs w:val="18"/>
              </w:rPr>
              <w:t>t</w:t>
            </w:r>
            <w:r>
              <w:rPr>
                <w:rFonts w:hint="eastAsia"/>
                <w:sz w:val="18"/>
                <w:szCs w:val="18"/>
              </w:rPr>
              <w:t>/a</w:t>
            </w:r>
          </w:p>
          <w:tbl>
            <w:tblPr>
              <w:tblStyle w:val="20"/>
              <w:tblW w:w="78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276"/>
              <w:gridCol w:w="850"/>
              <w:gridCol w:w="992"/>
              <w:gridCol w:w="851"/>
              <w:gridCol w:w="709"/>
              <w:gridCol w:w="1275"/>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5"/>
                      <w:szCs w:val="15"/>
                    </w:rPr>
                  </w:pPr>
                  <w:r>
                    <w:rPr>
                      <w:sz w:val="15"/>
                      <w:szCs w:val="15"/>
                    </w:rPr>
                    <w:t>序号</w:t>
                  </w:r>
                </w:p>
              </w:tc>
              <w:tc>
                <w:tcPr>
                  <w:tcW w:w="1276"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sz w:val="15"/>
                      <w:szCs w:val="15"/>
                    </w:rPr>
                    <w:t>名称</w:t>
                  </w:r>
                </w:p>
              </w:tc>
              <w:tc>
                <w:tcPr>
                  <w:tcW w:w="850"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sz w:val="15"/>
                      <w:szCs w:val="15"/>
                    </w:rPr>
                    <w:t>产生环节</w:t>
                  </w:r>
                </w:p>
              </w:tc>
              <w:tc>
                <w:tcPr>
                  <w:tcW w:w="992"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sz w:val="15"/>
                      <w:szCs w:val="15"/>
                    </w:rPr>
                    <w:t>类别</w:t>
                  </w:r>
                </w:p>
              </w:tc>
              <w:tc>
                <w:tcPr>
                  <w:tcW w:w="851"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sz w:val="15"/>
                      <w:szCs w:val="15"/>
                    </w:rPr>
                    <w:t>代码</w:t>
                  </w:r>
                </w:p>
              </w:tc>
              <w:tc>
                <w:tcPr>
                  <w:tcW w:w="709"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sz w:val="15"/>
                      <w:szCs w:val="15"/>
                    </w:rPr>
                    <w:t>产生量</w:t>
                  </w:r>
                </w:p>
              </w:tc>
              <w:tc>
                <w:tcPr>
                  <w:tcW w:w="1275"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sz w:val="15"/>
                      <w:szCs w:val="15"/>
                    </w:rPr>
                    <w:t>收集贮存方式</w:t>
                  </w:r>
                </w:p>
              </w:tc>
              <w:tc>
                <w:tcPr>
                  <w:tcW w:w="1354"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sz w:val="15"/>
                      <w:szCs w:val="15"/>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pacing w:line="340" w:lineRule="exact"/>
                    <w:ind w:left="-53" w:leftChars="-25" w:right="-53" w:rightChars="-25"/>
                    <w:jc w:val="center"/>
                    <w:rPr>
                      <w:sz w:val="15"/>
                      <w:szCs w:val="15"/>
                    </w:rPr>
                  </w:pPr>
                  <w:r>
                    <w:rPr>
                      <w:sz w:val="15"/>
                      <w:szCs w:val="15"/>
                    </w:rPr>
                    <w:t>1</w:t>
                  </w:r>
                </w:p>
              </w:tc>
              <w:tc>
                <w:tcPr>
                  <w:tcW w:w="1276"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sz w:val="15"/>
                      <w:szCs w:val="15"/>
                    </w:rPr>
                  </w:pPr>
                  <w:r>
                    <w:rPr>
                      <w:sz w:val="15"/>
                      <w:szCs w:val="15"/>
                    </w:rPr>
                    <w:t>不合格砖、破损砖</w:t>
                  </w:r>
                </w:p>
              </w:tc>
              <w:tc>
                <w:tcPr>
                  <w:tcW w:w="850"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sz w:val="15"/>
                      <w:szCs w:val="15"/>
                    </w:rPr>
                  </w:pPr>
                  <w:r>
                    <w:rPr>
                      <w:sz w:val="15"/>
                      <w:szCs w:val="15"/>
                    </w:rPr>
                    <w:t>分选</w:t>
                  </w:r>
                </w:p>
              </w:tc>
              <w:tc>
                <w:tcPr>
                  <w:tcW w:w="992" w:type="dxa"/>
                  <w:tcBorders>
                    <w:top w:val="single" w:color="auto" w:sz="4" w:space="0"/>
                    <w:left w:val="nil"/>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矿物型废物</w:t>
                  </w:r>
                </w:p>
              </w:tc>
              <w:tc>
                <w:tcPr>
                  <w:tcW w:w="851"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300-001-46</w:t>
                  </w:r>
                </w:p>
              </w:tc>
              <w:tc>
                <w:tcPr>
                  <w:tcW w:w="709"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375</w:t>
                  </w:r>
                </w:p>
              </w:tc>
              <w:tc>
                <w:tcPr>
                  <w:tcW w:w="1275"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sz w:val="15"/>
                      <w:szCs w:val="15"/>
                    </w:rPr>
                    <w:t>固定点堆存</w:t>
                  </w:r>
                </w:p>
              </w:tc>
              <w:tc>
                <w:tcPr>
                  <w:tcW w:w="1354"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sz w:val="15"/>
                      <w:szCs w:val="15"/>
                    </w:rPr>
                    <w:t>返回生产线回用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pacing w:line="340" w:lineRule="exact"/>
                    <w:ind w:left="-53" w:leftChars="-25" w:right="-53" w:rightChars="-25"/>
                    <w:jc w:val="center"/>
                    <w:rPr>
                      <w:sz w:val="15"/>
                      <w:szCs w:val="15"/>
                    </w:rPr>
                  </w:pPr>
                  <w:r>
                    <w:rPr>
                      <w:rFonts w:hint="eastAsia"/>
                      <w:sz w:val="15"/>
                      <w:szCs w:val="15"/>
                    </w:rPr>
                    <w:t>3</w:t>
                  </w:r>
                </w:p>
              </w:tc>
              <w:tc>
                <w:tcPr>
                  <w:tcW w:w="1276"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sz w:val="15"/>
                      <w:szCs w:val="15"/>
                    </w:rPr>
                  </w:pPr>
                  <w:r>
                    <w:rPr>
                      <w:sz w:val="15"/>
                      <w:szCs w:val="15"/>
                    </w:rPr>
                    <w:t>脱硫废渣</w:t>
                  </w:r>
                </w:p>
              </w:tc>
              <w:tc>
                <w:tcPr>
                  <w:tcW w:w="850"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sz w:val="15"/>
                      <w:szCs w:val="15"/>
                    </w:rPr>
                  </w:pPr>
                  <w:r>
                    <w:rPr>
                      <w:rFonts w:hint="eastAsia"/>
                      <w:sz w:val="15"/>
                      <w:szCs w:val="15"/>
                    </w:rPr>
                    <w:t>废水处理</w:t>
                  </w:r>
                </w:p>
              </w:tc>
              <w:tc>
                <w:tcPr>
                  <w:tcW w:w="992" w:type="dxa"/>
                  <w:tcBorders>
                    <w:top w:val="single" w:color="auto" w:sz="4" w:space="0"/>
                    <w:left w:val="nil"/>
                    <w:right w:val="single" w:color="auto" w:sz="4" w:space="0"/>
                  </w:tcBorders>
                  <w:vAlign w:val="center"/>
                </w:tcPr>
                <w:p>
                  <w:pPr>
                    <w:spacing w:line="300" w:lineRule="exact"/>
                    <w:ind w:left="-53" w:leftChars="-25" w:right="-53" w:rightChars="-25"/>
                    <w:jc w:val="center"/>
                    <w:rPr>
                      <w:sz w:val="15"/>
                      <w:szCs w:val="15"/>
                    </w:rPr>
                  </w:pPr>
                  <w:r>
                    <w:rPr>
                      <w:sz w:val="15"/>
                      <w:szCs w:val="15"/>
                    </w:rPr>
                    <w:t>脱硫石膏</w:t>
                  </w:r>
                </w:p>
              </w:tc>
              <w:tc>
                <w:tcPr>
                  <w:tcW w:w="851"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900-999-65</w:t>
                  </w:r>
                </w:p>
              </w:tc>
              <w:tc>
                <w:tcPr>
                  <w:tcW w:w="709"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4.2</w:t>
                  </w:r>
                </w:p>
              </w:tc>
              <w:tc>
                <w:tcPr>
                  <w:tcW w:w="1275"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sz w:val="15"/>
                      <w:szCs w:val="15"/>
                    </w:rPr>
                    <w:t>防雨防渗干化池</w:t>
                  </w:r>
                </w:p>
              </w:tc>
              <w:tc>
                <w:tcPr>
                  <w:tcW w:w="1354"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sz w:val="15"/>
                      <w:szCs w:val="15"/>
                    </w:rPr>
                    <w:t>干化后做制砖原料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pacing w:line="340" w:lineRule="exact"/>
                    <w:ind w:left="-53" w:leftChars="-25" w:right="-53" w:rightChars="-25"/>
                    <w:jc w:val="center"/>
                    <w:rPr>
                      <w:sz w:val="15"/>
                      <w:szCs w:val="15"/>
                    </w:rPr>
                  </w:pPr>
                  <w:r>
                    <w:rPr>
                      <w:rFonts w:hint="eastAsia"/>
                      <w:sz w:val="15"/>
                      <w:szCs w:val="15"/>
                    </w:rPr>
                    <w:t>4</w:t>
                  </w:r>
                </w:p>
              </w:tc>
              <w:tc>
                <w:tcPr>
                  <w:tcW w:w="1276"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sz w:val="15"/>
                      <w:szCs w:val="15"/>
                    </w:rPr>
                  </w:pPr>
                  <w:r>
                    <w:rPr>
                      <w:sz w:val="15"/>
                      <w:szCs w:val="15"/>
                    </w:rPr>
                    <w:t>收集的除尘灰</w:t>
                  </w:r>
                </w:p>
              </w:tc>
              <w:tc>
                <w:tcPr>
                  <w:tcW w:w="850"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sz w:val="15"/>
                      <w:szCs w:val="15"/>
                    </w:rPr>
                  </w:pPr>
                  <w:r>
                    <w:rPr>
                      <w:sz w:val="15"/>
                      <w:szCs w:val="15"/>
                    </w:rPr>
                    <w:t>除尘器</w:t>
                  </w:r>
                </w:p>
              </w:tc>
              <w:tc>
                <w:tcPr>
                  <w:tcW w:w="992" w:type="dxa"/>
                  <w:tcBorders>
                    <w:left w:val="nil"/>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工业粉尘</w:t>
                  </w:r>
                </w:p>
              </w:tc>
              <w:tc>
                <w:tcPr>
                  <w:tcW w:w="851"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900-999-66</w:t>
                  </w:r>
                </w:p>
              </w:tc>
              <w:tc>
                <w:tcPr>
                  <w:tcW w:w="709"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3.56</w:t>
                  </w:r>
                </w:p>
              </w:tc>
              <w:tc>
                <w:tcPr>
                  <w:tcW w:w="1275"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直接返回生产线，不临时堆存</w:t>
                  </w:r>
                </w:p>
              </w:tc>
              <w:tc>
                <w:tcPr>
                  <w:tcW w:w="1354"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定期清理做制砖原料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pacing w:line="340" w:lineRule="exact"/>
                    <w:ind w:left="-53" w:leftChars="-25" w:right="-53" w:rightChars="-25"/>
                    <w:jc w:val="center"/>
                    <w:rPr>
                      <w:sz w:val="15"/>
                      <w:szCs w:val="15"/>
                    </w:rPr>
                  </w:pPr>
                  <w:r>
                    <w:rPr>
                      <w:rFonts w:hint="eastAsia"/>
                      <w:sz w:val="15"/>
                      <w:szCs w:val="15"/>
                    </w:rPr>
                    <w:t>6</w:t>
                  </w:r>
                </w:p>
              </w:tc>
              <w:tc>
                <w:tcPr>
                  <w:tcW w:w="1276"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sz w:val="15"/>
                      <w:szCs w:val="15"/>
                    </w:rPr>
                  </w:pPr>
                  <w:r>
                    <w:rPr>
                      <w:sz w:val="15"/>
                      <w:szCs w:val="15"/>
                    </w:rPr>
                    <w:t>煤渣</w:t>
                  </w:r>
                </w:p>
              </w:tc>
              <w:tc>
                <w:tcPr>
                  <w:tcW w:w="850"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sz w:val="15"/>
                      <w:szCs w:val="15"/>
                    </w:rPr>
                  </w:pPr>
                  <w:r>
                    <w:rPr>
                      <w:sz w:val="15"/>
                      <w:szCs w:val="15"/>
                    </w:rPr>
                    <w:t>砖窑点火</w:t>
                  </w:r>
                </w:p>
              </w:tc>
              <w:tc>
                <w:tcPr>
                  <w:tcW w:w="992" w:type="dxa"/>
                  <w:tcBorders>
                    <w:left w:val="nil"/>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锅炉渣</w:t>
                  </w:r>
                </w:p>
              </w:tc>
              <w:tc>
                <w:tcPr>
                  <w:tcW w:w="851"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900-999-64</w:t>
                  </w:r>
                </w:p>
              </w:tc>
              <w:tc>
                <w:tcPr>
                  <w:tcW w:w="709"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1</w:t>
                  </w:r>
                </w:p>
              </w:tc>
              <w:tc>
                <w:tcPr>
                  <w:tcW w:w="1275"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sz w:val="15"/>
                      <w:szCs w:val="15"/>
                    </w:rPr>
                    <w:t>固定点堆存</w:t>
                  </w:r>
                </w:p>
              </w:tc>
              <w:tc>
                <w:tcPr>
                  <w:tcW w:w="1354"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sz w:val="15"/>
                      <w:szCs w:val="15"/>
                    </w:rPr>
                    <w:t>返回生产线回用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pacing w:line="340" w:lineRule="exact"/>
                    <w:ind w:left="-53" w:leftChars="-25" w:right="-53" w:rightChars="-25"/>
                    <w:jc w:val="center"/>
                    <w:rPr>
                      <w:sz w:val="15"/>
                      <w:szCs w:val="15"/>
                    </w:rPr>
                  </w:pPr>
                  <w:r>
                    <w:rPr>
                      <w:rFonts w:hint="eastAsia"/>
                      <w:sz w:val="15"/>
                      <w:szCs w:val="15"/>
                    </w:rPr>
                    <w:t>7</w:t>
                  </w:r>
                </w:p>
              </w:tc>
              <w:tc>
                <w:tcPr>
                  <w:tcW w:w="1276"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sz w:val="15"/>
                      <w:szCs w:val="15"/>
                    </w:rPr>
                  </w:pPr>
                  <w:r>
                    <w:rPr>
                      <w:sz w:val="15"/>
                      <w:szCs w:val="15"/>
                    </w:rPr>
                    <w:t>生活垃圾</w:t>
                  </w:r>
                </w:p>
              </w:tc>
              <w:tc>
                <w:tcPr>
                  <w:tcW w:w="850"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sz w:val="15"/>
                      <w:szCs w:val="15"/>
                    </w:rPr>
                  </w:pPr>
                  <w:r>
                    <w:rPr>
                      <w:sz w:val="15"/>
                      <w:szCs w:val="15"/>
                    </w:rPr>
                    <w:t>办公生活</w:t>
                  </w:r>
                </w:p>
              </w:tc>
              <w:tc>
                <w:tcPr>
                  <w:tcW w:w="992" w:type="dxa"/>
                  <w:tcBorders>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w:t>
                  </w:r>
                </w:p>
              </w:tc>
              <w:tc>
                <w:tcPr>
                  <w:tcW w:w="851"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w:t>
                  </w:r>
                </w:p>
              </w:tc>
              <w:tc>
                <w:tcPr>
                  <w:tcW w:w="709"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6</w:t>
                  </w:r>
                </w:p>
              </w:tc>
              <w:tc>
                <w:tcPr>
                  <w:tcW w:w="1275"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sz w:val="15"/>
                      <w:szCs w:val="15"/>
                    </w:rPr>
                    <w:t>袋装收集</w:t>
                  </w:r>
                </w:p>
              </w:tc>
              <w:tc>
                <w:tcPr>
                  <w:tcW w:w="1354" w:type="dxa"/>
                  <w:tcBorders>
                    <w:top w:val="single" w:color="auto" w:sz="4" w:space="0"/>
                    <w:left w:val="nil"/>
                    <w:bottom w:val="single" w:color="auto" w:sz="4" w:space="0"/>
                    <w:right w:val="single" w:color="auto" w:sz="4" w:space="0"/>
                  </w:tcBorders>
                  <w:vAlign w:val="center"/>
                </w:tcPr>
                <w:p>
                  <w:pPr>
                    <w:spacing w:line="300" w:lineRule="exact"/>
                    <w:ind w:left="-53" w:leftChars="-25" w:right="-53" w:rightChars="-25"/>
                    <w:jc w:val="center"/>
                    <w:rPr>
                      <w:sz w:val="15"/>
                      <w:szCs w:val="15"/>
                    </w:rPr>
                  </w:pPr>
                  <w:r>
                    <w:rPr>
                      <w:rFonts w:hint="eastAsia"/>
                      <w:sz w:val="15"/>
                      <w:szCs w:val="15"/>
                    </w:rPr>
                    <w:t>由环卫负责清运</w:t>
                  </w:r>
                </w:p>
              </w:tc>
            </w:tr>
          </w:tbl>
          <w:p>
            <w:pPr>
              <w:autoSpaceDE w:val="0"/>
              <w:autoSpaceDN w:val="0"/>
              <w:adjustRightInd w:val="0"/>
              <w:snapToGrid w:val="0"/>
              <w:spacing w:line="400" w:lineRule="exact"/>
              <w:ind w:firstLine="420" w:firstLineChars="200"/>
              <w:jc w:val="left"/>
              <w:rPr>
                <w:szCs w:val="21"/>
              </w:rPr>
            </w:pPr>
            <w:r>
              <w:rPr>
                <w:rFonts w:hint="eastAsia"/>
                <w:szCs w:val="21"/>
              </w:rPr>
              <w:t>本项目营运期产生的一般固废有不合格砖和破损砖、脱硫废渣、收集的除尘灰、煤渣和生活垃圾。</w:t>
            </w:r>
          </w:p>
          <w:p>
            <w:pPr>
              <w:autoSpaceDE w:val="0"/>
              <w:autoSpaceDN w:val="0"/>
              <w:adjustRightInd w:val="0"/>
              <w:snapToGrid w:val="0"/>
              <w:spacing w:line="400" w:lineRule="exact"/>
              <w:ind w:firstLine="420" w:firstLineChars="200"/>
              <w:jc w:val="left"/>
              <w:rPr>
                <w:rFonts w:cs="宋体"/>
                <w:b/>
                <w:szCs w:val="21"/>
              </w:rPr>
            </w:pPr>
            <w:r>
              <w:rPr>
                <w:rFonts w:hint="eastAsia"/>
                <w:szCs w:val="21"/>
              </w:rPr>
              <w:t>根据环评调查，项目现有工程采取的固废处置措施，能够使各类固废得到妥善处置，营运期也未造成二次污染。技改后新增的固废主要采取收集后外售或由厂区回收处置等措施，能够确保各类固废妥善处置，不造成二次污染。</w:t>
            </w:r>
            <w:r>
              <w:rPr>
                <w:rFonts w:hint="eastAsia"/>
                <w:b/>
                <w:szCs w:val="21"/>
              </w:rPr>
              <w:t>环评要求：本项目仅处置回用自有脱硫系统产生的脱硫废渣，严禁接收处置其他单位产生的脱硫废渣。</w:t>
            </w:r>
          </w:p>
          <w:p>
            <w:pPr>
              <w:autoSpaceDE w:val="0"/>
              <w:autoSpaceDN w:val="0"/>
              <w:adjustRightInd w:val="0"/>
              <w:snapToGrid w:val="0"/>
              <w:spacing w:line="400" w:lineRule="exact"/>
              <w:ind w:firstLine="420" w:firstLineChars="200"/>
              <w:jc w:val="left"/>
              <w:rPr>
                <w:kern w:val="0"/>
                <w:szCs w:val="21"/>
              </w:rPr>
            </w:pPr>
            <w:r>
              <w:rPr>
                <w:rFonts w:hint="eastAsia"/>
                <w:szCs w:val="21"/>
              </w:rPr>
              <w:t>（2）危险废物</w:t>
            </w:r>
          </w:p>
          <w:p>
            <w:pPr>
              <w:autoSpaceDE w:val="0"/>
              <w:autoSpaceDN w:val="0"/>
              <w:adjustRightInd w:val="0"/>
              <w:snapToGrid w:val="0"/>
              <w:spacing w:line="400" w:lineRule="exact"/>
              <w:ind w:firstLine="420" w:firstLineChars="200"/>
              <w:jc w:val="left"/>
              <w:rPr>
                <w:kern w:val="0"/>
                <w:szCs w:val="21"/>
              </w:rPr>
            </w:pPr>
            <w:r>
              <w:rPr>
                <w:szCs w:val="21"/>
              </w:rPr>
              <w:t>按照《国家危险废物名录（2021年版）》，本项目设备保养</w:t>
            </w:r>
            <w:r>
              <w:rPr>
                <w:kern w:val="0"/>
                <w:szCs w:val="21"/>
              </w:rPr>
              <w:t>的废矿物油、废油桶均属于危险废物。其产生情况如下：</w:t>
            </w:r>
          </w:p>
          <w:p>
            <w:pPr>
              <w:autoSpaceDE w:val="0"/>
              <w:autoSpaceDN w:val="0"/>
              <w:adjustRightInd w:val="0"/>
              <w:spacing w:line="400" w:lineRule="exact"/>
              <w:ind w:firstLine="465"/>
              <w:jc w:val="center"/>
              <w:rPr>
                <w:rFonts w:eastAsia="黑体"/>
                <w:bCs/>
                <w:sz w:val="18"/>
                <w:szCs w:val="18"/>
              </w:rPr>
            </w:pPr>
            <w:r>
              <w:rPr>
                <w:rFonts w:eastAsia="黑体"/>
                <w:bCs/>
                <w:sz w:val="18"/>
                <w:szCs w:val="18"/>
              </w:rPr>
              <w:t>表</w:t>
            </w:r>
            <w:r>
              <w:rPr>
                <w:rFonts w:hint="eastAsia" w:eastAsia="黑体"/>
                <w:bCs/>
                <w:sz w:val="18"/>
                <w:szCs w:val="18"/>
              </w:rPr>
              <w:t xml:space="preserve">4-8    </w:t>
            </w:r>
            <w:r>
              <w:rPr>
                <w:rFonts w:eastAsia="黑体"/>
                <w:bCs/>
                <w:sz w:val="18"/>
                <w:szCs w:val="18"/>
              </w:rPr>
              <w:t>危险废物产生情况表</w:t>
            </w:r>
          </w:p>
          <w:tbl>
            <w:tblPr>
              <w:tblStyle w:val="21"/>
              <w:tblW w:w="7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850"/>
              <w:gridCol w:w="1391"/>
              <w:gridCol w:w="993"/>
              <w:gridCol w:w="993"/>
              <w:gridCol w:w="993"/>
              <w:gridCol w:w="993"/>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734"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序号</w:t>
                  </w:r>
                </w:p>
              </w:tc>
              <w:tc>
                <w:tcPr>
                  <w:tcW w:w="850"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名称</w:t>
                  </w:r>
                </w:p>
              </w:tc>
              <w:tc>
                <w:tcPr>
                  <w:tcW w:w="1391"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危险废物编号</w:t>
                  </w:r>
                </w:p>
              </w:tc>
              <w:tc>
                <w:tcPr>
                  <w:tcW w:w="993"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代码</w:t>
                  </w:r>
                </w:p>
              </w:tc>
              <w:tc>
                <w:tcPr>
                  <w:tcW w:w="993"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产生量</w:t>
                  </w:r>
                </w:p>
              </w:tc>
              <w:tc>
                <w:tcPr>
                  <w:tcW w:w="993"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形态</w:t>
                  </w:r>
                </w:p>
              </w:tc>
              <w:tc>
                <w:tcPr>
                  <w:tcW w:w="993"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有害成分</w:t>
                  </w:r>
                </w:p>
              </w:tc>
              <w:tc>
                <w:tcPr>
                  <w:tcW w:w="993"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734"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1</w:t>
                  </w:r>
                </w:p>
              </w:tc>
              <w:tc>
                <w:tcPr>
                  <w:tcW w:w="850"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废油桶</w:t>
                  </w:r>
                </w:p>
              </w:tc>
              <w:tc>
                <w:tcPr>
                  <w:tcW w:w="1391"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HW08</w:t>
                  </w:r>
                </w:p>
              </w:tc>
              <w:tc>
                <w:tcPr>
                  <w:tcW w:w="993"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900-2</w:t>
                  </w:r>
                  <w:r>
                    <w:rPr>
                      <w:rFonts w:hint="eastAsia" w:eastAsiaTheme="minorEastAsia"/>
                      <w:bCs/>
                      <w:sz w:val="18"/>
                      <w:szCs w:val="18"/>
                    </w:rPr>
                    <w:t>49</w:t>
                  </w:r>
                  <w:r>
                    <w:rPr>
                      <w:rFonts w:eastAsiaTheme="minorEastAsia"/>
                      <w:bCs/>
                      <w:sz w:val="18"/>
                      <w:szCs w:val="18"/>
                    </w:rPr>
                    <w:t>-08</w:t>
                  </w:r>
                </w:p>
              </w:tc>
              <w:tc>
                <w:tcPr>
                  <w:tcW w:w="993"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hint="eastAsia" w:eastAsiaTheme="minorEastAsia"/>
                      <w:bCs/>
                      <w:sz w:val="18"/>
                      <w:szCs w:val="18"/>
                    </w:rPr>
                    <w:t>0.5</w:t>
                  </w:r>
                  <w:r>
                    <w:rPr>
                      <w:rFonts w:eastAsiaTheme="minorEastAsia"/>
                      <w:bCs/>
                      <w:sz w:val="18"/>
                      <w:szCs w:val="18"/>
                    </w:rPr>
                    <w:t>t/a</w:t>
                  </w:r>
                </w:p>
              </w:tc>
              <w:tc>
                <w:tcPr>
                  <w:tcW w:w="993"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固态</w:t>
                  </w:r>
                </w:p>
              </w:tc>
              <w:tc>
                <w:tcPr>
                  <w:tcW w:w="993"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机油</w:t>
                  </w:r>
                </w:p>
              </w:tc>
              <w:tc>
                <w:tcPr>
                  <w:tcW w:w="993"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34"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2</w:t>
                  </w:r>
                </w:p>
              </w:tc>
              <w:tc>
                <w:tcPr>
                  <w:tcW w:w="850"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废矿物油</w:t>
                  </w:r>
                </w:p>
              </w:tc>
              <w:tc>
                <w:tcPr>
                  <w:tcW w:w="1391"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HW08</w:t>
                  </w:r>
                </w:p>
              </w:tc>
              <w:tc>
                <w:tcPr>
                  <w:tcW w:w="993"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900-214-08</w:t>
                  </w:r>
                </w:p>
              </w:tc>
              <w:tc>
                <w:tcPr>
                  <w:tcW w:w="993"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0.</w:t>
                  </w:r>
                  <w:r>
                    <w:rPr>
                      <w:rFonts w:hint="eastAsia" w:eastAsiaTheme="minorEastAsia"/>
                      <w:bCs/>
                      <w:sz w:val="18"/>
                      <w:szCs w:val="18"/>
                    </w:rPr>
                    <w:t>1</w:t>
                  </w:r>
                  <w:r>
                    <w:rPr>
                      <w:rFonts w:eastAsiaTheme="minorEastAsia"/>
                      <w:bCs/>
                      <w:sz w:val="18"/>
                      <w:szCs w:val="18"/>
                    </w:rPr>
                    <w:t>t/a</w:t>
                  </w:r>
                </w:p>
              </w:tc>
              <w:tc>
                <w:tcPr>
                  <w:tcW w:w="993"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液态</w:t>
                  </w:r>
                </w:p>
              </w:tc>
              <w:tc>
                <w:tcPr>
                  <w:tcW w:w="993"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机油</w:t>
                  </w:r>
                </w:p>
              </w:tc>
              <w:tc>
                <w:tcPr>
                  <w:tcW w:w="993" w:type="dxa"/>
                  <w:vAlign w:val="center"/>
                </w:tcPr>
                <w:p>
                  <w:pPr>
                    <w:autoSpaceDE w:val="0"/>
                    <w:autoSpaceDN w:val="0"/>
                    <w:adjustRightInd w:val="0"/>
                    <w:spacing w:line="340" w:lineRule="exact"/>
                    <w:ind w:left="-53" w:leftChars="-25" w:right="-53" w:rightChars="-25"/>
                    <w:jc w:val="center"/>
                    <w:rPr>
                      <w:rFonts w:eastAsiaTheme="minorEastAsia"/>
                      <w:bCs/>
                      <w:sz w:val="18"/>
                      <w:szCs w:val="18"/>
                    </w:rPr>
                  </w:pPr>
                  <w:r>
                    <w:rPr>
                      <w:rFonts w:eastAsiaTheme="minorEastAsia"/>
                      <w:bCs/>
                      <w:sz w:val="18"/>
                      <w:szCs w:val="18"/>
                    </w:rPr>
                    <w:t>T，I</w:t>
                  </w:r>
                </w:p>
              </w:tc>
            </w:tr>
          </w:tbl>
          <w:p>
            <w:pPr>
              <w:autoSpaceDE w:val="0"/>
              <w:autoSpaceDN w:val="0"/>
              <w:adjustRightInd w:val="0"/>
              <w:snapToGrid w:val="0"/>
              <w:spacing w:line="400" w:lineRule="exact"/>
              <w:ind w:firstLine="422" w:firstLineChars="200"/>
              <w:jc w:val="left"/>
              <w:rPr>
                <w:rFonts w:cs="宋体"/>
                <w:kern w:val="0"/>
                <w:szCs w:val="21"/>
              </w:rPr>
            </w:pPr>
            <w:r>
              <w:rPr>
                <w:rFonts w:hint="eastAsia" w:cs="宋体"/>
                <w:b/>
                <w:szCs w:val="21"/>
              </w:rPr>
              <w:t>处置措施：</w:t>
            </w:r>
            <w:r>
              <w:rPr>
                <w:rFonts w:hint="eastAsia" w:cs="宋体"/>
                <w:szCs w:val="21"/>
              </w:rPr>
              <w:t>根据环评调查，本项目厂区目前仅设置有一个危废暂存点，未设规范的危废暂存间，不满足环保要求。危废委托有专业资质单位定期回收处置。本次技改工程，拟对现有危废处置措施进行整改，设置一个规范的危废间，采取“四防”措施，委托有资质的单位回收处置，并严格执行转移联单制度。</w:t>
            </w:r>
          </w:p>
          <w:p>
            <w:pPr>
              <w:autoSpaceDE w:val="0"/>
              <w:autoSpaceDN w:val="0"/>
              <w:adjustRightInd w:val="0"/>
              <w:snapToGrid w:val="0"/>
              <w:spacing w:line="400" w:lineRule="exact"/>
              <w:ind w:firstLine="422" w:firstLineChars="200"/>
              <w:jc w:val="left"/>
              <w:rPr>
                <w:rFonts w:cs="宋体"/>
                <w:b/>
                <w:kern w:val="0"/>
                <w:szCs w:val="21"/>
              </w:rPr>
            </w:pPr>
            <w:r>
              <w:rPr>
                <w:rFonts w:hint="eastAsia" w:cs="宋体"/>
                <w:b/>
                <w:kern w:val="0"/>
                <w:szCs w:val="21"/>
              </w:rPr>
              <w:t>危险废物管理要求：</w:t>
            </w:r>
          </w:p>
          <w:p>
            <w:pPr>
              <w:autoSpaceDE w:val="0"/>
              <w:autoSpaceDN w:val="0"/>
              <w:adjustRightInd w:val="0"/>
              <w:snapToGrid w:val="0"/>
              <w:spacing w:line="406" w:lineRule="exact"/>
              <w:ind w:firstLine="420" w:firstLineChars="200"/>
              <w:jc w:val="left"/>
              <w:rPr>
                <w:rFonts w:cs="宋体"/>
                <w:kern w:val="0"/>
                <w:szCs w:val="21"/>
              </w:rPr>
            </w:pPr>
            <w:r>
              <w:rPr>
                <w:rFonts w:hint="eastAsia" w:cs="宋体"/>
                <w:kern w:val="0"/>
                <w:szCs w:val="21"/>
              </w:rPr>
              <w:t>《危险废物贮存污染控制标准》（GB18597-2023）已于2023年1月20日发布，于2023年7月1日正式实施。本项目环评时间为2023年5月，为满足新标准实施后的污染控制要求，评价要求：建设单位应严格按照《危险废物贮存污染控制标准》（GB18597-2023）中的污染控制要求，进行危险废物的收集、贮存管理。</w:t>
            </w:r>
          </w:p>
          <w:p>
            <w:pPr>
              <w:autoSpaceDE w:val="0"/>
              <w:autoSpaceDN w:val="0"/>
              <w:adjustRightInd w:val="0"/>
              <w:snapToGrid w:val="0"/>
              <w:spacing w:line="406" w:lineRule="exact"/>
              <w:ind w:firstLine="422" w:firstLineChars="200"/>
              <w:jc w:val="left"/>
              <w:rPr>
                <w:rFonts w:cs="宋体"/>
                <w:kern w:val="0"/>
                <w:szCs w:val="21"/>
              </w:rPr>
            </w:pPr>
            <w:r>
              <w:rPr>
                <w:rFonts w:hint="eastAsia" w:cs="宋体"/>
                <w:b/>
                <w:kern w:val="0"/>
                <w:szCs w:val="21"/>
              </w:rPr>
              <w:t>管理要求：</w:t>
            </w:r>
            <w:r>
              <w:rPr>
                <w:rFonts w:hint="eastAsia" w:cs="宋体"/>
                <w:kern w:val="0"/>
                <w:szCs w:val="21"/>
              </w:rPr>
              <w:t>6.1.1 贮存设施应根据危险废物的形态、物理化学性质、包装形式和污染物迁移途径，采取必要的防风、防晒、防雨、防漏、防渗、防腐以及其他环境污染防治措施，不应露天堆放危险废物。</w:t>
            </w:r>
          </w:p>
          <w:p>
            <w:pPr>
              <w:autoSpaceDE w:val="0"/>
              <w:autoSpaceDN w:val="0"/>
              <w:adjustRightInd w:val="0"/>
              <w:snapToGrid w:val="0"/>
              <w:spacing w:line="406" w:lineRule="exact"/>
              <w:ind w:firstLine="420" w:firstLineChars="200"/>
              <w:jc w:val="left"/>
              <w:rPr>
                <w:rFonts w:cs="宋体"/>
                <w:kern w:val="0"/>
                <w:szCs w:val="21"/>
              </w:rPr>
            </w:pPr>
            <w:r>
              <w:rPr>
                <w:rFonts w:hint="eastAsia" w:cs="宋体"/>
                <w:kern w:val="0"/>
                <w:szCs w:val="21"/>
              </w:rPr>
              <w:t>6.1.2 贮存设施应根据危险废物的类别、数量、形态、物理化学性质和污染防治等要求设置必要的贮存分区，避免不相容的危险废物接触、混合。</w:t>
            </w:r>
          </w:p>
          <w:p>
            <w:pPr>
              <w:autoSpaceDE w:val="0"/>
              <w:autoSpaceDN w:val="0"/>
              <w:adjustRightInd w:val="0"/>
              <w:snapToGrid w:val="0"/>
              <w:spacing w:line="406" w:lineRule="exact"/>
              <w:ind w:firstLine="420" w:firstLineChars="200"/>
              <w:jc w:val="left"/>
              <w:rPr>
                <w:rFonts w:cs="宋体"/>
                <w:kern w:val="0"/>
                <w:szCs w:val="21"/>
              </w:rPr>
            </w:pPr>
            <w:r>
              <w:rPr>
                <w:rFonts w:hint="eastAsia" w:cs="宋体"/>
                <w:kern w:val="0"/>
                <w:szCs w:val="21"/>
              </w:rPr>
              <w:t>6.1.3 贮存设施或贮存分区内地面、墙面裙脚、堵截泄漏的围堰、接触危险废物的隔板和墙体等应采用坚固的材料建造，表面无裂缝。</w:t>
            </w:r>
          </w:p>
          <w:p>
            <w:pPr>
              <w:autoSpaceDE w:val="0"/>
              <w:autoSpaceDN w:val="0"/>
              <w:adjustRightInd w:val="0"/>
              <w:snapToGrid w:val="0"/>
              <w:spacing w:line="406" w:lineRule="exact"/>
              <w:ind w:firstLine="420" w:firstLineChars="200"/>
              <w:jc w:val="left"/>
              <w:rPr>
                <w:rFonts w:cs="宋体"/>
                <w:kern w:val="0"/>
                <w:szCs w:val="21"/>
              </w:rPr>
            </w:pPr>
            <w:r>
              <w:rPr>
                <w:rFonts w:hint="eastAsia" w:cs="宋体"/>
                <w:kern w:val="0"/>
                <w:szCs w:val="21"/>
              </w:rPr>
              <w:t>6.1.4 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 厚黏土层（渗透系数不大于10</w:t>
            </w:r>
            <w:r>
              <w:rPr>
                <w:rFonts w:hint="eastAsia" w:cs="宋体"/>
                <w:kern w:val="0"/>
                <w:szCs w:val="21"/>
                <w:vertAlign w:val="superscript"/>
              </w:rPr>
              <w:t xml:space="preserve">-7 </w:t>
            </w:r>
            <w:r>
              <w:rPr>
                <w:rFonts w:hint="eastAsia" w:cs="宋体"/>
                <w:kern w:val="0"/>
                <w:szCs w:val="21"/>
              </w:rPr>
              <w:t>cm/s），或至少2 mm厚高密度聚乙烯膜等人工防渗材料（渗透系数不大于10</w:t>
            </w:r>
            <w:r>
              <w:rPr>
                <w:rFonts w:hint="eastAsia" w:cs="宋体"/>
                <w:kern w:val="0"/>
                <w:szCs w:val="21"/>
                <w:vertAlign w:val="superscript"/>
              </w:rPr>
              <w:t xml:space="preserve">-10 </w:t>
            </w:r>
            <w:r>
              <w:rPr>
                <w:rFonts w:hint="eastAsia" w:cs="宋体"/>
                <w:kern w:val="0"/>
                <w:szCs w:val="21"/>
              </w:rPr>
              <w:t xml:space="preserve">cm/s），或其他防渗性能等效的材料。 </w:t>
            </w:r>
          </w:p>
          <w:p>
            <w:pPr>
              <w:autoSpaceDE w:val="0"/>
              <w:autoSpaceDN w:val="0"/>
              <w:adjustRightInd w:val="0"/>
              <w:snapToGrid w:val="0"/>
              <w:spacing w:line="406" w:lineRule="exact"/>
              <w:ind w:firstLine="420" w:firstLineChars="200"/>
              <w:jc w:val="left"/>
              <w:rPr>
                <w:rFonts w:cs="宋体"/>
                <w:kern w:val="0"/>
                <w:szCs w:val="21"/>
              </w:rPr>
            </w:pPr>
            <w:r>
              <w:rPr>
                <w:rFonts w:hint="eastAsia" w:cs="宋体"/>
                <w:kern w:val="0"/>
                <w:szCs w:val="21"/>
              </w:rPr>
              <w:t>6.1.5同一贮存设施宜采用相同的防渗、防腐工艺（包括防渗、防腐结构或材料），防渗、防腐材料应覆盖所有可能与废物及其渗滤液、渗漏液等接触的构筑物表面；采用不同防渗、防腐工艺应分别建设贮存分区。</w:t>
            </w:r>
          </w:p>
          <w:p>
            <w:pPr>
              <w:autoSpaceDE w:val="0"/>
              <w:autoSpaceDN w:val="0"/>
              <w:adjustRightInd w:val="0"/>
              <w:snapToGrid w:val="0"/>
              <w:spacing w:line="406" w:lineRule="exact"/>
              <w:ind w:firstLine="420" w:firstLineChars="200"/>
              <w:jc w:val="left"/>
              <w:rPr>
                <w:rFonts w:cs="宋体"/>
                <w:kern w:val="0"/>
                <w:szCs w:val="21"/>
              </w:rPr>
            </w:pPr>
            <w:r>
              <w:rPr>
                <w:rFonts w:hint="eastAsia" w:cs="宋体"/>
                <w:kern w:val="0"/>
                <w:szCs w:val="21"/>
              </w:rPr>
              <w:t>6.1.6 贮存设施应采取技术和管理措施防止无关人员进入。</w:t>
            </w:r>
          </w:p>
          <w:p>
            <w:pPr>
              <w:autoSpaceDE w:val="0"/>
              <w:autoSpaceDN w:val="0"/>
              <w:adjustRightInd w:val="0"/>
              <w:snapToGrid w:val="0"/>
              <w:spacing w:line="404" w:lineRule="exact"/>
              <w:ind w:firstLine="420" w:firstLineChars="200"/>
              <w:jc w:val="left"/>
              <w:rPr>
                <w:rFonts w:cs="宋体"/>
                <w:kern w:val="0"/>
                <w:szCs w:val="21"/>
              </w:rPr>
            </w:pPr>
            <w:r>
              <w:rPr>
                <w:rFonts w:hint="eastAsia" w:cs="宋体"/>
                <w:kern w:val="0"/>
                <w:szCs w:val="21"/>
              </w:rPr>
              <w:t>综上所述，在采取上述固废处置措施后，本项目固体废物能够做到去向明确，能够得到妥善处置，不会产生二次污染。</w:t>
            </w:r>
          </w:p>
          <w:p>
            <w:pPr>
              <w:adjustRightInd w:val="0"/>
              <w:snapToGrid w:val="0"/>
              <w:spacing w:line="404" w:lineRule="exact"/>
              <w:jc w:val="left"/>
              <w:rPr>
                <w:rFonts w:eastAsia="黑体"/>
                <w:bCs/>
                <w:sz w:val="22"/>
                <w:szCs w:val="22"/>
              </w:rPr>
            </w:pPr>
            <w:r>
              <w:rPr>
                <w:rFonts w:eastAsia="黑体"/>
                <w:bCs/>
                <w:sz w:val="22"/>
                <w:szCs w:val="22"/>
              </w:rPr>
              <w:t>5、地下水、土壤污染防治</w:t>
            </w:r>
          </w:p>
          <w:p>
            <w:pPr>
              <w:autoSpaceDE w:val="0"/>
              <w:autoSpaceDN w:val="0"/>
              <w:adjustRightInd w:val="0"/>
              <w:snapToGrid w:val="0"/>
              <w:spacing w:line="404" w:lineRule="exact"/>
              <w:ind w:firstLine="420" w:firstLineChars="200"/>
              <w:jc w:val="left"/>
              <w:rPr>
                <w:rFonts w:cs="宋体"/>
                <w:kern w:val="0"/>
                <w:szCs w:val="21"/>
              </w:rPr>
            </w:pPr>
            <w:r>
              <w:rPr>
                <w:rFonts w:hint="eastAsia" w:cs="宋体"/>
                <w:kern w:val="0"/>
                <w:szCs w:val="21"/>
              </w:rPr>
              <w:t>为有效规避地下水、土壤环境污染的风险，项目应做好污染预防措施。根据项目特点，项目可能会引起地下水、土壤污染的环节为生产过程（源头)、物料存储（污泥贮存间、PAC、废机油等)等环节。针对可能发生的地下水、土壤污染，原项目已经采取了一定的措施，但仍存在问题需要整改。</w:t>
            </w:r>
          </w:p>
          <w:p>
            <w:pPr>
              <w:autoSpaceDE w:val="0"/>
              <w:autoSpaceDN w:val="0"/>
              <w:adjustRightInd w:val="0"/>
              <w:snapToGrid w:val="0"/>
              <w:spacing w:line="404" w:lineRule="exact"/>
              <w:ind w:firstLine="420" w:firstLineChars="200"/>
              <w:jc w:val="left"/>
              <w:rPr>
                <w:rFonts w:cs="宋体"/>
                <w:kern w:val="0"/>
                <w:szCs w:val="21"/>
              </w:rPr>
            </w:pPr>
            <w:r>
              <w:rPr>
                <w:rFonts w:hint="eastAsia" w:cs="宋体"/>
                <w:kern w:val="0"/>
                <w:szCs w:val="21"/>
              </w:rPr>
              <w:t>（1）源头控制措施</w:t>
            </w:r>
          </w:p>
          <w:p>
            <w:pPr>
              <w:autoSpaceDE w:val="0"/>
              <w:autoSpaceDN w:val="0"/>
              <w:adjustRightInd w:val="0"/>
              <w:snapToGrid w:val="0"/>
              <w:spacing w:line="404" w:lineRule="exact"/>
              <w:ind w:firstLine="420" w:firstLineChars="200"/>
              <w:jc w:val="left"/>
              <w:rPr>
                <w:rFonts w:cs="宋体"/>
                <w:kern w:val="0"/>
                <w:szCs w:val="21"/>
              </w:rPr>
            </w:pPr>
            <w:r>
              <w:rPr>
                <w:rFonts w:hint="eastAsia" w:cs="宋体"/>
                <w:kern w:val="0"/>
                <w:szCs w:val="21"/>
              </w:rPr>
              <w:t>根据国家现行相关规范加强环境管理，采取防止和降低污染物跑、冒、滴、漏的措施。正常运营过程中应加强控制及处理机修过程中污染物跑、冒、滴、漏，同时应加强对防渗工程的检查，若发现防渗密封材料老化或损坏，应及时维修更换。</w:t>
            </w:r>
          </w:p>
          <w:p>
            <w:pPr>
              <w:autoSpaceDE w:val="0"/>
              <w:autoSpaceDN w:val="0"/>
              <w:adjustRightInd w:val="0"/>
              <w:snapToGrid w:val="0"/>
              <w:spacing w:line="404" w:lineRule="exact"/>
              <w:ind w:firstLine="420" w:firstLineChars="200"/>
              <w:jc w:val="left"/>
              <w:rPr>
                <w:rFonts w:cs="宋体"/>
                <w:kern w:val="0"/>
                <w:szCs w:val="21"/>
              </w:rPr>
            </w:pPr>
            <w:r>
              <w:rPr>
                <w:rFonts w:hint="eastAsia" w:cs="宋体"/>
                <w:kern w:val="0"/>
                <w:szCs w:val="21"/>
              </w:rPr>
              <w:t>（2）分区防治措施</w:t>
            </w:r>
          </w:p>
          <w:p>
            <w:pPr>
              <w:autoSpaceDE w:val="0"/>
              <w:autoSpaceDN w:val="0"/>
              <w:adjustRightInd w:val="0"/>
              <w:snapToGrid w:val="0"/>
              <w:spacing w:line="404" w:lineRule="exact"/>
              <w:ind w:firstLine="420" w:firstLineChars="200"/>
              <w:jc w:val="left"/>
              <w:rPr>
                <w:rFonts w:cs="宋体"/>
                <w:kern w:val="0"/>
                <w:szCs w:val="21"/>
              </w:rPr>
            </w:pPr>
            <w:r>
              <w:rPr>
                <w:rFonts w:hint="eastAsia" w:cs="宋体"/>
                <w:kern w:val="0"/>
                <w:szCs w:val="21"/>
              </w:rPr>
              <w:t>对项目区采取分区防渗，将各区域划分为重点防渗区、一般防渗区和简单防渗区，划分区域如下:</w:t>
            </w:r>
          </w:p>
          <w:p>
            <w:pPr>
              <w:autoSpaceDE w:val="0"/>
              <w:autoSpaceDN w:val="0"/>
              <w:adjustRightInd w:val="0"/>
              <w:snapToGrid w:val="0"/>
              <w:spacing w:line="404" w:lineRule="exact"/>
              <w:ind w:firstLine="420" w:firstLineChars="200"/>
              <w:jc w:val="left"/>
              <w:rPr>
                <w:rFonts w:cs="宋体"/>
                <w:kern w:val="0"/>
                <w:szCs w:val="21"/>
              </w:rPr>
            </w:pPr>
            <w:r>
              <w:rPr>
                <w:rFonts w:hint="eastAsia" w:cs="宋体"/>
                <w:kern w:val="0"/>
                <w:szCs w:val="21"/>
              </w:rPr>
              <w:t>①重点防渗区：脱硫废液沉淀池、污泥贮存间、危废间，满足:等效黏土层≥6.0m、防渗系数K&lt;1×10</w:t>
            </w:r>
            <w:r>
              <w:rPr>
                <w:rFonts w:hint="eastAsia" w:cs="宋体"/>
                <w:kern w:val="0"/>
                <w:szCs w:val="21"/>
                <w:vertAlign w:val="superscript"/>
              </w:rPr>
              <w:t>-10</w:t>
            </w:r>
            <w:r>
              <w:rPr>
                <w:rFonts w:hint="eastAsia" w:cs="宋体"/>
                <w:kern w:val="0"/>
                <w:szCs w:val="21"/>
              </w:rPr>
              <w:t>cm/s。</w:t>
            </w:r>
          </w:p>
          <w:p>
            <w:pPr>
              <w:autoSpaceDE w:val="0"/>
              <w:autoSpaceDN w:val="0"/>
              <w:adjustRightInd w:val="0"/>
              <w:snapToGrid w:val="0"/>
              <w:spacing w:line="404" w:lineRule="exact"/>
              <w:ind w:firstLine="420" w:firstLineChars="200"/>
              <w:jc w:val="left"/>
              <w:rPr>
                <w:rFonts w:cs="宋体"/>
                <w:kern w:val="0"/>
                <w:szCs w:val="21"/>
              </w:rPr>
            </w:pPr>
            <w:r>
              <w:rPr>
                <w:rFonts w:hint="eastAsia" w:cs="宋体"/>
                <w:kern w:val="0"/>
                <w:szCs w:val="21"/>
              </w:rPr>
              <w:t>②一般防渗区：原料堆场、PAC和片碱等贮存间，满足:等效黏土层≥1.5m，防渗系数K&lt;1x10</w:t>
            </w:r>
            <w:r>
              <w:rPr>
                <w:rFonts w:hint="eastAsia" w:cs="宋体"/>
                <w:kern w:val="0"/>
                <w:szCs w:val="21"/>
                <w:vertAlign w:val="superscript"/>
              </w:rPr>
              <w:t>-7</w:t>
            </w:r>
            <w:r>
              <w:rPr>
                <w:rFonts w:hint="eastAsia" w:cs="宋体"/>
                <w:kern w:val="0"/>
                <w:szCs w:val="21"/>
              </w:rPr>
              <w:t>cm/s。</w:t>
            </w:r>
          </w:p>
          <w:p>
            <w:pPr>
              <w:autoSpaceDE w:val="0"/>
              <w:autoSpaceDN w:val="0"/>
              <w:adjustRightInd w:val="0"/>
              <w:snapToGrid w:val="0"/>
              <w:spacing w:line="404" w:lineRule="exact"/>
              <w:ind w:firstLine="420" w:firstLineChars="200"/>
              <w:jc w:val="left"/>
              <w:rPr>
                <w:rFonts w:cs="宋体"/>
                <w:kern w:val="0"/>
                <w:szCs w:val="21"/>
              </w:rPr>
            </w:pPr>
            <w:r>
              <w:rPr>
                <w:rFonts w:hint="eastAsia" w:cs="宋体"/>
                <w:kern w:val="0"/>
                <w:szCs w:val="21"/>
              </w:rPr>
              <w:t>③简单防渗区：回车场、内部道路、成品砖码放区，采取一般地面硬化处理。</w:t>
            </w:r>
          </w:p>
          <w:p>
            <w:pPr>
              <w:autoSpaceDE w:val="0"/>
              <w:autoSpaceDN w:val="0"/>
              <w:adjustRightInd w:val="0"/>
              <w:snapToGrid w:val="0"/>
              <w:spacing w:line="404" w:lineRule="exact"/>
              <w:jc w:val="left"/>
              <w:rPr>
                <w:rFonts w:cs="宋体"/>
                <w:kern w:val="0"/>
                <w:szCs w:val="21"/>
              </w:rPr>
            </w:pPr>
            <w:r>
              <w:rPr>
                <w:rFonts w:hint="eastAsia" w:cs="宋体"/>
                <w:b/>
                <w:kern w:val="0"/>
                <w:szCs w:val="21"/>
              </w:rPr>
              <w:t>现有工程存在的问题:</w:t>
            </w:r>
          </w:p>
          <w:p>
            <w:pPr>
              <w:autoSpaceDE w:val="0"/>
              <w:autoSpaceDN w:val="0"/>
              <w:adjustRightInd w:val="0"/>
              <w:snapToGrid w:val="0"/>
              <w:spacing w:line="404" w:lineRule="exact"/>
              <w:ind w:firstLine="420" w:firstLineChars="200"/>
              <w:jc w:val="left"/>
              <w:rPr>
                <w:rFonts w:cs="宋体"/>
                <w:kern w:val="0"/>
                <w:szCs w:val="21"/>
              </w:rPr>
            </w:pPr>
            <w:r>
              <w:rPr>
                <w:rFonts w:hint="eastAsia" w:cs="宋体"/>
                <w:kern w:val="0"/>
                <w:szCs w:val="21"/>
              </w:rPr>
              <w:t>①原厂区未设置规范的危废暂存间。</w:t>
            </w:r>
          </w:p>
          <w:p>
            <w:pPr>
              <w:autoSpaceDE w:val="0"/>
              <w:autoSpaceDN w:val="0"/>
              <w:adjustRightInd w:val="0"/>
              <w:snapToGrid w:val="0"/>
              <w:spacing w:line="404" w:lineRule="exact"/>
              <w:ind w:firstLine="420" w:firstLineChars="200"/>
              <w:jc w:val="left"/>
              <w:rPr>
                <w:rFonts w:cs="宋体"/>
                <w:kern w:val="0"/>
                <w:szCs w:val="21"/>
              </w:rPr>
            </w:pPr>
            <w:r>
              <w:rPr>
                <w:rFonts w:hint="eastAsia" w:cs="宋体"/>
                <w:kern w:val="0"/>
                <w:szCs w:val="21"/>
              </w:rPr>
              <w:t>②原材料堆场未做混凝土硬化处理，列为一般防渗区。</w:t>
            </w:r>
          </w:p>
          <w:p>
            <w:pPr>
              <w:autoSpaceDE w:val="0"/>
              <w:autoSpaceDN w:val="0"/>
              <w:adjustRightInd w:val="0"/>
              <w:snapToGrid w:val="0"/>
              <w:spacing w:line="404" w:lineRule="exact"/>
              <w:ind w:firstLine="422" w:firstLineChars="200"/>
              <w:jc w:val="left"/>
              <w:rPr>
                <w:rFonts w:cs="宋体"/>
                <w:b/>
                <w:kern w:val="0"/>
                <w:szCs w:val="21"/>
              </w:rPr>
            </w:pPr>
            <w:r>
              <w:rPr>
                <w:rFonts w:hint="eastAsia" w:cs="宋体"/>
                <w:b/>
                <w:kern w:val="0"/>
                <w:szCs w:val="21"/>
              </w:rPr>
              <w:t>整改措施：</w:t>
            </w:r>
          </w:p>
          <w:p>
            <w:pPr>
              <w:autoSpaceDE w:val="0"/>
              <w:autoSpaceDN w:val="0"/>
              <w:adjustRightInd w:val="0"/>
              <w:snapToGrid w:val="0"/>
              <w:spacing w:line="404" w:lineRule="exact"/>
              <w:ind w:firstLine="420" w:firstLineChars="200"/>
              <w:jc w:val="left"/>
              <w:rPr>
                <w:rFonts w:cs="宋体"/>
                <w:kern w:val="0"/>
                <w:szCs w:val="21"/>
              </w:rPr>
            </w:pPr>
            <w:r>
              <w:rPr>
                <w:rFonts w:hint="eastAsia" w:cs="宋体"/>
                <w:kern w:val="0"/>
                <w:szCs w:val="21"/>
              </w:rPr>
              <w:t>①危废暂存间列为重点防渗区，需满足:等效黏土层6.0m、防渗系数K&lt;l×10</w:t>
            </w:r>
            <w:r>
              <w:rPr>
                <w:rFonts w:hint="eastAsia" w:cs="宋体"/>
                <w:kern w:val="0"/>
                <w:szCs w:val="21"/>
                <w:vertAlign w:val="superscript"/>
              </w:rPr>
              <w:t>-10</w:t>
            </w:r>
            <w:r>
              <w:rPr>
                <w:rFonts w:hint="eastAsia" w:cs="宋体"/>
                <w:kern w:val="0"/>
                <w:szCs w:val="21"/>
              </w:rPr>
              <w:t>cm/s ,采用混凝士硬化2mm环氧树脂地坪。</w:t>
            </w:r>
          </w:p>
          <w:p>
            <w:pPr>
              <w:autoSpaceDE w:val="0"/>
              <w:autoSpaceDN w:val="0"/>
              <w:adjustRightInd w:val="0"/>
              <w:snapToGrid w:val="0"/>
              <w:spacing w:line="404" w:lineRule="exact"/>
              <w:ind w:firstLine="420" w:firstLineChars="200"/>
              <w:jc w:val="left"/>
              <w:rPr>
                <w:rFonts w:cs="宋体"/>
                <w:kern w:val="0"/>
                <w:szCs w:val="21"/>
              </w:rPr>
            </w:pPr>
            <w:r>
              <w:rPr>
                <w:rFonts w:hint="eastAsia" w:cs="宋体"/>
                <w:kern w:val="0"/>
                <w:szCs w:val="21"/>
              </w:rPr>
              <w:t>②原材料堆场列为一般防渗区，需满足:等效黏土晨1.5m，防渗系数K&lt;l×10</w:t>
            </w:r>
            <w:r>
              <w:rPr>
                <w:rFonts w:hint="eastAsia" w:cs="宋体"/>
                <w:kern w:val="0"/>
                <w:szCs w:val="21"/>
                <w:vertAlign w:val="superscript"/>
              </w:rPr>
              <w:t>-7</w:t>
            </w:r>
            <w:r>
              <w:rPr>
                <w:rFonts w:hint="eastAsia" w:cs="宋体"/>
                <w:kern w:val="0"/>
                <w:szCs w:val="21"/>
              </w:rPr>
              <w:t>cm/s，采用混凝士硬化。</w:t>
            </w:r>
          </w:p>
          <w:p>
            <w:pPr>
              <w:autoSpaceDE w:val="0"/>
              <w:autoSpaceDN w:val="0"/>
              <w:adjustRightInd w:val="0"/>
              <w:snapToGrid w:val="0"/>
              <w:spacing w:line="404" w:lineRule="exact"/>
              <w:ind w:firstLine="420" w:firstLineChars="200"/>
              <w:jc w:val="left"/>
              <w:rPr>
                <w:rFonts w:cs="宋体"/>
                <w:kern w:val="0"/>
                <w:szCs w:val="21"/>
              </w:rPr>
            </w:pPr>
            <w:r>
              <w:rPr>
                <w:rFonts w:hint="eastAsia" w:cs="宋体"/>
                <w:kern w:val="0"/>
                <w:szCs w:val="21"/>
              </w:rPr>
              <w:t>项目采用以上防渗措施后，项目对地下水、土壤不会造成明显影响。</w:t>
            </w:r>
          </w:p>
          <w:p>
            <w:pPr>
              <w:adjustRightInd w:val="0"/>
              <w:snapToGrid w:val="0"/>
              <w:spacing w:line="404" w:lineRule="exact"/>
              <w:jc w:val="left"/>
              <w:rPr>
                <w:rFonts w:eastAsia="黑体"/>
                <w:bCs/>
                <w:sz w:val="22"/>
                <w:szCs w:val="22"/>
              </w:rPr>
            </w:pPr>
            <w:r>
              <w:rPr>
                <w:rFonts w:hint="eastAsia" w:eastAsia="黑体"/>
                <w:bCs/>
                <w:sz w:val="22"/>
                <w:szCs w:val="22"/>
              </w:rPr>
              <w:t>6</w:t>
            </w:r>
            <w:r>
              <w:rPr>
                <w:rFonts w:eastAsia="黑体"/>
                <w:bCs/>
                <w:sz w:val="22"/>
                <w:szCs w:val="22"/>
              </w:rPr>
              <w:t>、环境风险</w:t>
            </w:r>
          </w:p>
          <w:p>
            <w:pPr>
              <w:autoSpaceDE w:val="0"/>
              <w:autoSpaceDN w:val="0"/>
              <w:adjustRightInd w:val="0"/>
              <w:spacing w:line="404" w:lineRule="exact"/>
              <w:ind w:firstLine="420" w:firstLineChars="200"/>
              <w:rPr>
                <w:kern w:val="0"/>
              </w:rPr>
            </w:pPr>
            <w:r>
              <w:rPr>
                <w:kern w:val="0"/>
              </w:rPr>
              <w:t>（1）</w:t>
            </w:r>
            <w:r>
              <w:rPr>
                <w:rFonts w:eastAsia="黑体"/>
                <w:kern w:val="0"/>
              </w:rPr>
              <w:t>危险物质</w:t>
            </w:r>
          </w:p>
          <w:p>
            <w:pPr>
              <w:autoSpaceDE w:val="0"/>
              <w:autoSpaceDN w:val="0"/>
              <w:adjustRightInd w:val="0"/>
              <w:spacing w:line="404" w:lineRule="exact"/>
              <w:ind w:firstLine="420" w:firstLineChars="200"/>
              <w:rPr>
                <w:kern w:val="0"/>
              </w:rPr>
            </w:pPr>
            <w:r>
              <w:rPr>
                <w:kern w:val="0"/>
              </w:rPr>
              <w:t>项目主要原辅材料及产品</w:t>
            </w:r>
            <w:r>
              <w:rPr>
                <w:rFonts w:hint="eastAsia"/>
                <w:kern w:val="0"/>
              </w:rPr>
              <w:t>中涉及的化学品有PAC、片碱、废机油等。根据《危险化学品目录》（2022修改版），本项目涉及危险化学品是片碱（氢氧化钠）。氢氧化钠的危险性主要是腐蚀性，危险性符合“C”。根据《危险化学品重大危险源辨识》（GB 18218-2018），未将腐蚀性危险化学品纳入临界量管控范畴，氢氧化钠不属于危化品重大危险源。</w:t>
            </w:r>
          </w:p>
          <w:p>
            <w:pPr>
              <w:autoSpaceDE w:val="0"/>
              <w:autoSpaceDN w:val="0"/>
              <w:adjustRightInd w:val="0"/>
              <w:spacing w:line="400" w:lineRule="exact"/>
              <w:ind w:firstLine="420" w:firstLineChars="200"/>
              <w:rPr>
                <w:kern w:val="0"/>
              </w:rPr>
            </w:pPr>
            <w:r>
              <w:rPr>
                <w:rFonts w:hint="eastAsia"/>
                <w:kern w:val="0"/>
              </w:rPr>
              <w:t>PAC属于一般化学品，不属于危险物质。废机油属于油类物质，根据《建设项目环境风险评价技术导则》（HJ 169-2018），油类物质的临界量为2500t。本项目废机油最大贮存量约0.05t/a，Q值为0.00002＜1。因此，本项目涉及的化学品均不涉及重大危险源。</w:t>
            </w:r>
          </w:p>
          <w:p>
            <w:pPr>
              <w:autoSpaceDE w:val="0"/>
              <w:autoSpaceDN w:val="0"/>
              <w:adjustRightInd w:val="0"/>
              <w:spacing w:line="400" w:lineRule="exact"/>
              <w:ind w:firstLine="420" w:firstLineChars="200"/>
              <w:rPr>
                <w:rFonts w:eastAsia="黑体"/>
                <w:kern w:val="0"/>
              </w:rPr>
            </w:pPr>
            <w:r>
              <w:rPr>
                <w:rFonts w:eastAsia="黑体"/>
                <w:kern w:val="0"/>
              </w:rPr>
              <w:t>（2）风险源识别及影响途径</w:t>
            </w:r>
          </w:p>
          <w:p>
            <w:pPr>
              <w:autoSpaceDE w:val="0"/>
              <w:autoSpaceDN w:val="0"/>
              <w:adjustRightInd w:val="0"/>
              <w:spacing w:line="400" w:lineRule="exact"/>
              <w:ind w:firstLine="420" w:firstLineChars="200"/>
              <w:rPr>
                <w:kern w:val="0"/>
              </w:rPr>
            </w:pPr>
            <w:r>
              <w:rPr>
                <w:kern w:val="0"/>
              </w:rPr>
              <w:t>风险识别范围包括物质危险性识别和生产系统危险性识别。物质风险性识别包括主要原辅材料、燃料、中间产品、副产品、最终产品、污染物和爆炸伴生/次生物等。生产系统危险性识别包括主要生产装置、储运设施、公用工程和辅助生产设施，以及环境保护设施等。</w:t>
            </w:r>
          </w:p>
          <w:p>
            <w:pPr>
              <w:autoSpaceDE w:val="0"/>
              <w:autoSpaceDN w:val="0"/>
              <w:adjustRightInd w:val="0"/>
              <w:spacing w:line="400" w:lineRule="exact"/>
              <w:ind w:firstLine="420" w:firstLineChars="200"/>
              <w:rPr>
                <w:kern w:val="0"/>
              </w:rPr>
            </w:pPr>
            <w:r>
              <w:rPr>
                <w:rFonts w:hint="eastAsia" w:ascii="宋体" w:hAnsi="宋体" w:cs="宋体"/>
                <w:kern w:val="0"/>
              </w:rPr>
              <w:t>①</w:t>
            </w:r>
            <w:r>
              <w:rPr>
                <w:kern w:val="0"/>
              </w:rPr>
              <w:t>物质风险性识别</w:t>
            </w:r>
          </w:p>
          <w:p>
            <w:pPr>
              <w:autoSpaceDE w:val="0"/>
              <w:autoSpaceDN w:val="0"/>
              <w:adjustRightInd w:val="0"/>
              <w:spacing w:line="400" w:lineRule="exact"/>
              <w:ind w:firstLine="420" w:firstLineChars="200"/>
              <w:rPr>
                <w:kern w:val="0"/>
              </w:rPr>
            </w:pPr>
            <w:r>
              <w:rPr>
                <w:kern w:val="0"/>
              </w:rPr>
              <w:t>项目机械维修产生的废机油和废油桶等属于易燃物质，在接触明火时较易点燃，引起火灾事故。油类物质泄露会对区域土壤、地下水和地表水造成污染影响。</w:t>
            </w:r>
            <w:r>
              <w:rPr>
                <w:rFonts w:hint="eastAsia"/>
                <w:kern w:val="0"/>
              </w:rPr>
              <w:t>片碱属于强碱具有强烈的腐蚀性，一旦泄漏进入水体或人体接触，将造成水体污染和健康危害。</w:t>
            </w:r>
          </w:p>
          <w:p>
            <w:pPr>
              <w:autoSpaceDE w:val="0"/>
              <w:autoSpaceDN w:val="0"/>
              <w:adjustRightInd w:val="0"/>
              <w:spacing w:line="400" w:lineRule="exact"/>
              <w:ind w:firstLine="420" w:firstLineChars="200"/>
              <w:rPr>
                <w:kern w:val="0"/>
              </w:rPr>
            </w:pPr>
            <w:r>
              <w:rPr>
                <w:rFonts w:hint="eastAsia" w:ascii="宋体" w:hAnsi="宋体" w:cs="宋体"/>
                <w:kern w:val="0"/>
              </w:rPr>
              <w:t>②</w:t>
            </w:r>
            <w:r>
              <w:rPr>
                <w:kern w:val="0"/>
              </w:rPr>
              <w:t>运输过程风险识别</w:t>
            </w:r>
          </w:p>
          <w:p>
            <w:pPr>
              <w:autoSpaceDE w:val="0"/>
              <w:autoSpaceDN w:val="0"/>
              <w:adjustRightInd w:val="0"/>
              <w:spacing w:line="400" w:lineRule="exact"/>
              <w:ind w:firstLine="420" w:firstLineChars="200"/>
              <w:rPr>
                <w:kern w:val="0"/>
              </w:rPr>
            </w:pPr>
            <w:r>
              <w:rPr>
                <w:kern w:val="0"/>
              </w:rPr>
              <w:t>项目运输为一般物品运输，运输过程中，注意行车安全，防止物品遗撒。</w:t>
            </w:r>
          </w:p>
          <w:p>
            <w:pPr>
              <w:autoSpaceDE w:val="0"/>
              <w:autoSpaceDN w:val="0"/>
              <w:adjustRightInd w:val="0"/>
              <w:spacing w:line="400" w:lineRule="exact"/>
              <w:ind w:firstLine="420" w:firstLineChars="200"/>
              <w:rPr>
                <w:kern w:val="0"/>
              </w:rPr>
            </w:pPr>
            <w:r>
              <w:rPr>
                <w:rFonts w:hint="eastAsia" w:ascii="宋体" w:hAnsi="宋体" w:cs="宋体"/>
                <w:kern w:val="0"/>
              </w:rPr>
              <w:t>③</w:t>
            </w:r>
            <w:r>
              <w:rPr>
                <w:kern w:val="0"/>
              </w:rPr>
              <w:t>存储风险识别</w:t>
            </w:r>
          </w:p>
          <w:p>
            <w:pPr>
              <w:autoSpaceDE w:val="0"/>
              <w:autoSpaceDN w:val="0"/>
              <w:adjustRightInd w:val="0"/>
              <w:spacing w:line="400" w:lineRule="exact"/>
              <w:ind w:firstLine="420" w:firstLineChars="200"/>
              <w:rPr>
                <w:kern w:val="0"/>
              </w:rPr>
            </w:pPr>
            <w:r>
              <w:rPr>
                <w:kern w:val="0"/>
              </w:rPr>
              <w:t>项目生产过程中，涉及润滑油以及废机油和废油桶等油类物质的贮存、使用，在储存过程中由于管理不当可能有泄漏、火灾等风险的发生。油类物质泄露会对区域土壤、地下水和地表水造成污染影响。</w:t>
            </w:r>
            <w:r>
              <w:rPr>
                <w:rFonts w:hint="eastAsia"/>
                <w:kern w:val="0"/>
              </w:rPr>
              <w:t>片碱若因储存不当泄漏，将造成水体污染。</w:t>
            </w:r>
          </w:p>
          <w:p>
            <w:pPr>
              <w:autoSpaceDE w:val="0"/>
              <w:autoSpaceDN w:val="0"/>
              <w:adjustRightInd w:val="0"/>
              <w:spacing w:line="400" w:lineRule="exact"/>
              <w:ind w:firstLine="420" w:firstLineChars="200"/>
              <w:rPr>
                <w:kern w:val="0"/>
              </w:rPr>
            </w:pPr>
            <w:r>
              <w:rPr>
                <w:rFonts w:hint="eastAsia" w:ascii="宋体" w:hAnsi="宋体" w:cs="宋体"/>
                <w:kern w:val="0"/>
              </w:rPr>
              <w:t>④</w:t>
            </w:r>
            <w:r>
              <w:rPr>
                <w:kern w:val="0"/>
              </w:rPr>
              <w:t>生产装置风险识别</w:t>
            </w:r>
          </w:p>
          <w:p>
            <w:pPr>
              <w:autoSpaceDE w:val="0"/>
              <w:autoSpaceDN w:val="0"/>
              <w:adjustRightInd w:val="0"/>
              <w:spacing w:line="400" w:lineRule="exact"/>
              <w:ind w:firstLine="420" w:firstLineChars="200"/>
              <w:rPr>
                <w:kern w:val="0"/>
              </w:rPr>
            </w:pPr>
            <w:r>
              <w:rPr>
                <w:kern w:val="0"/>
              </w:rPr>
              <w:t>项目煤矸石属于可燃物质，应注意防止煤矸石自燃引发火灾</w:t>
            </w:r>
            <w:r>
              <w:rPr>
                <w:rFonts w:hint="eastAsia"/>
              </w:rPr>
              <w:t>。</w:t>
            </w:r>
          </w:p>
          <w:p>
            <w:pPr>
              <w:autoSpaceDE w:val="0"/>
              <w:autoSpaceDN w:val="0"/>
              <w:adjustRightInd w:val="0"/>
              <w:spacing w:line="400" w:lineRule="exact"/>
              <w:ind w:firstLine="420" w:firstLineChars="200"/>
              <w:rPr>
                <w:kern w:val="0"/>
              </w:rPr>
            </w:pPr>
            <w:r>
              <w:rPr>
                <w:kern w:val="0"/>
              </w:rPr>
              <w:t>综上，本项目风险源主要存在于油类物质的贮存、使用过程</w:t>
            </w:r>
            <w:r>
              <w:rPr>
                <w:rFonts w:hint="eastAsia"/>
                <w:kern w:val="0"/>
              </w:rPr>
              <w:t>，</w:t>
            </w:r>
            <w:r>
              <w:rPr>
                <w:kern w:val="0"/>
              </w:rPr>
              <w:t>一旦发生泄露将对区域土壤、地下水和地表水造成污染影响。若发生火灾等风险事故，将对周边大气环境造成污染影响。</w:t>
            </w:r>
          </w:p>
          <w:p>
            <w:pPr>
              <w:autoSpaceDE w:val="0"/>
              <w:autoSpaceDN w:val="0"/>
              <w:adjustRightInd w:val="0"/>
              <w:spacing w:line="400" w:lineRule="exact"/>
              <w:ind w:firstLine="420" w:firstLineChars="200"/>
              <w:rPr>
                <w:rFonts w:eastAsia="黑体"/>
                <w:kern w:val="0"/>
              </w:rPr>
            </w:pPr>
            <w:r>
              <w:rPr>
                <w:rFonts w:eastAsia="黑体"/>
                <w:kern w:val="0"/>
              </w:rPr>
              <w:t>（</w:t>
            </w:r>
            <w:r>
              <w:rPr>
                <w:rFonts w:hint="eastAsia" w:eastAsia="黑体"/>
                <w:kern w:val="0"/>
              </w:rPr>
              <w:t>3</w:t>
            </w:r>
            <w:r>
              <w:rPr>
                <w:rFonts w:eastAsia="黑体"/>
                <w:kern w:val="0"/>
              </w:rPr>
              <w:t>）风险防范措施</w:t>
            </w:r>
          </w:p>
          <w:p>
            <w:pPr>
              <w:autoSpaceDE w:val="0"/>
              <w:autoSpaceDN w:val="0"/>
              <w:adjustRightInd w:val="0"/>
              <w:spacing w:line="400" w:lineRule="exact"/>
              <w:ind w:firstLine="420" w:firstLineChars="200"/>
              <w:rPr>
                <w:kern w:val="0"/>
              </w:rPr>
            </w:pPr>
            <w:r>
              <w:rPr>
                <w:rFonts w:hint="eastAsia" w:ascii="宋体" w:hAnsi="宋体" w:cs="宋体"/>
                <w:kern w:val="0"/>
              </w:rPr>
              <w:t>①</w:t>
            </w:r>
            <w:r>
              <w:rPr>
                <w:kern w:val="0"/>
              </w:rPr>
              <w:t>采取分区防渗措施，危废间</w:t>
            </w:r>
            <w:r>
              <w:rPr>
                <w:rFonts w:hint="eastAsia"/>
                <w:kern w:val="0"/>
              </w:rPr>
              <w:t>、污泥贮存间</w:t>
            </w:r>
            <w:r>
              <w:rPr>
                <w:kern w:val="0"/>
              </w:rPr>
              <w:t>属于重点防渗区。重点防渗区严格按照相应防渗要求，采用粘土垫底+采用防渗混凝土硬化2mm厚HDPE膜进行防渗，渗透系数K≤1×10</w:t>
            </w:r>
            <w:r>
              <w:rPr>
                <w:kern w:val="0"/>
                <w:vertAlign w:val="superscript"/>
              </w:rPr>
              <w:t>-10</w:t>
            </w:r>
            <w:r>
              <w:rPr>
                <w:kern w:val="0"/>
              </w:rPr>
              <w:t>cm/s。</w:t>
            </w:r>
          </w:p>
          <w:p>
            <w:pPr>
              <w:autoSpaceDE w:val="0"/>
              <w:autoSpaceDN w:val="0"/>
              <w:adjustRightInd w:val="0"/>
              <w:spacing w:line="400" w:lineRule="exact"/>
              <w:ind w:firstLine="420" w:firstLineChars="200"/>
              <w:rPr>
                <w:kern w:val="0"/>
              </w:rPr>
            </w:pPr>
            <w:r>
              <w:rPr>
                <w:rFonts w:hint="eastAsia" w:ascii="宋体" w:hAnsi="宋体" w:cs="宋体"/>
                <w:kern w:val="0"/>
              </w:rPr>
              <w:t>②氢氧化钠应储存于阴凉、干燥、通风良好的库房。包装必须密封，切勿受潮。应与易（可）燃物、酸类等分开存放，切忌混储。储区应备有合适的材料收容泄漏物。</w:t>
            </w:r>
          </w:p>
          <w:p>
            <w:pPr>
              <w:autoSpaceDE w:val="0"/>
              <w:autoSpaceDN w:val="0"/>
              <w:adjustRightInd w:val="0"/>
              <w:spacing w:line="400" w:lineRule="exact"/>
              <w:ind w:firstLine="420" w:firstLineChars="200"/>
              <w:rPr>
                <w:kern w:val="0"/>
              </w:rPr>
            </w:pPr>
            <w:r>
              <w:rPr>
                <w:rFonts w:hint="eastAsia" w:ascii="宋体" w:hAnsi="宋体" w:cs="宋体"/>
                <w:kern w:val="0"/>
              </w:rPr>
              <w:t>③危废间内部应</w:t>
            </w:r>
            <w:r>
              <w:rPr>
                <w:kern w:val="0"/>
              </w:rPr>
              <w:t>配备一定数量的消防器材，预防火灾事故发生。各类物质分类分容器储存。储存与保管过程中严格加强管理，指定专人保管，设置明显的标识、标牌，严禁烟火等。</w:t>
            </w:r>
          </w:p>
          <w:p>
            <w:pPr>
              <w:autoSpaceDE w:val="0"/>
              <w:autoSpaceDN w:val="0"/>
              <w:adjustRightInd w:val="0"/>
              <w:spacing w:line="400" w:lineRule="exact"/>
              <w:ind w:firstLine="420" w:firstLineChars="200"/>
              <w:rPr>
                <w:rFonts w:ascii="宋体" w:hAnsi="宋体" w:cs="宋体"/>
                <w:kern w:val="0"/>
              </w:rPr>
            </w:pPr>
            <w:r>
              <w:rPr>
                <w:rFonts w:hint="eastAsia" w:ascii="宋体" w:hAnsi="宋体" w:cs="宋体"/>
                <w:kern w:val="0"/>
              </w:rPr>
              <w:t>④废水处理设施应按照要求，采取相应等级的防渗措施，避免废水处理池体或水箱发生破裂、渗漏。</w:t>
            </w:r>
          </w:p>
          <w:p>
            <w:pPr>
              <w:autoSpaceDE w:val="0"/>
              <w:autoSpaceDN w:val="0"/>
              <w:adjustRightInd w:val="0"/>
              <w:spacing w:line="400" w:lineRule="exact"/>
              <w:ind w:firstLine="420" w:firstLineChars="200"/>
              <w:rPr>
                <w:kern w:val="0"/>
              </w:rPr>
            </w:pPr>
            <w:r>
              <w:rPr>
                <w:rFonts w:hint="eastAsia" w:ascii="宋体" w:hAnsi="宋体" w:cs="宋体"/>
                <w:kern w:val="0"/>
              </w:rPr>
              <w:t>⑤建设单位应委托</w:t>
            </w:r>
            <w:r>
              <w:rPr>
                <w:kern w:val="0"/>
              </w:rPr>
              <w:t>有资质的单位定期回收危险废物处置，尽量避免长时间暂存。</w:t>
            </w:r>
          </w:p>
          <w:p>
            <w:pPr>
              <w:autoSpaceDE w:val="0"/>
              <w:autoSpaceDN w:val="0"/>
              <w:adjustRightInd w:val="0"/>
              <w:spacing w:line="380" w:lineRule="exact"/>
              <w:ind w:firstLine="420" w:firstLineChars="200"/>
              <w:rPr>
                <w:kern w:val="0"/>
              </w:rPr>
            </w:pPr>
            <w:r>
              <w:rPr>
                <w:rFonts w:hint="eastAsia" w:ascii="宋体" w:hAnsi="宋体" w:cs="宋体"/>
                <w:kern w:val="0"/>
              </w:rPr>
              <w:t>⑥建设单位应</w:t>
            </w:r>
            <w:r>
              <w:rPr>
                <w:kern w:val="0"/>
              </w:rPr>
              <w:t>按照《国家突发环境事件应急预案》（国办函〔2014〕119号）、地方和相关部门的要求，制定符合项目实际需要的应急预案，一旦发生事故，迅速采取有效处理措施进行抢险修复，最大限度降低对周围环境和人民生命财产的危害。</w:t>
            </w:r>
          </w:p>
          <w:p>
            <w:pPr>
              <w:autoSpaceDE w:val="0"/>
              <w:autoSpaceDN w:val="0"/>
              <w:adjustRightInd w:val="0"/>
              <w:spacing w:line="390" w:lineRule="exact"/>
              <w:ind w:firstLine="420" w:firstLineChars="200"/>
              <w:rPr>
                <w:rFonts w:eastAsia="黑体"/>
                <w:kern w:val="0"/>
              </w:rPr>
            </w:pPr>
            <w:r>
              <w:rPr>
                <w:rFonts w:eastAsia="黑体"/>
                <w:kern w:val="0"/>
              </w:rPr>
              <w:t>（5）环境风险评价结论</w:t>
            </w:r>
          </w:p>
          <w:p>
            <w:pPr>
              <w:adjustRightInd w:val="0"/>
              <w:snapToGrid w:val="0"/>
              <w:spacing w:line="400" w:lineRule="exact"/>
              <w:ind w:firstLine="420" w:firstLineChars="200"/>
              <w:jc w:val="left"/>
              <w:rPr>
                <w:kern w:val="0"/>
              </w:rPr>
            </w:pPr>
            <w:r>
              <w:rPr>
                <w:kern w:val="0"/>
              </w:rPr>
              <w:t>本项目风险源主要为油类物质的贮存。通过采取上述风险防范措施，环境风险是可控的。因此，从环境风险角度分析本项目建设可行。</w:t>
            </w:r>
          </w:p>
          <w:p>
            <w:pPr>
              <w:adjustRightInd w:val="0"/>
              <w:snapToGrid w:val="0"/>
              <w:spacing w:line="400" w:lineRule="exact"/>
              <w:jc w:val="left"/>
              <w:rPr>
                <w:rFonts w:eastAsia="黑体"/>
                <w:bCs/>
                <w:sz w:val="22"/>
                <w:szCs w:val="22"/>
              </w:rPr>
            </w:pPr>
            <w:r>
              <w:rPr>
                <w:rFonts w:hint="eastAsia" w:eastAsia="黑体"/>
                <w:bCs/>
                <w:sz w:val="22"/>
                <w:szCs w:val="22"/>
              </w:rPr>
              <w:t>7</w:t>
            </w:r>
            <w:r>
              <w:rPr>
                <w:rFonts w:hint="eastAsia" w:eastAsia="黑体" w:cs="黑体"/>
                <w:bCs/>
                <w:sz w:val="22"/>
                <w:szCs w:val="22"/>
              </w:rPr>
              <w:t>、改（扩）建项目“三本帐”</w:t>
            </w:r>
          </w:p>
          <w:p>
            <w:pPr>
              <w:autoSpaceDE w:val="0"/>
              <w:autoSpaceDN w:val="0"/>
              <w:adjustRightInd w:val="0"/>
              <w:spacing w:line="390" w:lineRule="exact"/>
              <w:ind w:firstLine="420" w:firstLineChars="200"/>
              <w:rPr>
                <w:kern w:val="0"/>
              </w:rPr>
            </w:pPr>
            <w:r>
              <w:rPr>
                <w:rFonts w:hint="eastAsia"/>
                <w:kern w:val="0"/>
              </w:rPr>
              <w:t>本项目技改后“三本帐”情况如下：</w:t>
            </w:r>
          </w:p>
          <w:p>
            <w:pPr>
              <w:adjustRightInd w:val="0"/>
              <w:snapToGrid w:val="0"/>
              <w:spacing w:line="400" w:lineRule="exact"/>
              <w:ind w:left="-53" w:leftChars="-25" w:right="-53" w:rightChars="-25"/>
              <w:jc w:val="center"/>
              <w:rPr>
                <w:rFonts w:ascii="黑体" w:hAnsi="黑体" w:eastAsia="黑体" w:cs="黑体"/>
                <w:kern w:val="0"/>
                <w:sz w:val="18"/>
                <w:szCs w:val="21"/>
              </w:rPr>
            </w:pPr>
          </w:p>
          <w:p>
            <w:pPr>
              <w:adjustRightInd w:val="0"/>
              <w:snapToGrid w:val="0"/>
              <w:spacing w:line="400" w:lineRule="exact"/>
              <w:ind w:left="-53" w:leftChars="-25" w:right="-53" w:rightChars="-25"/>
              <w:jc w:val="center"/>
              <w:rPr>
                <w:rFonts w:ascii="黑体" w:hAnsi="黑体" w:eastAsia="黑体" w:cs="黑体"/>
                <w:kern w:val="0"/>
                <w:sz w:val="18"/>
                <w:szCs w:val="21"/>
              </w:rPr>
            </w:pPr>
          </w:p>
          <w:p>
            <w:pPr>
              <w:adjustRightInd w:val="0"/>
              <w:snapToGrid w:val="0"/>
              <w:spacing w:line="400" w:lineRule="exact"/>
              <w:ind w:left="-53" w:leftChars="-25" w:right="-53" w:rightChars="-25"/>
              <w:jc w:val="center"/>
              <w:rPr>
                <w:rFonts w:ascii="黑体" w:hAnsi="黑体" w:eastAsia="黑体" w:cs="黑体"/>
                <w:kern w:val="0"/>
                <w:sz w:val="18"/>
                <w:szCs w:val="21"/>
              </w:rPr>
            </w:pPr>
          </w:p>
          <w:p>
            <w:pPr>
              <w:adjustRightInd w:val="0"/>
              <w:snapToGrid w:val="0"/>
              <w:spacing w:line="400" w:lineRule="exact"/>
              <w:ind w:left="-53" w:leftChars="-25" w:right="-53" w:rightChars="-25"/>
              <w:jc w:val="center"/>
              <w:rPr>
                <w:rFonts w:ascii="黑体" w:hAnsi="黑体" w:eastAsia="黑体" w:cs="黑体"/>
                <w:kern w:val="0"/>
                <w:sz w:val="18"/>
                <w:szCs w:val="21"/>
              </w:rPr>
            </w:pPr>
            <w:r>
              <w:rPr>
                <w:rFonts w:hint="eastAsia" w:ascii="黑体" w:hAnsi="黑体" w:eastAsia="黑体" w:cs="黑体"/>
                <w:kern w:val="0"/>
                <w:sz w:val="18"/>
                <w:szCs w:val="21"/>
              </w:rPr>
              <w:t>表4-13   本项目改建前后“三本帐”</w:t>
            </w:r>
          </w:p>
          <w:tbl>
            <w:tblPr>
              <w:tblStyle w:val="20"/>
              <w:tblW w:w="79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72"/>
              <w:gridCol w:w="855"/>
              <w:gridCol w:w="935"/>
              <w:gridCol w:w="967"/>
              <w:gridCol w:w="961"/>
              <w:gridCol w:w="746"/>
              <w:gridCol w:w="967"/>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jc w:val="center"/>
              </w:trPr>
              <w:tc>
                <w:tcPr>
                  <w:tcW w:w="630" w:type="dxa"/>
                  <w:vMerge w:val="restart"/>
                  <w:tcBorders>
                    <w:tl2br w:val="nil"/>
                    <w:tr2bl w:val="nil"/>
                  </w:tcBorders>
                  <w:tcMar>
                    <w:top w:w="0" w:type="dxa"/>
                    <w:left w:w="28" w:type="dxa"/>
                    <w:bottom w:w="0" w:type="dxa"/>
                    <w:right w:w="28" w:type="dxa"/>
                  </w:tcMar>
                  <w:vAlign w:val="center"/>
                </w:tcPr>
                <w:p>
                  <w:pPr>
                    <w:pStyle w:val="32"/>
                    <w:spacing w:beforeLines="0" w:line="320" w:lineRule="exact"/>
                    <w:rPr>
                      <w:rFonts w:ascii="Times New Roman" w:hAnsi="Times New Roman" w:eastAsia="黑体" w:cs="Times New Roman"/>
                      <w:snapToGrid w:val="0"/>
                      <w:spacing w:val="-6"/>
                      <w:kern w:val="21"/>
                      <w:sz w:val="15"/>
                      <w:szCs w:val="15"/>
                    </w:rPr>
                  </w:pPr>
                  <w:r>
                    <w:rPr>
                      <w:rFonts w:hint="eastAsia" w:ascii="Times New Roman" w:hAnsi="Times New Roman" w:eastAsia="黑体" w:cs="Times New Roman"/>
                      <w:snapToGrid w:val="0"/>
                      <w:spacing w:val="-6"/>
                      <w:kern w:val="21"/>
                      <w:sz w:val="15"/>
                      <w:szCs w:val="15"/>
                    </w:rPr>
                    <w:t>污染源</w:t>
                  </w:r>
                </w:p>
              </w:tc>
              <w:tc>
                <w:tcPr>
                  <w:tcW w:w="1072" w:type="dxa"/>
                  <w:vMerge w:val="restart"/>
                  <w:tcBorders>
                    <w:tl2br w:val="nil"/>
                    <w:tr2bl w:val="nil"/>
                  </w:tcBorders>
                  <w:tcMar>
                    <w:top w:w="0" w:type="dxa"/>
                    <w:left w:w="28" w:type="dxa"/>
                    <w:bottom w:w="0" w:type="dxa"/>
                    <w:right w:w="28" w:type="dxa"/>
                  </w:tcMar>
                  <w:vAlign w:val="center"/>
                </w:tcPr>
                <w:p>
                  <w:pPr>
                    <w:pStyle w:val="32"/>
                    <w:spacing w:beforeLines="0" w:line="320" w:lineRule="exact"/>
                    <w:rPr>
                      <w:rFonts w:ascii="Times New Roman" w:hAnsi="Times New Roman" w:eastAsia="黑体" w:cs="Times New Roman"/>
                      <w:snapToGrid w:val="0"/>
                      <w:spacing w:val="-6"/>
                      <w:kern w:val="21"/>
                      <w:sz w:val="15"/>
                      <w:szCs w:val="15"/>
                    </w:rPr>
                  </w:pPr>
                  <w:r>
                    <w:rPr>
                      <w:rFonts w:ascii="Times New Roman" w:hAnsi="Times New Roman" w:eastAsia="黑体" w:cs="Times New Roman"/>
                      <w:snapToGrid w:val="0"/>
                      <w:spacing w:val="-6"/>
                      <w:kern w:val="21"/>
                      <w:sz w:val="15"/>
                      <w:szCs w:val="15"/>
                    </w:rPr>
                    <w:t>污染物</w:t>
                  </w:r>
                </w:p>
              </w:tc>
              <w:tc>
                <w:tcPr>
                  <w:tcW w:w="855" w:type="dxa"/>
                  <w:vMerge w:val="restart"/>
                  <w:tcBorders>
                    <w:tl2br w:val="nil"/>
                    <w:tr2bl w:val="nil"/>
                  </w:tcBorders>
                  <w:tcMar>
                    <w:top w:w="0" w:type="dxa"/>
                    <w:left w:w="28" w:type="dxa"/>
                    <w:bottom w:w="0" w:type="dxa"/>
                    <w:right w:w="28" w:type="dxa"/>
                  </w:tcMar>
                  <w:vAlign w:val="center"/>
                </w:tcPr>
                <w:p>
                  <w:pPr>
                    <w:pStyle w:val="32"/>
                    <w:spacing w:beforeLines="0" w:line="320" w:lineRule="exact"/>
                    <w:rPr>
                      <w:rFonts w:ascii="Times New Roman" w:hAnsi="Times New Roman" w:eastAsia="黑体" w:cs="Times New Roman"/>
                      <w:snapToGrid w:val="0"/>
                      <w:spacing w:val="-6"/>
                      <w:kern w:val="21"/>
                      <w:sz w:val="15"/>
                      <w:szCs w:val="15"/>
                    </w:rPr>
                  </w:pPr>
                  <w:r>
                    <w:rPr>
                      <w:rFonts w:hint="eastAsia" w:ascii="Times New Roman" w:hAnsi="Times New Roman" w:eastAsia="黑体" w:cs="Times New Roman"/>
                      <w:snapToGrid w:val="0"/>
                      <w:spacing w:val="-6"/>
                      <w:kern w:val="21"/>
                      <w:sz w:val="15"/>
                      <w:szCs w:val="15"/>
                    </w:rPr>
                    <w:t>改建前</w:t>
                  </w:r>
                </w:p>
                <w:p>
                  <w:pPr>
                    <w:pStyle w:val="32"/>
                    <w:spacing w:beforeLines="0" w:line="320" w:lineRule="exact"/>
                    <w:rPr>
                      <w:rFonts w:ascii="Times New Roman" w:hAnsi="Times New Roman" w:eastAsia="黑体" w:cs="Times New Roman"/>
                      <w:snapToGrid w:val="0"/>
                      <w:spacing w:val="-6"/>
                      <w:kern w:val="21"/>
                      <w:sz w:val="15"/>
                      <w:szCs w:val="15"/>
                    </w:rPr>
                  </w:pPr>
                  <w:r>
                    <w:rPr>
                      <w:rFonts w:ascii="Times New Roman" w:hAnsi="Times New Roman" w:eastAsia="黑体" w:cs="Times New Roman"/>
                      <w:snapToGrid w:val="0"/>
                      <w:spacing w:val="-6"/>
                      <w:kern w:val="21"/>
                      <w:sz w:val="15"/>
                      <w:szCs w:val="15"/>
                    </w:rPr>
                    <w:t>排放量</w:t>
                  </w:r>
                </w:p>
              </w:tc>
              <w:tc>
                <w:tcPr>
                  <w:tcW w:w="2863" w:type="dxa"/>
                  <w:gridSpan w:val="3"/>
                  <w:tcBorders>
                    <w:bottom w:val="single" w:color="000000" w:sz="4" w:space="0"/>
                    <w:tl2br w:val="nil"/>
                    <w:tr2bl w:val="nil"/>
                  </w:tcBorders>
                  <w:tcMar>
                    <w:top w:w="0" w:type="dxa"/>
                    <w:left w:w="28" w:type="dxa"/>
                    <w:bottom w:w="0" w:type="dxa"/>
                    <w:right w:w="28" w:type="dxa"/>
                  </w:tcMar>
                  <w:vAlign w:val="center"/>
                </w:tcPr>
                <w:p>
                  <w:pPr>
                    <w:pStyle w:val="32"/>
                    <w:spacing w:beforeLines="0" w:line="320" w:lineRule="exact"/>
                    <w:rPr>
                      <w:rFonts w:ascii="Times New Roman" w:hAnsi="Times New Roman" w:eastAsia="黑体" w:cs="Times New Roman"/>
                      <w:snapToGrid w:val="0"/>
                      <w:spacing w:val="-6"/>
                      <w:kern w:val="21"/>
                      <w:sz w:val="15"/>
                      <w:szCs w:val="15"/>
                    </w:rPr>
                  </w:pPr>
                  <w:r>
                    <w:rPr>
                      <w:rFonts w:ascii="Times New Roman" w:hAnsi="Times New Roman" w:eastAsia="黑体" w:cs="Times New Roman"/>
                      <w:snapToGrid w:val="0"/>
                      <w:spacing w:val="-6"/>
                      <w:kern w:val="21"/>
                      <w:sz w:val="15"/>
                      <w:szCs w:val="15"/>
                    </w:rPr>
                    <w:t>本项目</w:t>
                  </w:r>
                </w:p>
              </w:tc>
              <w:tc>
                <w:tcPr>
                  <w:tcW w:w="746" w:type="dxa"/>
                  <w:vMerge w:val="restart"/>
                  <w:tcBorders>
                    <w:tl2br w:val="nil"/>
                    <w:tr2bl w:val="nil"/>
                  </w:tcBorders>
                  <w:tcMar>
                    <w:top w:w="0" w:type="dxa"/>
                    <w:left w:w="28" w:type="dxa"/>
                    <w:bottom w:w="0" w:type="dxa"/>
                    <w:right w:w="28" w:type="dxa"/>
                  </w:tcMar>
                  <w:vAlign w:val="center"/>
                </w:tcPr>
                <w:p>
                  <w:pPr>
                    <w:pStyle w:val="32"/>
                    <w:spacing w:beforeLines="0" w:line="320" w:lineRule="exact"/>
                    <w:rPr>
                      <w:rFonts w:ascii="Times New Roman" w:hAnsi="Times New Roman" w:eastAsia="黑体" w:cs="Times New Roman"/>
                      <w:snapToGrid w:val="0"/>
                      <w:spacing w:val="-16"/>
                      <w:kern w:val="21"/>
                      <w:sz w:val="15"/>
                      <w:szCs w:val="15"/>
                    </w:rPr>
                  </w:pPr>
                  <w:r>
                    <w:rPr>
                      <w:rFonts w:ascii="Times New Roman" w:hAnsi="Times New Roman" w:eastAsia="黑体" w:cs="Times New Roman"/>
                      <w:snapToGrid w:val="0"/>
                      <w:spacing w:val="-16"/>
                      <w:kern w:val="21"/>
                      <w:sz w:val="15"/>
                      <w:szCs w:val="15"/>
                    </w:rPr>
                    <w:t>以新带老削减量</w:t>
                  </w:r>
                </w:p>
              </w:tc>
              <w:tc>
                <w:tcPr>
                  <w:tcW w:w="967" w:type="dxa"/>
                  <w:vMerge w:val="restart"/>
                  <w:tcBorders>
                    <w:tl2br w:val="nil"/>
                    <w:tr2bl w:val="nil"/>
                  </w:tcBorders>
                  <w:tcMar>
                    <w:top w:w="0" w:type="dxa"/>
                    <w:left w:w="28" w:type="dxa"/>
                    <w:bottom w:w="0" w:type="dxa"/>
                    <w:right w:w="28" w:type="dxa"/>
                  </w:tcMar>
                  <w:vAlign w:val="center"/>
                </w:tcPr>
                <w:p>
                  <w:pPr>
                    <w:pStyle w:val="32"/>
                    <w:spacing w:beforeLines="0" w:line="320" w:lineRule="exact"/>
                    <w:rPr>
                      <w:rFonts w:ascii="Times New Roman" w:hAnsi="Times New Roman" w:eastAsia="黑体" w:cs="Times New Roman"/>
                      <w:snapToGrid w:val="0"/>
                      <w:spacing w:val="-16"/>
                      <w:kern w:val="21"/>
                      <w:sz w:val="15"/>
                      <w:szCs w:val="15"/>
                    </w:rPr>
                  </w:pPr>
                  <w:r>
                    <w:rPr>
                      <w:rFonts w:hint="eastAsia" w:ascii="Times New Roman" w:hAnsi="Times New Roman" w:eastAsia="黑体" w:cs="Times New Roman"/>
                      <w:snapToGrid w:val="0"/>
                      <w:spacing w:val="-16"/>
                      <w:kern w:val="21"/>
                      <w:sz w:val="15"/>
                      <w:szCs w:val="15"/>
                    </w:rPr>
                    <w:t>排放</w:t>
                  </w:r>
                </w:p>
                <w:p>
                  <w:pPr>
                    <w:pStyle w:val="32"/>
                    <w:spacing w:beforeLines="0" w:line="320" w:lineRule="exact"/>
                    <w:rPr>
                      <w:rFonts w:ascii="Times New Roman" w:hAnsi="Times New Roman" w:eastAsia="黑体" w:cs="Times New Roman"/>
                      <w:snapToGrid w:val="0"/>
                      <w:spacing w:val="-16"/>
                      <w:kern w:val="21"/>
                      <w:sz w:val="15"/>
                      <w:szCs w:val="15"/>
                    </w:rPr>
                  </w:pPr>
                  <w:r>
                    <w:rPr>
                      <w:rFonts w:hint="eastAsia" w:ascii="Times New Roman" w:hAnsi="Times New Roman" w:eastAsia="黑体" w:cs="Times New Roman"/>
                      <w:snapToGrid w:val="0"/>
                      <w:spacing w:val="-16"/>
                      <w:kern w:val="21"/>
                      <w:sz w:val="15"/>
                      <w:szCs w:val="15"/>
                    </w:rPr>
                    <w:t>增减量</w:t>
                  </w:r>
                </w:p>
              </w:tc>
              <w:tc>
                <w:tcPr>
                  <w:tcW w:w="862" w:type="dxa"/>
                  <w:vMerge w:val="restart"/>
                  <w:tcBorders>
                    <w:tl2br w:val="nil"/>
                    <w:tr2bl w:val="nil"/>
                  </w:tcBorders>
                  <w:tcMar>
                    <w:top w:w="0" w:type="dxa"/>
                    <w:left w:w="28" w:type="dxa"/>
                    <w:bottom w:w="0" w:type="dxa"/>
                    <w:right w:w="28" w:type="dxa"/>
                  </w:tcMar>
                  <w:vAlign w:val="center"/>
                </w:tcPr>
                <w:p>
                  <w:pPr>
                    <w:pStyle w:val="32"/>
                    <w:spacing w:beforeLines="0" w:line="320" w:lineRule="exact"/>
                    <w:rPr>
                      <w:rFonts w:ascii="Times New Roman" w:hAnsi="Times New Roman" w:eastAsia="黑体" w:cs="Times New Roman"/>
                      <w:snapToGrid w:val="0"/>
                      <w:spacing w:val="-16"/>
                      <w:kern w:val="21"/>
                      <w:sz w:val="15"/>
                      <w:szCs w:val="15"/>
                    </w:rPr>
                  </w:pPr>
                  <w:r>
                    <w:rPr>
                      <w:rFonts w:hint="eastAsia" w:ascii="Times New Roman" w:hAnsi="Times New Roman" w:eastAsia="黑体" w:cs="Times New Roman"/>
                      <w:snapToGrid w:val="0"/>
                      <w:spacing w:val="-16"/>
                      <w:kern w:val="21"/>
                      <w:sz w:val="15"/>
                      <w:szCs w:val="15"/>
                    </w:rPr>
                    <w:t>最终</w:t>
                  </w:r>
                </w:p>
                <w:p>
                  <w:pPr>
                    <w:pStyle w:val="32"/>
                    <w:spacing w:beforeLines="0" w:line="320" w:lineRule="exact"/>
                    <w:rPr>
                      <w:rFonts w:ascii="Times New Roman" w:hAnsi="Times New Roman" w:eastAsia="黑体" w:cs="Times New Roman"/>
                      <w:snapToGrid w:val="0"/>
                      <w:spacing w:val="-16"/>
                      <w:kern w:val="21"/>
                      <w:sz w:val="15"/>
                      <w:szCs w:val="15"/>
                    </w:rPr>
                  </w:pPr>
                  <w:r>
                    <w:rPr>
                      <w:rFonts w:ascii="Times New Roman" w:hAnsi="Times New Roman" w:eastAsia="黑体" w:cs="Times New Roman"/>
                      <w:snapToGrid w:val="0"/>
                      <w:spacing w:val="-16"/>
                      <w:kern w:val="21"/>
                      <w:sz w:val="15"/>
                      <w:szCs w:val="15"/>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jc w:val="center"/>
              </w:trPr>
              <w:tc>
                <w:tcPr>
                  <w:tcW w:w="630" w:type="dxa"/>
                  <w:vMerge w:val="continue"/>
                  <w:tcBorders>
                    <w:tl2br w:val="nil"/>
                    <w:tr2bl w:val="nil"/>
                  </w:tcBorders>
                  <w:tcMar>
                    <w:top w:w="0" w:type="dxa"/>
                    <w:left w:w="28" w:type="dxa"/>
                    <w:bottom w:w="0" w:type="dxa"/>
                    <w:right w:w="28" w:type="dxa"/>
                  </w:tcMar>
                  <w:vAlign w:val="center"/>
                </w:tcPr>
                <w:p>
                  <w:pPr>
                    <w:pStyle w:val="32"/>
                    <w:spacing w:beforeLines="0" w:line="320" w:lineRule="exact"/>
                    <w:rPr>
                      <w:rFonts w:ascii="Times New Roman" w:hAnsi="Times New Roman" w:eastAsia="黑体" w:cs="Times New Roman"/>
                      <w:snapToGrid w:val="0"/>
                      <w:spacing w:val="-6"/>
                      <w:kern w:val="21"/>
                      <w:sz w:val="15"/>
                      <w:szCs w:val="15"/>
                    </w:rPr>
                  </w:pPr>
                </w:p>
              </w:tc>
              <w:tc>
                <w:tcPr>
                  <w:tcW w:w="1072" w:type="dxa"/>
                  <w:vMerge w:val="continue"/>
                  <w:tcBorders>
                    <w:tl2br w:val="nil"/>
                    <w:tr2bl w:val="nil"/>
                  </w:tcBorders>
                  <w:tcMar>
                    <w:top w:w="0" w:type="dxa"/>
                    <w:left w:w="28" w:type="dxa"/>
                    <w:bottom w:w="0" w:type="dxa"/>
                    <w:right w:w="28" w:type="dxa"/>
                  </w:tcMar>
                  <w:vAlign w:val="center"/>
                </w:tcPr>
                <w:p>
                  <w:pPr>
                    <w:pStyle w:val="32"/>
                    <w:spacing w:beforeLines="0" w:line="320" w:lineRule="exact"/>
                    <w:rPr>
                      <w:rFonts w:ascii="Times New Roman" w:hAnsi="Times New Roman" w:eastAsia="黑体" w:cs="Times New Roman"/>
                      <w:snapToGrid w:val="0"/>
                      <w:spacing w:val="-6"/>
                      <w:kern w:val="21"/>
                      <w:sz w:val="15"/>
                      <w:szCs w:val="15"/>
                    </w:rPr>
                  </w:pPr>
                </w:p>
              </w:tc>
              <w:tc>
                <w:tcPr>
                  <w:tcW w:w="855" w:type="dxa"/>
                  <w:vMerge w:val="continue"/>
                  <w:tcBorders>
                    <w:tl2br w:val="nil"/>
                    <w:tr2bl w:val="nil"/>
                  </w:tcBorders>
                  <w:tcMar>
                    <w:top w:w="0" w:type="dxa"/>
                    <w:left w:w="28" w:type="dxa"/>
                    <w:bottom w:w="0" w:type="dxa"/>
                    <w:right w:w="28" w:type="dxa"/>
                  </w:tcMar>
                  <w:vAlign w:val="center"/>
                </w:tcPr>
                <w:p>
                  <w:pPr>
                    <w:pStyle w:val="32"/>
                    <w:spacing w:beforeLines="0" w:line="320" w:lineRule="exact"/>
                    <w:rPr>
                      <w:rFonts w:ascii="Times New Roman" w:hAnsi="Times New Roman" w:eastAsia="黑体" w:cs="Times New Roman"/>
                      <w:snapToGrid w:val="0"/>
                      <w:spacing w:val="-6"/>
                      <w:kern w:val="21"/>
                      <w:sz w:val="15"/>
                      <w:szCs w:val="15"/>
                    </w:rPr>
                  </w:pPr>
                </w:p>
              </w:tc>
              <w:tc>
                <w:tcPr>
                  <w:tcW w:w="935" w:type="dxa"/>
                  <w:tcBorders>
                    <w:top w:val="single" w:color="000000" w:sz="4" w:space="0"/>
                    <w:right w:val="single" w:color="000000" w:sz="4" w:space="0"/>
                    <w:tl2br w:val="nil"/>
                    <w:tr2bl w:val="nil"/>
                  </w:tcBorders>
                  <w:tcMar>
                    <w:top w:w="0" w:type="dxa"/>
                    <w:left w:w="28" w:type="dxa"/>
                    <w:bottom w:w="0" w:type="dxa"/>
                    <w:right w:w="28" w:type="dxa"/>
                  </w:tcMar>
                  <w:vAlign w:val="center"/>
                </w:tcPr>
                <w:p>
                  <w:pPr>
                    <w:pStyle w:val="32"/>
                    <w:spacing w:beforeLines="0" w:line="320" w:lineRule="exact"/>
                    <w:rPr>
                      <w:rFonts w:ascii="Times New Roman" w:hAnsi="Times New Roman" w:eastAsia="黑体" w:cs="Times New Roman"/>
                      <w:snapToGrid w:val="0"/>
                      <w:spacing w:val="-6"/>
                      <w:kern w:val="21"/>
                      <w:sz w:val="15"/>
                      <w:szCs w:val="15"/>
                    </w:rPr>
                  </w:pPr>
                  <w:r>
                    <w:rPr>
                      <w:rFonts w:hint="eastAsia" w:ascii="Times New Roman" w:hAnsi="Times New Roman" w:eastAsia="黑体" w:cs="Times New Roman"/>
                      <w:snapToGrid w:val="0"/>
                      <w:spacing w:val="-6"/>
                      <w:kern w:val="21"/>
                      <w:sz w:val="15"/>
                      <w:szCs w:val="15"/>
                    </w:rPr>
                    <w:t>产生量</w:t>
                  </w:r>
                </w:p>
              </w:tc>
              <w:tc>
                <w:tcPr>
                  <w:tcW w:w="967" w:type="dxa"/>
                  <w:tcBorders>
                    <w:top w:val="single" w:color="000000" w:sz="4" w:space="0"/>
                    <w:left w:val="single" w:color="000000" w:sz="4" w:space="0"/>
                    <w:right w:val="single" w:color="000000" w:sz="4" w:space="0"/>
                    <w:tl2br w:val="nil"/>
                    <w:tr2bl w:val="nil"/>
                  </w:tcBorders>
                  <w:tcMar>
                    <w:top w:w="0" w:type="dxa"/>
                    <w:left w:w="28" w:type="dxa"/>
                    <w:bottom w:w="0" w:type="dxa"/>
                    <w:right w:w="28" w:type="dxa"/>
                  </w:tcMar>
                  <w:vAlign w:val="center"/>
                </w:tcPr>
                <w:p>
                  <w:pPr>
                    <w:pStyle w:val="32"/>
                    <w:spacing w:beforeLines="0" w:line="320" w:lineRule="exact"/>
                    <w:rPr>
                      <w:rFonts w:ascii="Times New Roman" w:hAnsi="Times New Roman" w:eastAsia="黑体" w:cs="Times New Roman"/>
                      <w:snapToGrid w:val="0"/>
                      <w:spacing w:val="-6"/>
                      <w:kern w:val="21"/>
                      <w:sz w:val="15"/>
                      <w:szCs w:val="15"/>
                    </w:rPr>
                  </w:pPr>
                  <w:r>
                    <w:rPr>
                      <w:rFonts w:hint="eastAsia" w:ascii="Times New Roman" w:hAnsi="Times New Roman" w:eastAsia="黑体" w:cs="Times New Roman"/>
                      <w:snapToGrid w:val="0"/>
                      <w:spacing w:val="-6"/>
                      <w:kern w:val="21"/>
                      <w:sz w:val="15"/>
                      <w:szCs w:val="15"/>
                    </w:rPr>
                    <w:t>消减量</w:t>
                  </w:r>
                </w:p>
              </w:tc>
              <w:tc>
                <w:tcPr>
                  <w:tcW w:w="961" w:type="dxa"/>
                  <w:tcBorders>
                    <w:top w:val="single" w:color="000000" w:sz="4" w:space="0"/>
                    <w:left w:val="single" w:color="000000" w:sz="4" w:space="0"/>
                    <w:tl2br w:val="nil"/>
                    <w:tr2bl w:val="nil"/>
                  </w:tcBorders>
                  <w:tcMar>
                    <w:top w:w="0" w:type="dxa"/>
                    <w:left w:w="28" w:type="dxa"/>
                    <w:bottom w:w="0" w:type="dxa"/>
                    <w:right w:w="28" w:type="dxa"/>
                  </w:tcMar>
                  <w:vAlign w:val="center"/>
                </w:tcPr>
                <w:p>
                  <w:pPr>
                    <w:pStyle w:val="32"/>
                    <w:spacing w:beforeLines="0" w:line="320" w:lineRule="exact"/>
                    <w:rPr>
                      <w:rFonts w:ascii="Times New Roman" w:hAnsi="Times New Roman" w:eastAsia="黑体" w:cs="Times New Roman"/>
                      <w:snapToGrid w:val="0"/>
                      <w:spacing w:val="-6"/>
                      <w:kern w:val="21"/>
                      <w:sz w:val="15"/>
                      <w:szCs w:val="15"/>
                    </w:rPr>
                  </w:pPr>
                  <w:r>
                    <w:rPr>
                      <w:rFonts w:hint="eastAsia" w:ascii="Times New Roman" w:hAnsi="Times New Roman" w:eastAsia="黑体" w:cs="Times New Roman"/>
                      <w:snapToGrid w:val="0"/>
                      <w:spacing w:val="-6"/>
                      <w:kern w:val="21"/>
                      <w:sz w:val="15"/>
                      <w:szCs w:val="15"/>
                    </w:rPr>
                    <w:t>排放量</w:t>
                  </w:r>
                </w:p>
              </w:tc>
              <w:tc>
                <w:tcPr>
                  <w:tcW w:w="746" w:type="dxa"/>
                  <w:vMerge w:val="continue"/>
                  <w:tcBorders>
                    <w:tl2br w:val="nil"/>
                    <w:tr2bl w:val="nil"/>
                  </w:tcBorders>
                  <w:tcMar>
                    <w:top w:w="0" w:type="dxa"/>
                    <w:left w:w="28" w:type="dxa"/>
                    <w:bottom w:w="0" w:type="dxa"/>
                    <w:right w:w="28" w:type="dxa"/>
                  </w:tcMar>
                  <w:vAlign w:val="center"/>
                </w:tcPr>
                <w:p>
                  <w:pPr>
                    <w:pStyle w:val="32"/>
                    <w:spacing w:beforeLines="0" w:line="320" w:lineRule="exact"/>
                    <w:rPr>
                      <w:rFonts w:ascii="Times New Roman" w:hAnsi="Times New Roman" w:eastAsia="黑体" w:cs="Times New Roman"/>
                      <w:snapToGrid w:val="0"/>
                      <w:spacing w:val="-16"/>
                      <w:kern w:val="21"/>
                      <w:sz w:val="15"/>
                      <w:szCs w:val="15"/>
                    </w:rPr>
                  </w:pPr>
                </w:p>
              </w:tc>
              <w:tc>
                <w:tcPr>
                  <w:tcW w:w="967" w:type="dxa"/>
                  <w:vMerge w:val="continue"/>
                  <w:tcBorders>
                    <w:tl2br w:val="nil"/>
                    <w:tr2bl w:val="nil"/>
                  </w:tcBorders>
                  <w:tcMar>
                    <w:top w:w="0" w:type="dxa"/>
                    <w:left w:w="28" w:type="dxa"/>
                    <w:bottom w:w="0" w:type="dxa"/>
                    <w:right w:w="28" w:type="dxa"/>
                  </w:tcMar>
                  <w:vAlign w:val="center"/>
                </w:tcPr>
                <w:p>
                  <w:pPr>
                    <w:pStyle w:val="32"/>
                    <w:spacing w:beforeLines="0" w:line="320" w:lineRule="exact"/>
                    <w:rPr>
                      <w:rFonts w:ascii="Times New Roman" w:hAnsi="Times New Roman" w:eastAsia="黑体" w:cs="Times New Roman"/>
                      <w:snapToGrid w:val="0"/>
                      <w:spacing w:val="-16"/>
                      <w:kern w:val="21"/>
                      <w:sz w:val="15"/>
                      <w:szCs w:val="15"/>
                    </w:rPr>
                  </w:pPr>
                </w:p>
              </w:tc>
              <w:tc>
                <w:tcPr>
                  <w:tcW w:w="862" w:type="dxa"/>
                  <w:vMerge w:val="continue"/>
                  <w:tcBorders>
                    <w:tl2br w:val="nil"/>
                    <w:tr2bl w:val="nil"/>
                  </w:tcBorders>
                  <w:tcMar>
                    <w:top w:w="0" w:type="dxa"/>
                    <w:left w:w="28" w:type="dxa"/>
                    <w:bottom w:w="0" w:type="dxa"/>
                    <w:right w:w="28" w:type="dxa"/>
                  </w:tcMar>
                  <w:vAlign w:val="center"/>
                </w:tcPr>
                <w:p>
                  <w:pPr>
                    <w:pStyle w:val="32"/>
                    <w:spacing w:beforeLines="0" w:line="320" w:lineRule="exact"/>
                    <w:rPr>
                      <w:rFonts w:ascii="Times New Roman" w:hAnsi="Times New Roman" w:eastAsia="黑体" w:cs="Times New Roman"/>
                      <w:snapToGrid w:val="0"/>
                      <w:spacing w:val="-16"/>
                      <w:kern w:val="2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630" w:type="dxa"/>
                  <w:vMerge w:val="restart"/>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r>
                    <w:rPr>
                      <w:rFonts w:ascii="Times New Roman" w:hAnsi="Times New Roman" w:cs="Times New Roman"/>
                      <w:snapToGrid w:val="0"/>
                      <w:kern w:val="21"/>
                      <w:sz w:val="15"/>
                      <w:szCs w:val="15"/>
                    </w:rPr>
                    <w:t>废气</w:t>
                  </w:r>
                </w:p>
              </w:tc>
              <w:tc>
                <w:tcPr>
                  <w:tcW w:w="1072" w:type="dxa"/>
                  <w:tcBorders>
                    <w:tl2br w:val="nil"/>
                    <w:tr2bl w:val="nil"/>
                  </w:tcBorders>
                  <w:vAlign w:val="center"/>
                </w:tcPr>
                <w:p>
                  <w:pPr>
                    <w:adjustRightInd w:val="0"/>
                    <w:snapToGrid w:val="0"/>
                    <w:spacing w:line="320" w:lineRule="exact"/>
                    <w:jc w:val="center"/>
                    <w:rPr>
                      <w:snapToGrid w:val="0"/>
                      <w:kern w:val="21"/>
                      <w:sz w:val="15"/>
                      <w:szCs w:val="15"/>
                    </w:rPr>
                  </w:pPr>
                  <w:r>
                    <w:rPr>
                      <w:rFonts w:hint="eastAsia" w:cs="宋体"/>
                      <w:sz w:val="15"/>
                      <w:szCs w:val="15"/>
                      <w:lang w:bidi="ar"/>
                    </w:rPr>
                    <w:t>颗粒物</w:t>
                  </w:r>
                </w:p>
              </w:tc>
              <w:tc>
                <w:tcPr>
                  <w:tcW w:w="855" w:type="dxa"/>
                  <w:tcBorders>
                    <w:tl2br w:val="nil"/>
                    <w:tr2bl w:val="nil"/>
                  </w:tcBorders>
                  <w:vAlign w:val="center"/>
                </w:tcPr>
                <w:p>
                  <w:pPr>
                    <w:spacing w:line="320" w:lineRule="exact"/>
                    <w:jc w:val="center"/>
                    <w:rPr>
                      <w:sz w:val="15"/>
                      <w:szCs w:val="15"/>
                    </w:rPr>
                  </w:pPr>
                  <w:r>
                    <w:rPr>
                      <w:rFonts w:hint="eastAsia"/>
                      <w:sz w:val="15"/>
                      <w:szCs w:val="15"/>
                    </w:rPr>
                    <w:t>3.1</w:t>
                  </w:r>
                  <w:r>
                    <w:rPr>
                      <w:sz w:val="15"/>
                      <w:szCs w:val="15"/>
                    </w:rPr>
                    <w:t>t/a</w:t>
                  </w:r>
                </w:p>
              </w:tc>
              <w:tc>
                <w:tcPr>
                  <w:tcW w:w="935" w:type="dxa"/>
                  <w:tcBorders>
                    <w:tl2br w:val="nil"/>
                    <w:tr2bl w:val="nil"/>
                  </w:tcBorders>
                  <w:vAlign w:val="center"/>
                </w:tcPr>
                <w:p>
                  <w:pPr>
                    <w:spacing w:line="320" w:lineRule="exact"/>
                    <w:jc w:val="center"/>
                    <w:rPr>
                      <w:sz w:val="15"/>
                      <w:szCs w:val="15"/>
                    </w:rPr>
                  </w:pPr>
                  <w:r>
                    <w:rPr>
                      <w:rFonts w:hint="eastAsia"/>
                      <w:sz w:val="15"/>
                      <w:szCs w:val="15"/>
                    </w:rPr>
                    <w:t>3.06</w:t>
                  </w:r>
                  <w:r>
                    <w:rPr>
                      <w:rFonts w:hint="eastAsia"/>
                      <w:snapToGrid w:val="0"/>
                      <w:kern w:val="21"/>
                      <w:sz w:val="15"/>
                      <w:szCs w:val="15"/>
                    </w:rPr>
                    <w:t>t/a</w:t>
                  </w:r>
                </w:p>
              </w:tc>
              <w:tc>
                <w:tcPr>
                  <w:tcW w:w="967" w:type="dxa"/>
                  <w:tcBorders>
                    <w:tl2br w:val="nil"/>
                    <w:tr2bl w:val="nil"/>
                  </w:tcBorders>
                  <w:vAlign w:val="center"/>
                </w:tcPr>
                <w:p>
                  <w:pPr>
                    <w:spacing w:line="320" w:lineRule="exact"/>
                    <w:jc w:val="center"/>
                    <w:rPr>
                      <w:sz w:val="15"/>
                      <w:szCs w:val="15"/>
                    </w:rPr>
                  </w:pPr>
                  <w:r>
                    <w:rPr>
                      <w:rFonts w:hint="eastAsia"/>
                      <w:sz w:val="15"/>
                      <w:szCs w:val="15"/>
                    </w:rPr>
                    <w:t>2.56</w:t>
                  </w:r>
                  <w:r>
                    <w:rPr>
                      <w:rFonts w:hint="eastAsia"/>
                      <w:snapToGrid w:val="0"/>
                      <w:kern w:val="21"/>
                      <w:sz w:val="15"/>
                      <w:szCs w:val="15"/>
                    </w:rPr>
                    <w:t>t/a</w:t>
                  </w:r>
                </w:p>
              </w:tc>
              <w:tc>
                <w:tcPr>
                  <w:tcW w:w="961" w:type="dxa"/>
                  <w:tcBorders>
                    <w:tl2br w:val="nil"/>
                    <w:tr2bl w:val="nil"/>
                  </w:tcBorders>
                  <w:vAlign w:val="center"/>
                </w:tcPr>
                <w:p>
                  <w:pPr>
                    <w:spacing w:line="320" w:lineRule="exact"/>
                    <w:jc w:val="center"/>
                    <w:rPr>
                      <w:sz w:val="15"/>
                      <w:szCs w:val="15"/>
                    </w:rPr>
                  </w:pPr>
                  <w:r>
                    <w:rPr>
                      <w:rFonts w:hint="eastAsia"/>
                      <w:sz w:val="15"/>
                      <w:szCs w:val="15"/>
                    </w:rPr>
                    <w:t>0.5</w:t>
                  </w:r>
                  <w:r>
                    <w:rPr>
                      <w:rFonts w:hint="eastAsia"/>
                      <w:snapToGrid w:val="0"/>
                      <w:kern w:val="21"/>
                      <w:sz w:val="15"/>
                      <w:szCs w:val="15"/>
                    </w:rPr>
                    <w:t>t/a</w:t>
                  </w:r>
                </w:p>
              </w:tc>
              <w:tc>
                <w:tcPr>
                  <w:tcW w:w="746" w:type="dxa"/>
                  <w:tcBorders>
                    <w:tl2br w:val="nil"/>
                    <w:tr2bl w:val="nil"/>
                  </w:tcBorders>
                  <w:vAlign w:val="center"/>
                </w:tcPr>
                <w:p>
                  <w:pPr>
                    <w:spacing w:line="320" w:lineRule="exact"/>
                    <w:jc w:val="center"/>
                    <w:rPr>
                      <w:sz w:val="15"/>
                      <w:szCs w:val="15"/>
                    </w:rPr>
                  </w:pPr>
                  <w:r>
                    <w:rPr>
                      <w:rFonts w:hint="eastAsia"/>
                      <w:sz w:val="15"/>
                      <w:szCs w:val="15"/>
                    </w:rPr>
                    <w:t>0.478t/a</w:t>
                  </w:r>
                </w:p>
              </w:tc>
              <w:tc>
                <w:tcPr>
                  <w:tcW w:w="967" w:type="dxa"/>
                  <w:tcBorders>
                    <w:tl2br w:val="nil"/>
                    <w:tr2bl w:val="nil"/>
                  </w:tcBorders>
                  <w:vAlign w:val="center"/>
                </w:tcPr>
                <w:p>
                  <w:pPr>
                    <w:spacing w:line="320" w:lineRule="exact"/>
                    <w:jc w:val="center"/>
                    <w:rPr>
                      <w:sz w:val="15"/>
                      <w:szCs w:val="15"/>
                    </w:rPr>
                  </w:pPr>
                  <w:r>
                    <w:rPr>
                      <w:rFonts w:hint="eastAsia"/>
                      <w:sz w:val="15"/>
                      <w:szCs w:val="15"/>
                    </w:rPr>
                    <w:t>+0.022t/a</w:t>
                  </w:r>
                </w:p>
              </w:tc>
              <w:tc>
                <w:tcPr>
                  <w:tcW w:w="862" w:type="dxa"/>
                  <w:tcBorders>
                    <w:tl2br w:val="nil"/>
                    <w:tr2bl w:val="nil"/>
                  </w:tcBorders>
                  <w:vAlign w:val="center"/>
                </w:tcPr>
                <w:p>
                  <w:pPr>
                    <w:spacing w:line="320" w:lineRule="exact"/>
                    <w:jc w:val="center"/>
                    <w:rPr>
                      <w:sz w:val="15"/>
                      <w:szCs w:val="15"/>
                    </w:rPr>
                  </w:pPr>
                  <w:r>
                    <w:rPr>
                      <w:rFonts w:hint="eastAsia"/>
                      <w:sz w:val="15"/>
                      <w:szCs w:val="15"/>
                    </w:rPr>
                    <w:t>3.122t/a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630" w:type="dxa"/>
                  <w:vMerge w:val="continue"/>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p>
              </w:tc>
              <w:tc>
                <w:tcPr>
                  <w:tcW w:w="1072" w:type="dxa"/>
                  <w:tcBorders>
                    <w:tl2br w:val="nil"/>
                    <w:tr2bl w:val="nil"/>
                  </w:tcBorders>
                  <w:vAlign w:val="center"/>
                </w:tcPr>
                <w:p>
                  <w:pPr>
                    <w:adjustRightInd w:val="0"/>
                    <w:snapToGrid w:val="0"/>
                    <w:spacing w:line="320" w:lineRule="exact"/>
                    <w:jc w:val="center"/>
                    <w:rPr>
                      <w:snapToGrid w:val="0"/>
                      <w:kern w:val="21"/>
                      <w:sz w:val="15"/>
                      <w:szCs w:val="15"/>
                    </w:rPr>
                  </w:pPr>
                  <w:r>
                    <w:rPr>
                      <w:sz w:val="15"/>
                      <w:szCs w:val="15"/>
                      <w:lang w:bidi="ar"/>
                    </w:rPr>
                    <w:t>NO</w:t>
                  </w:r>
                  <w:r>
                    <w:rPr>
                      <w:sz w:val="15"/>
                      <w:szCs w:val="15"/>
                      <w:vertAlign w:val="subscript"/>
                      <w:lang w:bidi="ar"/>
                    </w:rPr>
                    <w:t>x</w:t>
                  </w:r>
                </w:p>
              </w:tc>
              <w:tc>
                <w:tcPr>
                  <w:tcW w:w="855" w:type="dxa"/>
                  <w:tcBorders>
                    <w:tl2br w:val="nil"/>
                    <w:tr2bl w:val="nil"/>
                  </w:tcBorders>
                  <w:vAlign w:val="center"/>
                </w:tcPr>
                <w:p>
                  <w:pPr>
                    <w:spacing w:line="320" w:lineRule="exact"/>
                    <w:jc w:val="center"/>
                    <w:rPr>
                      <w:sz w:val="15"/>
                      <w:szCs w:val="15"/>
                    </w:rPr>
                  </w:pPr>
                  <w:r>
                    <w:rPr>
                      <w:sz w:val="15"/>
                      <w:szCs w:val="15"/>
                    </w:rPr>
                    <w:t>9.78t/a</w:t>
                  </w:r>
                </w:p>
              </w:tc>
              <w:tc>
                <w:tcPr>
                  <w:tcW w:w="935" w:type="dxa"/>
                  <w:tcBorders>
                    <w:tl2br w:val="nil"/>
                    <w:tr2bl w:val="nil"/>
                  </w:tcBorders>
                  <w:vAlign w:val="center"/>
                </w:tcPr>
                <w:p>
                  <w:pPr>
                    <w:spacing w:line="320" w:lineRule="exact"/>
                    <w:jc w:val="center"/>
                    <w:rPr>
                      <w:sz w:val="15"/>
                      <w:szCs w:val="15"/>
                    </w:rPr>
                  </w:pPr>
                  <w:r>
                    <w:rPr>
                      <w:rFonts w:hint="eastAsia"/>
                      <w:snapToGrid w:val="0"/>
                      <w:kern w:val="21"/>
                      <w:sz w:val="15"/>
                      <w:szCs w:val="15"/>
                    </w:rPr>
                    <w:t>0.29t/a</w:t>
                  </w:r>
                </w:p>
              </w:tc>
              <w:tc>
                <w:tcPr>
                  <w:tcW w:w="967" w:type="dxa"/>
                  <w:tcBorders>
                    <w:tl2br w:val="nil"/>
                    <w:tr2bl w:val="nil"/>
                  </w:tcBorders>
                  <w:vAlign w:val="center"/>
                </w:tcPr>
                <w:p>
                  <w:pPr>
                    <w:spacing w:line="320" w:lineRule="exact"/>
                    <w:jc w:val="center"/>
                    <w:rPr>
                      <w:sz w:val="15"/>
                      <w:szCs w:val="15"/>
                    </w:rPr>
                  </w:pPr>
                  <w:r>
                    <w:rPr>
                      <w:rFonts w:hint="eastAsia"/>
                      <w:sz w:val="15"/>
                      <w:szCs w:val="15"/>
                    </w:rPr>
                    <w:t>0</w:t>
                  </w:r>
                </w:p>
              </w:tc>
              <w:tc>
                <w:tcPr>
                  <w:tcW w:w="961" w:type="dxa"/>
                  <w:tcBorders>
                    <w:tl2br w:val="nil"/>
                    <w:tr2bl w:val="nil"/>
                  </w:tcBorders>
                  <w:vAlign w:val="bottom"/>
                </w:tcPr>
                <w:p>
                  <w:pPr>
                    <w:spacing w:line="320" w:lineRule="exact"/>
                    <w:jc w:val="center"/>
                    <w:rPr>
                      <w:sz w:val="15"/>
                      <w:szCs w:val="15"/>
                    </w:rPr>
                  </w:pPr>
                  <w:r>
                    <w:rPr>
                      <w:rFonts w:hint="eastAsia"/>
                      <w:sz w:val="15"/>
                      <w:szCs w:val="15"/>
                    </w:rPr>
                    <w:t>0.29</w:t>
                  </w:r>
                  <w:r>
                    <w:rPr>
                      <w:rFonts w:hint="eastAsia"/>
                      <w:snapToGrid w:val="0"/>
                      <w:kern w:val="21"/>
                      <w:sz w:val="15"/>
                      <w:szCs w:val="15"/>
                    </w:rPr>
                    <w:t>t/a</w:t>
                  </w:r>
                </w:p>
              </w:tc>
              <w:tc>
                <w:tcPr>
                  <w:tcW w:w="746" w:type="dxa"/>
                  <w:tcBorders>
                    <w:tl2br w:val="nil"/>
                    <w:tr2bl w:val="nil"/>
                  </w:tcBorders>
                  <w:vAlign w:val="center"/>
                </w:tcPr>
                <w:p>
                  <w:pPr>
                    <w:spacing w:line="320" w:lineRule="exact"/>
                    <w:jc w:val="center"/>
                    <w:rPr>
                      <w:sz w:val="15"/>
                      <w:szCs w:val="15"/>
                    </w:rPr>
                  </w:pPr>
                  <w:r>
                    <w:rPr>
                      <w:rFonts w:hint="eastAsia"/>
                      <w:sz w:val="15"/>
                      <w:szCs w:val="15"/>
                    </w:rPr>
                    <w:t>0</w:t>
                  </w:r>
                </w:p>
              </w:tc>
              <w:tc>
                <w:tcPr>
                  <w:tcW w:w="967" w:type="dxa"/>
                  <w:tcBorders>
                    <w:tl2br w:val="nil"/>
                    <w:tr2bl w:val="nil"/>
                  </w:tcBorders>
                  <w:vAlign w:val="center"/>
                </w:tcPr>
                <w:p>
                  <w:pPr>
                    <w:spacing w:line="320" w:lineRule="exact"/>
                    <w:jc w:val="center"/>
                    <w:rPr>
                      <w:sz w:val="15"/>
                      <w:szCs w:val="15"/>
                    </w:rPr>
                  </w:pPr>
                  <w:r>
                    <w:rPr>
                      <w:sz w:val="15"/>
                      <w:szCs w:val="15"/>
                    </w:rPr>
                    <w:t>+0.29t/a</w:t>
                  </w:r>
                </w:p>
              </w:tc>
              <w:tc>
                <w:tcPr>
                  <w:tcW w:w="862" w:type="dxa"/>
                  <w:tcBorders>
                    <w:tl2br w:val="nil"/>
                    <w:tr2bl w:val="nil"/>
                  </w:tcBorders>
                  <w:vAlign w:val="center"/>
                </w:tcPr>
                <w:p>
                  <w:pPr>
                    <w:spacing w:line="320" w:lineRule="exact"/>
                    <w:jc w:val="center"/>
                    <w:rPr>
                      <w:sz w:val="15"/>
                      <w:szCs w:val="15"/>
                    </w:rPr>
                  </w:pPr>
                  <w:r>
                    <w:rPr>
                      <w:sz w:val="15"/>
                      <w:szCs w:val="15"/>
                    </w:rPr>
                    <w:t>10.07t/a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630" w:type="dxa"/>
                  <w:vMerge w:val="continue"/>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p>
              </w:tc>
              <w:tc>
                <w:tcPr>
                  <w:tcW w:w="1072" w:type="dxa"/>
                  <w:tcBorders>
                    <w:tl2br w:val="nil"/>
                    <w:tr2bl w:val="nil"/>
                  </w:tcBorders>
                  <w:vAlign w:val="center"/>
                </w:tcPr>
                <w:p>
                  <w:pPr>
                    <w:adjustRightInd w:val="0"/>
                    <w:snapToGrid w:val="0"/>
                    <w:spacing w:line="320" w:lineRule="exact"/>
                    <w:jc w:val="center"/>
                    <w:rPr>
                      <w:snapToGrid w:val="0"/>
                      <w:kern w:val="21"/>
                      <w:sz w:val="15"/>
                      <w:szCs w:val="15"/>
                    </w:rPr>
                  </w:pPr>
                  <w:r>
                    <w:rPr>
                      <w:sz w:val="15"/>
                      <w:szCs w:val="15"/>
                      <w:lang w:bidi="ar"/>
                    </w:rPr>
                    <w:t>SO</w:t>
                  </w:r>
                  <w:r>
                    <w:rPr>
                      <w:sz w:val="15"/>
                      <w:szCs w:val="15"/>
                      <w:vertAlign w:val="subscript"/>
                      <w:lang w:bidi="ar"/>
                    </w:rPr>
                    <w:t>2</w:t>
                  </w:r>
                </w:p>
              </w:tc>
              <w:tc>
                <w:tcPr>
                  <w:tcW w:w="855" w:type="dxa"/>
                  <w:tcBorders>
                    <w:tl2br w:val="nil"/>
                    <w:tr2bl w:val="nil"/>
                  </w:tcBorders>
                  <w:vAlign w:val="center"/>
                </w:tcPr>
                <w:p>
                  <w:pPr>
                    <w:spacing w:line="320" w:lineRule="exact"/>
                    <w:jc w:val="center"/>
                    <w:rPr>
                      <w:sz w:val="15"/>
                      <w:szCs w:val="15"/>
                    </w:rPr>
                  </w:pPr>
                  <w:r>
                    <w:rPr>
                      <w:sz w:val="15"/>
                      <w:szCs w:val="15"/>
                    </w:rPr>
                    <w:t>7.834t/a</w:t>
                  </w:r>
                </w:p>
              </w:tc>
              <w:tc>
                <w:tcPr>
                  <w:tcW w:w="935" w:type="dxa"/>
                  <w:tcBorders>
                    <w:tl2br w:val="nil"/>
                    <w:tr2bl w:val="nil"/>
                  </w:tcBorders>
                  <w:vAlign w:val="center"/>
                </w:tcPr>
                <w:p>
                  <w:pPr>
                    <w:spacing w:line="320" w:lineRule="exact"/>
                    <w:jc w:val="center"/>
                    <w:rPr>
                      <w:sz w:val="15"/>
                      <w:szCs w:val="15"/>
                    </w:rPr>
                  </w:pPr>
                  <w:r>
                    <w:rPr>
                      <w:rFonts w:hint="eastAsia"/>
                      <w:sz w:val="15"/>
                      <w:szCs w:val="15"/>
                    </w:rPr>
                    <w:t>0.34</w:t>
                  </w:r>
                  <w:r>
                    <w:rPr>
                      <w:rFonts w:hint="eastAsia"/>
                      <w:snapToGrid w:val="0"/>
                      <w:kern w:val="21"/>
                      <w:sz w:val="15"/>
                      <w:szCs w:val="15"/>
                    </w:rPr>
                    <w:t>t/a</w:t>
                  </w:r>
                </w:p>
              </w:tc>
              <w:tc>
                <w:tcPr>
                  <w:tcW w:w="967" w:type="dxa"/>
                  <w:tcBorders>
                    <w:tl2br w:val="nil"/>
                    <w:tr2bl w:val="nil"/>
                  </w:tcBorders>
                  <w:vAlign w:val="center"/>
                </w:tcPr>
                <w:p>
                  <w:pPr>
                    <w:spacing w:line="320" w:lineRule="exact"/>
                    <w:jc w:val="center"/>
                    <w:rPr>
                      <w:sz w:val="15"/>
                      <w:szCs w:val="15"/>
                    </w:rPr>
                  </w:pPr>
                  <w:r>
                    <w:rPr>
                      <w:rFonts w:hint="eastAsia"/>
                      <w:sz w:val="15"/>
                      <w:szCs w:val="15"/>
                    </w:rPr>
                    <w:t>0.272</w:t>
                  </w:r>
                  <w:r>
                    <w:rPr>
                      <w:rFonts w:hint="eastAsia"/>
                      <w:snapToGrid w:val="0"/>
                      <w:kern w:val="21"/>
                      <w:sz w:val="15"/>
                      <w:szCs w:val="15"/>
                    </w:rPr>
                    <w:t>t/a</w:t>
                  </w:r>
                </w:p>
              </w:tc>
              <w:tc>
                <w:tcPr>
                  <w:tcW w:w="961" w:type="dxa"/>
                  <w:tcBorders>
                    <w:tl2br w:val="nil"/>
                    <w:tr2bl w:val="nil"/>
                  </w:tcBorders>
                  <w:vAlign w:val="center"/>
                </w:tcPr>
                <w:p>
                  <w:pPr>
                    <w:spacing w:line="320" w:lineRule="exact"/>
                    <w:jc w:val="center"/>
                    <w:rPr>
                      <w:sz w:val="15"/>
                      <w:szCs w:val="15"/>
                    </w:rPr>
                  </w:pPr>
                  <w:r>
                    <w:rPr>
                      <w:sz w:val="15"/>
                      <w:szCs w:val="15"/>
                    </w:rPr>
                    <w:t>0.068t/a</w:t>
                  </w:r>
                </w:p>
              </w:tc>
              <w:tc>
                <w:tcPr>
                  <w:tcW w:w="746" w:type="dxa"/>
                  <w:tcBorders>
                    <w:tl2br w:val="nil"/>
                    <w:tr2bl w:val="nil"/>
                  </w:tcBorders>
                  <w:vAlign w:val="center"/>
                </w:tcPr>
                <w:p>
                  <w:pPr>
                    <w:spacing w:line="320" w:lineRule="exact"/>
                    <w:jc w:val="center"/>
                    <w:rPr>
                      <w:sz w:val="15"/>
                      <w:szCs w:val="15"/>
                    </w:rPr>
                  </w:pPr>
                  <w:r>
                    <w:rPr>
                      <w:sz w:val="15"/>
                      <w:szCs w:val="15"/>
                    </w:rPr>
                    <w:t>1.064t/a</w:t>
                  </w:r>
                </w:p>
              </w:tc>
              <w:tc>
                <w:tcPr>
                  <w:tcW w:w="967" w:type="dxa"/>
                  <w:tcBorders>
                    <w:tl2br w:val="nil"/>
                    <w:tr2bl w:val="nil"/>
                  </w:tcBorders>
                  <w:vAlign w:val="center"/>
                </w:tcPr>
                <w:p>
                  <w:pPr>
                    <w:spacing w:line="320" w:lineRule="exact"/>
                    <w:jc w:val="center"/>
                    <w:rPr>
                      <w:sz w:val="15"/>
                      <w:szCs w:val="15"/>
                    </w:rPr>
                  </w:pPr>
                  <w:r>
                    <w:rPr>
                      <w:sz w:val="15"/>
                      <w:szCs w:val="15"/>
                    </w:rPr>
                    <w:t>-0.996t/a</w:t>
                  </w:r>
                </w:p>
              </w:tc>
              <w:tc>
                <w:tcPr>
                  <w:tcW w:w="862" w:type="dxa"/>
                  <w:tcBorders>
                    <w:tl2br w:val="nil"/>
                    <w:tr2bl w:val="nil"/>
                  </w:tcBorders>
                  <w:vAlign w:val="center"/>
                </w:tcPr>
                <w:p>
                  <w:pPr>
                    <w:spacing w:line="320" w:lineRule="exact"/>
                    <w:jc w:val="center"/>
                    <w:rPr>
                      <w:sz w:val="15"/>
                      <w:szCs w:val="15"/>
                    </w:rPr>
                  </w:pPr>
                  <w:r>
                    <w:rPr>
                      <w:sz w:val="15"/>
                      <w:szCs w:val="15"/>
                    </w:rPr>
                    <w:t>6.838t/a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630" w:type="dxa"/>
                  <w:vMerge w:val="continue"/>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p>
              </w:tc>
              <w:tc>
                <w:tcPr>
                  <w:tcW w:w="1072" w:type="dxa"/>
                  <w:tcBorders>
                    <w:tl2br w:val="nil"/>
                    <w:tr2bl w:val="nil"/>
                  </w:tcBorders>
                  <w:vAlign w:val="center"/>
                </w:tcPr>
                <w:p>
                  <w:pPr>
                    <w:adjustRightInd w:val="0"/>
                    <w:snapToGrid w:val="0"/>
                    <w:spacing w:line="320" w:lineRule="exact"/>
                    <w:jc w:val="center"/>
                    <w:rPr>
                      <w:snapToGrid w:val="0"/>
                      <w:kern w:val="21"/>
                      <w:sz w:val="15"/>
                      <w:szCs w:val="15"/>
                    </w:rPr>
                  </w:pPr>
                  <w:r>
                    <w:rPr>
                      <w:rFonts w:hint="eastAsia" w:cs="宋体"/>
                      <w:sz w:val="15"/>
                      <w:szCs w:val="15"/>
                      <w:lang w:bidi="ar"/>
                    </w:rPr>
                    <w:t>氟化物</w:t>
                  </w:r>
                </w:p>
              </w:tc>
              <w:tc>
                <w:tcPr>
                  <w:tcW w:w="855" w:type="dxa"/>
                  <w:tcBorders>
                    <w:tl2br w:val="nil"/>
                    <w:tr2bl w:val="nil"/>
                  </w:tcBorders>
                  <w:vAlign w:val="center"/>
                </w:tcPr>
                <w:p>
                  <w:pPr>
                    <w:spacing w:line="320" w:lineRule="exact"/>
                    <w:jc w:val="center"/>
                    <w:rPr>
                      <w:sz w:val="15"/>
                      <w:szCs w:val="15"/>
                    </w:rPr>
                  </w:pPr>
                  <w:r>
                    <w:rPr>
                      <w:sz w:val="15"/>
                      <w:szCs w:val="15"/>
                    </w:rPr>
                    <w:t>0.045t/a</w:t>
                  </w:r>
                </w:p>
              </w:tc>
              <w:tc>
                <w:tcPr>
                  <w:tcW w:w="935" w:type="dxa"/>
                  <w:tcBorders>
                    <w:tl2br w:val="nil"/>
                    <w:tr2bl w:val="nil"/>
                  </w:tcBorders>
                </w:tcPr>
                <w:p>
                  <w:pPr>
                    <w:spacing w:line="320" w:lineRule="exact"/>
                    <w:jc w:val="center"/>
                    <w:rPr>
                      <w:sz w:val="15"/>
                      <w:szCs w:val="15"/>
                    </w:rPr>
                  </w:pPr>
                  <w:r>
                    <w:rPr>
                      <w:sz w:val="15"/>
                      <w:szCs w:val="15"/>
                    </w:rPr>
                    <w:t>0.127t/a</w:t>
                  </w:r>
                </w:p>
              </w:tc>
              <w:tc>
                <w:tcPr>
                  <w:tcW w:w="967" w:type="dxa"/>
                  <w:tcBorders>
                    <w:tl2br w:val="nil"/>
                    <w:tr2bl w:val="nil"/>
                  </w:tcBorders>
                </w:tcPr>
                <w:p>
                  <w:pPr>
                    <w:spacing w:line="320" w:lineRule="exact"/>
                    <w:jc w:val="center"/>
                    <w:rPr>
                      <w:sz w:val="15"/>
                      <w:szCs w:val="15"/>
                    </w:rPr>
                  </w:pPr>
                  <w:r>
                    <w:rPr>
                      <w:sz w:val="15"/>
                      <w:szCs w:val="15"/>
                    </w:rPr>
                    <w:t>0.076t/a</w:t>
                  </w:r>
                </w:p>
              </w:tc>
              <w:tc>
                <w:tcPr>
                  <w:tcW w:w="961" w:type="dxa"/>
                  <w:tcBorders>
                    <w:tl2br w:val="nil"/>
                    <w:tr2bl w:val="nil"/>
                  </w:tcBorders>
                </w:tcPr>
                <w:p>
                  <w:pPr>
                    <w:spacing w:line="320" w:lineRule="exact"/>
                    <w:jc w:val="center"/>
                    <w:rPr>
                      <w:sz w:val="15"/>
                      <w:szCs w:val="15"/>
                    </w:rPr>
                  </w:pPr>
                  <w:r>
                    <w:rPr>
                      <w:sz w:val="15"/>
                      <w:szCs w:val="15"/>
                    </w:rPr>
                    <w:t>0.051t/a</w:t>
                  </w:r>
                </w:p>
              </w:tc>
              <w:tc>
                <w:tcPr>
                  <w:tcW w:w="746" w:type="dxa"/>
                  <w:tcBorders>
                    <w:tl2br w:val="nil"/>
                    <w:tr2bl w:val="nil"/>
                  </w:tcBorders>
                  <w:vAlign w:val="center"/>
                </w:tcPr>
                <w:p>
                  <w:pPr>
                    <w:spacing w:line="320" w:lineRule="exact"/>
                    <w:jc w:val="center"/>
                    <w:rPr>
                      <w:sz w:val="15"/>
                      <w:szCs w:val="15"/>
                    </w:rPr>
                  </w:pPr>
                  <w:r>
                    <w:rPr>
                      <w:sz w:val="15"/>
                      <w:szCs w:val="15"/>
                    </w:rPr>
                    <w:t>0.045t/a</w:t>
                  </w:r>
                </w:p>
              </w:tc>
              <w:tc>
                <w:tcPr>
                  <w:tcW w:w="967" w:type="dxa"/>
                  <w:tcBorders>
                    <w:tl2br w:val="nil"/>
                    <w:tr2bl w:val="nil"/>
                  </w:tcBorders>
                  <w:vAlign w:val="center"/>
                </w:tcPr>
                <w:p>
                  <w:pPr>
                    <w:spacing w:line="320" w:lineRule="exact"/>
                    <w:jc w:val="center"/>
                    <w:rPr>
                      <w:sz w:val="15"/>
                      <w:szCs w:val="15"/>
                    </w:rPr>
                  </w:pPr>
                  <w:r>
                    <w:rPr>
                      <w:sz w:val="15"/>
                      <w:szCs w:val="15"/>
                    </w:rPr>
                    <w:t>+0.006t/a</w:t>
                  </w:r>
                </w:p>
              </w:tc>
              <w:tc>
                <w:tcPr>
                  <w:tcW w:w="862" w:type="dxa"/>
                  <w:tcBorders>
                    <w:tl2br w:val="nil"/>
                    <w:tr2bl w:val="nil"/>
                  </w:tcBorders>
                  <w:vAlign w:val="center"/>
                </w:tcPr>
                <w:p>
                  <w:pPr>
                    <w:spacing w:line="320" w:lineRule="exact"/>
                    <w:jc w:val="center"/>
                    <w:rPr>
                      <w:sz w:val="15"/>
                      <w:szCs w:val="15"/>
                    </w:rPr>
                  </w:pPr>
                  <w:r>
                    <w:rPr>
                      <w:sz w:val="15"/>
                      <w:szCs w:val="15"/>
                    </w:rPr>
                    <w:t>0.051t/a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630" w:type="dxa"/>
                  <w:vMerge w:val="continue"/>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p>
              </w:tc>
              <w:tc>
                <w:tcPr>
                  <w:tcW w:w="1072" w:type="dxa"/>
                  <w:tcBorders>
                    <w:tl2br w:val="nil"/>
                    <w:tr2bl w:val="nil"/>
                  </w:tcBorders>
                  <w:vAlign w:val="center"/>
                </w:tcPr>
                <w:p>
                  <w:pPr>
                    <w:adjustRightInd w:val="0"/>
                    <w:snapToGrid w:val="0"/>
                    <w:spacing w:line="320" w:lineRule="exact"/>
                    <w:jc w:val="center"/>
                    <w:rPr>
                      <w:snapToGrid w:val="0"/>
                      <w:kern w:val="21"/>
                      <w:sz w:val="15"/>
                      <w:szCs w:val="15"/>
                    </w:rPr>
                  </w:pPr>
                  <w:r>
                    <w:rPr>
                      <w:sz w:val="15"/>
                      <w:szCs w:val="15"/>
                      <w:lang w:bidi="ar"/>
                    </w:rPr>
                    <w:t>HCl</w:t>
                  </w:r>
                </w:p>
              </w:tc>
              <w:tc>
                <w:tcPr>
                  <w:tcW w:w="855" w:type="dxa"/>
                  <w:tcBorders>
                    <w:tl2br w:val="nil"/>
                    <w:tr2bl w:val="nil"/>
                  </w:tcBorders>
                  <w:vAlign w:val="center"/>
                </w:tcPr>
                <w:p>
                  <w:pPr>
                    <w:spacing w:line="320" w:lineRule="exact"/>
                    <w:jc w:val="center"/>
                    <w:rPr>
                      <w:sz w:val="15"/>
                      <w:szCs w:val="15"/>
                    </w:rPr>
                  </w:pPr>
                  <w:r>
                    <w:rPr>
                      <w:rFonts w:hint="eastAsia"/>
                      <w:sz w:val="15"/>
                      <w:szCs w:val="15"/>
                    </w:rPr>
                    <w:t>0</w:t>
                  </w:r>
                </w:p>
              </w:tc>
              <w:tc>
                <w:tcPr>
                  <w:tcW w:w="935" w:type="dxa"/>
                  <w:tcBorders>
                    <w:tl2br w:val="nil"/>
                    <w:tr2bl w:val="nil"/>
                  </w:tcBorders>
                  <w:vAlign w:val="center"/>
                </w:tcPr>
                <w:p>
                  <w:pPr>
                    <w:spacing w:line="320" w:lineRule="exact"/>
                    <w:jc w:val="center"/>
                    <w:rPr>
                      <w:sz w:val="15"/>
                      <w:szCs w:val="15"/>
                    </w:rPr>
                  </w:pPr>
                  <w:r>
                    <w:rPr>
                      <w:rFonts w:hint="eastAsia"/>
                      <w:sz w:val="15"/>
                      <w:szCs w:val="15"/>
                    </w:rPr>
                    <w:t>0.046t/a</w:t>
                  </w:r>
                </w:p>
              </w:tc>
              <w:tc>
                <w:tcPr>
                  <w:tcW w:w="967" w:type="dxa"/>
                  <w:tcBorders>
                    <w:tl2br w:val="nil"/>
                    <w:tr2bl w:val="nil"/>
                  </w:tcBorders>
                  <w:vAlign w:val="center"/>
                </w:tcPr>
                <w:p>
                  <w:pPr>
                    <w:spacing w:line="320" w:lineRule="exact"/>
                    <w:jc w:val="center"/>
                    <w:rPr>
                      <w:sz w:val="15"/>
                      <w:szCs w:val="15"/>
                    </w:rPr>
                  </w:pPr>
                  <w:r>
                    <w:rPr>
                      <w:rFonts w:hint="eastAsia"/>
                      <w:sz w:val="15"/>
                      <w:szCs w:val="15"/>
                    </w:rPr>
                    <w:t>0.0414t/a</w:t>
                  </w:r>
                </w:p>
              </w:tc>
              <w:tc>
                <w:tcPr>
                  <w:tcW w:w="961" w:type="dxa"/>
                  <w:tcBorders>
                    <w:tl2br w:val="nil"/>
                    <w:tr2bl w:val="nil"/>
                  </w:tcBorders>
                  <w:vAlign w:val="center"/>
                </w:tcPr>
                <w:p>
                  <w:pPr>
                    <w:spacing w:line="320" w:lineRule="exact"/>
                    <w:jc w:val="center"/>
                    <w:rPr>
                      <w:sz w:val="15"/>
                      <w:szCs w:val="15"/>
                    </w:rPr>
                  </w:pPr>
                  <w:r>
                    <w:rPr>
                      <w:rFonts w:hint="eastAsia"/>
                      <w:sz w:val="15"/>
                      <w:szCs w:val="15"/>
                    </w:rPr>
                    <w:t>0.0046t/a</w:t>
                  </w:r>
                </w:p>
              </w:tc>
              <w:tc>
                <w:tcPr>
                  <w:tcW w:w="746" w:type="dxa"/>
                  <w:tcBorders>
                    <w:tl2br w:val="nil"/>
                    <w:tr2bl w:val="nil"/>
                  </w:tcBorders>
                  <w:vAlign w:val="center"/>
                </w:tcPr>
                <w:p>
                  <w:pPr>
                    <w:spacing w:line="320" w:lineRule="exact"/>
                    <w:jc w:val="center"/>
                    <w:rPr>
                      <w:sz w:val="15"/>
                      <w:szCs w:val="15"/>
                    </w:rPr>
                  </w:pPr>
                  <w:r>
                    <w:rPr>
                      <w:rFonts w:hint="eastAsia"/>
                      <w:sz w:val="15"/>
                      <w:szCs w:val="15"/>
                    </w:rPr>
                    <w:t>0</w:t>
                  </w:r>
                </w:p>
              </w:tc>
              <w:tc>
                <w:tcPr>
                  <w:tcW w:w="967" w:type="dxa"/>
                  <w:tcBorders>
                    <w:tl2br w:val="nil"/>
                    <w:tr2bl w:val="nil"/>
                  </w:tcBorders>
                  <w:vAlign w:val="center"/>
                </w:tcPr>
                <w:p>
                  <w:pPr>
                    <w:spacing w:line="320" w:lineRule="exact"/>
                    <w:jc w:val="center"/>
                    <w:rPr>
                      <w:sz w:val="15"/>
                      <w:szCs w:val="15"/>
                    </w:rPr>
                  </w:pPr>
                  <w:r>
                    <w:rPr>
                      <w:sz w:val="15"/>
                      <w:szCs w:val="15"/>
                    </w:rPr>
                    <w:t>+0.0046t/a</w:t>
                  </w:r>
                </w:p>
              </w:tc>
              <w:tc>
                <w:tcPr>
                  <w:tcW w:w="862" w:type="dxa"/>
                  <w:tcBorders>
                    <w:tl2br w:val="nil"/>
                    <w:tr2bl w:val="nil"/>
                  </w:tcBorders>
                  <w:vAlign w:val="center"/>
                </w:tcPr>
                <w:p>
                  <w:pPr>
                    <w:spacing w:line="320" w:lineRule="exact"/>
                    <w:jc w:val="center"/>
                    <w:rPr>
                      <w:sz w:val="15"/>
                      <w:szCs w:val="15"/>
                    </w:rPr>
                  </w:pPr>
                  <w:r>
                    <w:rPr>
                      <w:sz w:val="15"/>
                      <w:szCs w:val="15"/>
                    </w:rPr>
                    <w:t>0.0046t/a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jc w:val="center"/>
              </w:trPr>
              <w:tc>
                <w:tcPr>
                  <w:tcW w:w="630" w:type="dxa"/>
                  <w:vMerge w:val="continue"/>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p>
              </w:tc>
              <w:tc>
                <w:tcPr>
                  <w:tcW w:w="1072" w:type="dxa"/>
                  <w:tcBorders>
                    <w:tl2br w:val="nil"/>
                    <w:tr2bl w:val="nil"/>
                  </w:tcBorders>
                  <w:vAlign w:val="center"/>
                </w:tcPr>
                <w:p>
                  <w:pPr>
                    <w:adjustRightInd w:val="0"/>
                    <w:snapToGrid w:val="0"/>
                    <w:spacing w:line="320" w:lineRule="exact"/>
                    <w:jc w:val="center"/>
                    <w:rPr>
                      <w:snapToGrid w:val="0"/>
                      <w:kern w:val="21"/>
                      <w:sz w:val="15"/>
                      <w:szCs w:val="15"/>
                    </w:rPr>
                  </w:pPr>
                  <w:r>
                    <w:rPr>
                      <w:rFonts w:hint="eastAsia" w:cs="宋体"/>
                      <w:sz w:val="15"/>
                      <w:szCs w:val="15"/>
                      <w:lang w:bidi="ar"/>
                    </w:rPr>
                    <w:t>重金属</w:t>
                  </w:r>
                </w:p>
              </w:tc>
              <w:tc>
                <w:tcPr>
                  <w:tcW w:w="855" w:type="dxa"/>
                  <w:tcBorders>
                    <w:tl2br w:val="nil"/>
                    <w:tr2bl w:val="nil"/>
                  </w:tcBorders>
                  <w:vAlign w:val="center"/>
                </w:tcPr>
                <w:p>
                  <w:pPr>
                    <w:spacing w:line="320" w:lineRule="exact"/>
                    <w:jc w:val="center"/>
                    <w:rPr>
                      <w:sz w:val="15"/>
                      <w:szCs w:val="15"/>
                    </w:rPr>
                  </w:pPr>
                  <w:r>
                    <w:rPr>
                      <w:rFonts w:hint="eastAsia"/>
                      <w:sz w:val="15"/>
                      <w:szCs w:val="15"/>
                    </w:rPr>
                    <w:t>0</w:t>
                  </w:r>
                </w:p>
              </w:tc>
              <w:tc>
                <w:tcPr>
                  <w:tcW w:w="935" w:type="dxa"/>
                  <w:tcBorders>
                    <w:tl2br w:val="nil"/>
                    <w:tr2bl w:val="nil"/>
                  </w:tcBorders>
                  <w:vAlign w:val="center"/>
                </w:tcPr>
                <w:p>
                  <w:pPr>
                    <w:spacing w:line="320" w:lineRule="exact"/>
                    <w:jc w:val="center"/>
                    <w:rPr>
                      <w:sz w:val="15"/>
                      <w:szCs w:val="15"/>
                    </w:rPr>
                  </w:pPr>
                  <w:r>
                    <w:rPr>
                      <w:rFonts w:hint="eastAsia"/>
                      <w:sz w:val="15"/>
                      <w:szCs w:val="15"/>
                    </w:rPr>
                    <w:t>1.46788t/a</w:t>
                  </w:r>
                </w:p>
              </w:tc>
              <w:tc>
                <w:tcPr>
                  <w:tcW w:w="967" w:type="dxa"/>
                  <w:tcBorders>
                    <w:tl2br w:val="nil"/>
                    <w:tr2bl w:val="nil"/>
                  </w:tcBorders>
                  <w:vAlign w:val="center"/>
                </w:tcPr>
                <w:p>
                  <w:pPr>
                    <w:spacing w:line="320" w:lineRule="exact"/>
                    <w:jc w:val="center"/>
                    <w:rPr>
                      <w:sz w:val="15"/>
                      <w:szCs w:val="15"/>
                    </w:rPr>
                  </w:pPr>
                  <w:r>
                    <w:rPr>
                      <w:rFonts w:hint="eastAsia"/>
                      <w:sz w:val="15"/>
                      <w:szCs w:val="15"/>
                    </w:rPr>
                    <w:t>1.4516t/a</w:t>
                  </w:r>
                </w:p>
              </w:tc>
              <w:tc>
                <w:tcPr>
                  <w:tcW w:w="961" w:type="dxa"/>
                  <w:tcBorders>
                    <w:tl2br w:val="nil"/>
                    <w:tr2bl w:val="nil"/>
                  </w:tcBorders>
                  <w:vAlign w:val="center"/>
                </w:tcPr>
                <w:p>
                  <w:pPr>
                    <w:spacing w:line="320" w:lineRule="exact"/>
                    <w:jc w:val="center"/>
                    <w:rPr>
                      <w:sz w:val="15"/>
                      <w:szCs w:val="15"/>
                    </w:rPr>
                  </w:pPr>
                  <w:r>
                    <w:rPr>
                      <w:rFonts w:hint="eastAsia"/>
                      <w:sz w:val="15"/>
                      <w:szCs w:val="15"/>
                    </w:rPr>
                    <w:t>0.01626t/a</w:t>
                  </w:r>
                </w:p>
              </w:tc>
              <w:tc>
                <w:tcPr>
                  <w:tcW w:w="746" w:type="dxa"/>
                  <w:tcBorders>
                    <w:tl2br w:val="nil"/>
                    <w:tr2bl w:val="nil"/>
                  </w:tcBorders>
                  <w:vAlign w:val="center"/>
                </w:tcPr>
                <w:p>
                  <w:pPr>
                    <w:spacing w:line="320" w:lineRule="exact"/>
                    <w:jc w:val="center"/>
                    <w:rPr>
                      <w:sz w:val="15"/>
                      <w:szCs w:val="15"/>
                    </w:rPr>
                  </w:pPr>
                  <w:r>
                    <w:rPr>
                      <w:rFonts w:hint="eastAsia"/>
                      <w:sz w:val="15"/>
                      <w:szCs w:val="15"/>
                    </w:rPr>
                    <w:t>0</w:t>
                  </w:r>
                </w:p>
              </w:tc>
              <w:tc>
                <w:tcPr>
                  <w:tcW w:w="967" w:type="dxa"/>
                  <w:tcBorders>
                    <w:tl2br w:val="nil"/>
                    <w:tr2bl w:val="nil"/>
                  </w:tcBorders>
                  <w:vAlign w:val="center"/>
                </w:tcPr>
                <w:p>
                  <w:pPr>
                    <w:spacing w:line="320" w:lineRule="exact"/>
                    <w:jc w:val="center"/>
                    <w:rPr>
                      <w:sz w:val="15"/>
                      <w:szCs w:val="15"/>
                    </w:rPr>
                  </w:pPr>
                  <w:r>
                    <w:rPr>
                      <w:rFonts w:hint="eastAsia"/>
                      <w:sz w:val="15"/>
                      <w:szCs w:val="15"/>
                    </w:rPr>
                    <w:t>+0.01626t/a</w:t>
                  </w:r>
                </w:p>
              </w:tc>
              <w:tc>
                <w:tcPr>
                  <w:tcW w:w="862" w:type="dxa"/>
                  <w:tcBorders>
                    <w:tl2br w:val="nil"/>
                    <w:tr2bl w:val="nil"/>
                  </w:tcBorders>
                  <w:vAlign w:val="center"/>
                </w:tcPr>
                <w:p>
                  <w:pPr>
                    <w:spacing w:line="320" w:lineRule="exact"/>
                    <w:jc w:val="center"/>
                    <w:rPr>
                      <w:sz w:val="15"/>
                      <w:szCs w:val="15"/>
                    </w:rPr>
                  </w:pPr>
                  <w:r>
                    <w:rPr>
                      <w:rFonts w:hint="eastAsia"/>
                      <w:sz w:val="15"/>
                      <w:szCs w:val="15"/>
                    </w:rPr>
                    <w:t>0.01626t/a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jc w:val="center"/>
              </w:trPr>
              <w:tc>
                <w:tcPr>
                  <w:tcW w:w="630" w:type="dxa"/>
                  <w:vMerge w:val="continue"/>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p>
              </w:tc>
              <w:tc>
                <w:tcPr>
                  <w:tcW w:w="1072" w:type="dxa"/>
                  <w:tcBorders>
                    <w:tl2br w:val="nil"/>
                    <w:tr2bl w:val="nil"/>
                  </w:tcBorders>
                  <w:vAlign w:val="center"/>
                </w:tcPr>
                <w:p>
                  <w:pPr>
                    <w:adjustRightInd w:val="0"/>
                    <w:snapToGrid w:val="0"/>
                    <w:spacing w:line="320" w:lineRule="exact"/>
                    <w:jc w:val="center"/>
                    <w:rPr>
                      <w:snapToGrid w:val="0"/>
                      <w:kern w:val="21"/>
                      <w:sz w:val="15"/>
                      <w:szCs w:val="15"/>
                    </w:rPr>
                  </w:pPr>
                  <w:r>
                    <w:rPr>
                      <w:rFonts w:hint="eastAsia" w:cs="宋体"/>
                      <w:sz w:val="15"/>
                      <w:szCs w:val="15"/>
                      <w:lang w:bidi="ar"/>
                    </w:rPr>
                    <w:t>二噁英</w:t>
                  </w:r>
                </w:p>
              </w:tc>
              <w:tc>
                <w:tcPr>
                  <w:tcW w:w="855" w:type="dxa"/>
                  <w:tcBorders>
                    <w:tl2br w:val="nil"/>
                    <w:tr2bl w:val="nil"/>
                  </w:tcBorders>
                  <w:vAlign w:val="center"/>
                </w:tcPr>
                <w:p>
                  <w:pPr>
                    <w:spacing w:line="320" w:lineRule="exact"/>
                    <w:jc w:val="center"/>
                    <w:rPr>
                      <w:sz w:val="15"/>
                      <w:szCs w:val="15"/>
                    </w:rPr>
                  </w:pPr>
                  <w:r>
                    <w:rPr>
                      <w:rFonts w:hint="eastAsia"/>
                      <w:sz w:val="15"/>
                      <w:szCs w:val="15"/>
                    </w:rPr>
                    <w:t>0</w:t>
                  </w:r>
                </w:p>
              </w:tc>
              <w:tc>
                <w:tcPr>
                  <w:tcW w:w="935" w:type="dxa"/>
                  <w:tcBorders>
                    <w:tl2br w:val="nil"/>
                    <w:tr2bl w:val="nil"/>
                  </w:tcBorders>
                  <w:vAlign w:val="center"/>
                </w:tcPr>
                <w:p>
                  <w:pPr>
                    <w:spacing w:line="320" w:lineRule="exact"/>
                    <w:jc w:val="center"/>
                    <w:rPr>
                      <w:sz w:val="15"/>
                      <w:szCs w:val="15"/>
                    </w:rPr>
                  </w:pPr>
                  <w:r>
                    <w:rPr>
                      <w:rFonts w:hint="eastAsia"/>
                      <w:sz w:val="15"/>
                      <w:szCs w:val="15"/>
                    </w:rPr>
                    <w:t>3.11x10</w:t>
                  </w:r>
                  <w:r>
                    <w:rPr>
                      <w:rFonts w:hint="eastAsia"/>
                      <w:sz w:val="15"/>
                      <w:szCs w:val="15"/>
                      <w:vertAlign w:val="superscript"/>
                    </w:rPr>
                    <w:t>-8</w:t>
                  </w:r>
                  <w:r>
                    <w:rPr>
                      <w:rFonts w:hint="eastAsia"/>
                      <w:sz w:val="15"/>
                      <w:szCs w:val="15"/>
                    </w:rPr>
                    <w:t>tTEQ/a</w:t>
                  </w:r>
                </w:p>
              </w:tc>
              <w:tc>
                <w:tcPr>
                  <w:tcW w:w="967" w:type="dxa"/>
                  <w:tcBorders>
                    <w:tl2br w:val="nil"/>
                    <w:tr2bl w:val="nil"/>
                  </w:tcBorders>
                  <w:vAlign w:val="center"/>
                </w:tcPr>
                <w:p>
                  <w:pPr>
                    <w:spacing w:line="320" w:lineRule="exact"/>
                    <w:jc w:val="center"/>
                    <w:rPr>
                      <w:sz w:val="15"/>
                      <w:szCs w:val="15"/>
                    </w:rPr>
                  </w:pPr>
                  <w:r>
                    <w:rPr>
                      <w:rFonts w:hint="eastAsia"/>
                      <w:sz w:val="15"/>
                      <w:szCs w:val="15"/>
                    </w:rPr>
                    <w:t>0</w:t>
                  </w:r>
                </w:p>
              </w:tc>
              <w:tc>
                <w:tcPr>
                  <w:tcW w:w="961" w:type="dxa"/>
                  <w:tcBorders>
                    <w:tl2br w:val="nil"/>
                    <w:tr2bl w:val="nil"/>
                  </w:tcBorders>
                  <w:vAlign w:val="center"/>
                </w:tcPr>
                <w:p>
                  <w:pPr>
                    <w:spacing w:line="320" w:lineRule="exact"/>
                    <w:jc w:val="center"/>
                    <w:rPr>
                      <w:sz w:val="15"/>
                      <w:szCs w:val="15"/>
                    </w:rPr>
                  </w:pPr>
                  <w:r>
                    <w:rPr>
                      <w:rFonts w:hint="eastAsia"/>
                      <w:sz w:val="15"/>
                      <w:szCs w:val="15"/>
                    </w:rPr>
                    <w:t>3.11x10</w:t>
                  </w:r>
                  <w:r>
                    <w:rPr>
                      <w:rFonts w:hint="eastAsia"/>
                      <w:sz w:val="15"/>
                      <w:szCs w:val="15"/>
                      <w:vertAlign w:val="superscript"/>
                    </w:rPr>
                    <w:t>-8</w:t>
                  </w:r>
                  <w:r>
                    <w:rPr>
                      <w:rFonts w:hint="eastAsia"/>
                      <w:sz w:val="15"/>
                      <w:szCs w:val="15"/>
                    </w:rPr>
                    <w:t>tTEQ/a</w:t>
                  </w:r>
                </w:p>
              </w:tc>
              <w:tc>
                <w:tcPr>
                  <w:tcW w:w="746" w:type="dxa"/>
                  <w:tcBorders>
                    <w:tl2br w:val="nil"/>
                    <w:tr2bl w:val="nil"/>
                  </w:tcBorders>
                  <w:vAlign w:val="center"/>
                </w:tcPr>
                <w:p>
                  <w:pPr>
                    <w:spacing w:line="320" w:lineRule="exact"/>
                    <w:jc w:val="center"/>
                    <w:rPr>
                      <w:sz w:val="15"/>
                      <w:szCs w:val="15"/>
                    </w:rPr>
                  </w:pPr>
                  <w:r>
                    <w:rPr>
                      <w:rFonts w:hint="eastAsia"/>
                      <w:sz w:val="15"/>
                      <w:szCs w:val="15"/>
                    </w:rPr>
                    <w:t>0</w:t>
                  </w:r>
                </w:p>
              </w:tc>
              <w:tc>
                <w:tcPr>
                  <w:tcW w:w="967" w:type="dxa"/>
                  <w:tcBorders>
                    <w:tl2br w:val="nil"/>
                    <w:tr2bl w:val="nil"/>
                  </w:tcBorders>
                  <w:vAlign w:val="center"/>
                </w:tcPr>
                <w:p>
                  <w:pPr>
                    <w:spacing w:line="320" w:lineRule="exact"/>
                    <w:jc w:val="center"/>
                    <w:rPr>
                      <w:spacing w:val="-17"/>
                      <w:sz w:val="15"/>
                      <w:szCs w:val="15"/>
                    </w:rPr>
                  </w:pPr>
                  <w:r>
                    <w:rPr>
                      <w:rFonts w:hint="eastAsia"/>
                      <w:spacing w:val="-17"/>
                      <w:sz w:val="15"/>
                      <w:szCs w:val="15"/>
                    </w:rPr>
                    <w:t>+</w:t>
                  </w:r>
                  <w:r>
                    <w:rPr>
                      <w:rFonts w:hint="eastAsia"/>
                      <w:sz w:val="15"/>
                      <w:szCs w:val="15"/>
                    </w:rPr>
                    <w:t>3.11x10</w:t>
                  </w:r>
                  <w:r>
                    <w:rPr>
                      <w:rFonts w:hint="eastAsia"/>
                      <w:sz w:val="15"/>
                      <w:szCs w:val="15"/>
                      <w:vertAlign w:val="superscript"/>
                    </w:rPr>
                    <w:t>-8</w:t>
                  </w:r>
                  <w:r>
                    <w:rPr>
                      <w:rFonts w:hint="eastAsia"/>
                      <w:sz w:val="15"/>
                      <w:szCs w:val="15"/>
                    </w:rPr>
                    <w:t>tTEQ/a</w:t>
                  </w:r>
                </w:p>
              </w:tc>
              <w:tc>
                <w:tcPr>
                  <w:tcW w:w="862" w:type="dxa"/>
                  <w:tcBorders>
                    <w:tl2br w:val="nil"/>
                    <w:tr2bl w:val="nil"/>
                  </w:tcBorders>
                  <w:vAlign w:val="center"/>
                </w:tcPr>
                <w:p>
                  <w:pPr>
                    <w:spacing w:line="320" w:lineRule="exact"/>
                    <w:jc w:val="center"/>
                    <w:rPr>
                      <w:spacing w:val="-6"/>
                      <w:sz w:val="15"/>
                      <w:szCs w:val="15"/>
                    </w:rPr>
                  </w:pPr>
                  <w:r>
                    <w:rPr>
                      <w:rFonts w:hint="eastAsia"/>
                      <w:sz w:val="15"/>
                      <w:szCs w:val="15"/>
                    </w:rPr>
                    <w:t>3.11x10</w:t>
                  </w:r>
                  <w:r>
                    <w:rPr>
                      <w:rFonts w:hint="eastAsia"/>
                      <w:sz w:val="15"/>
                      <w:szCs w:val="15"/>
                      <w:vertAlign w:val="superscript"/>
                    </w:rPr>
                    <w:t>-8</w:t>
                  </w:r>
                  <w:r>
                    <w:rPr>
                      <w:rFonts w:hint="eastAsia"/>
                      <w:sz w:val="15"/>
                      <w:szCs w:val="15"/>
                    </w:rPr>
                    <w:t>tTEQ/a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630" w:type="dxa"/>
                  <w:vMerge w:val="continue"/>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p>
              </w:tc>
              <w:tc>
                <w:tcPr>
                  <w:tcW w:w="1072" w:type="dxa"/>
                  <w:tcBorders>
                    <w:tl2br w:val="nil"/>
                    <w:tr2bl w:val="nil"/>
                  </w:tcBorders>
                  <w:vAlign w:val="center"/>
                </w:tcPr>
                <w:p>
                  <w:pPr>
                    <w:adjustRightInd w:val="0"/>
                    <w:snapToGrid w:val="0"/>
                    <w:spacing w:line="320" w:lineRule="exact"/>
                    <w:jc w:val="center"/>
                    <w:rPr>
                      <w:rFonts w:cs="宋体"/>
                      <w:sz w:val="15"/>
                      <w:szCs w:val="15"/>
                      <w:lang w:bidi="ar"/>
                    </w:rPr>
                  </w:pPr>
                  <w:r>
                    <w:rPr>
                      <w:rFonts w:cs="宋体"/>
                      <w:sz w:val="15"/>
                      <w:szCs w:val="15"/>
                      <w:lang w:bidi="ar"/>
                    </w:rPr>
                    <w:t>H</w:t>
                  </w:r>
                  <w:r>
                    <w:rPr>
                      <w:rFonts w:cs="宋体"/>
                      <w:sz w:val="15"/>
                      <w:szCs w:val="15"/>
                      <w:vertAlign w:val="subscript"/>
                      <w:lang w:bidi="ar"/>
                    </w:rPr>
                    <w:t>2</w:t>
                  </w:r>
                  <w:r>
                    <w:rPr>
                      <w:rFonts w:cs="宋体"/>
                      <w:sz w:val="15"/>
                      <w:szCs w:val="15"/>
                      <w:lang w:bidi="ar"/>
                    </w:rPr>
                    <w:t>S</w:t>
                  </w:r>
                </w:p>
              </w:tc>
              <w:tc>
                <w:tcPr>
                  <w:tcW w:w="855" w:type="dxa"/>
                  <w:tcBorders>
                    <w:tl2br w:val="nil"/>
                    <w:tr2bl w:val="nil"/>
                  </w:tcBorders>
                  <w:vAlign w:val="center"/>
                </w:tcPr>
                <w:p>
                  <w:pPr>
                    <w:spacing w:line="320" w:lineRule="exact"/>
                    <w:jc w:val="center"/>
                    <w:rPr>
                      <w:sz w:val="15"/>
                      <w:szCs w:val="15"/>
                    </w:rPr>
                  </w:pPr>
                  <w:r>
                    <w:rPr>
                      <w:rFonts w:hint="eastAsia"/>
                      <w:sz w:val="15"/>
                      <w:szCs w:val="15"/>
                    </w:rPr>
                    <w:t>0</w:t>
                  </w:r>
                </w:p>
              </w:tc>
              <w:tc>
                <w:tcPr>
                  <w:tcW w:w="935" w:type="dxa"/>
                  <w:tcBorders>
                    <w:tl2br w:val="nil"/>
                    <w:tr2bl w:val="nil"/>
                  </w:tcBorders>
                  <w:vAlign w:val="center"/>
                </w:tcPr>
                <w:p>
                  <w:pPr>
                    <w:spacing w:line="320" w:lineRule="exact"/>
                    <w:jc w:val="center"/>
                    <w:rPr>
                      <w:sz w:val="15"/>
                      <w:szCs w:val="15"/>
                    </w:rPr>
                  </w:pPr>
                  <w:r>
                    <w:rPr>
                      <w:rFonts w:hint="eastAsia"/>
                      <w:sz w:val="15"/>
                      <w:szCs w:val="15"/>
                    </w:rPr>
                    <w:t>0.00954t/a</w:t>
                  </w:r>
                </w:p>
              </w:tc>
              <w:tc>
                <w:tcPr>
                  <w:tcW w:w="967" w:type="dxa"/>
                  <w:tcBorders>
                    <w:tl2br w:val="nil"/>
                    <w:tr2bl w:val="nil"/>
                  </w:tcBorders>
                  <w:vAlign w:val="center"/>
                </w:tcPr>
                <w:p>
                  <w:pPr>
                    <w:spacing w:line="320" w:lineRule="exact"/>
                    <w:jc w:val="center"/>
                    <w:rPr>
                      <w:sz w:val="15"/>
                      <w:szCs w:val="15"/>
                    </w:rPr>
                  </w:pPr>
                  <w:r>
                    <w:rPr>
                      <w:rFonts w:hint="eastAsia"/>
                      <w:sz w:val="15"/>
                      <w:szCs w:val="15"/>
                    </w:rPr>
                    <w:t>0.007578t/a</w:t>
                  </w:r>
                </w:p>
              </w:tc>
              <w:tc>
                <w:tcPr>
                  <w:tcW w:w="961" w:type="dxa"/>
                  <w:tcBorders>
                    <w:tl2br w:val="nil"/>
                    <w:tr2bl w:val="nil"/>
                  </w:tcBorders>
                  <w:vAlign w:val="center"/>
                </w:tcPr>
                <w:p>
                  <w:pPr>
                    <w:spacing w:line="320" w:lineRule="exact"/>
                    <w:jc w:val="center"/>
                    <w:rPr>
                      <w:sz w:val="15"/>
                      <w:szCs w:val="15"/>
                    </w:rPr>
                  </w:pPr>
                  <w:r>
                    <w:rPr>
                      <w:rFonts w:hint="eastAsia"/>
                      <w:sz w:val="15"/>
                      <w:szCs w:val="15"/>
                    </w:rPr>
                    <w:t>0.001962t/a</w:t>
                  </w:r>
                </w:p>
              </w:tc>
              <w:tc>
                <w:tcPr>
                  <w:tcW w:w="746" w:type="dxa"/>
                  <w:tcBorders>
                    <w:tl2br w:val="nil"/>
                    <w:tr2bl w:val="nil"/>
                  </w:tcBorders>
                  <w:vAlign w:val="center"/>
                </w:tcPr>
                <w:p>
                  <w:pPr>
                    <w:spacing w:line="320" w:lineRule="exact"/>
                    <w:jc w:val="center"/>
                    <w:rPr>
                      <w:sz w:val="15"/>
                      <w:szCs w:val="15"/>
                    </w:rPr>
                  </w:pPr>
                  <w:r>
                    <w:rPr>
                      <w:rFonts w:hint="eastAsia"/>
                      <w:sz w:val="15"/>
                      <w:szCs w:val="15"/>
                    </w:rPr>
                    <w:t>0</w:t>
                  </w:r>
                </w:p>
              </w:tc>
              <w:tc>
                <w:tcPr>
                  <w:tcW w:w="967" w:type="dxa"/>
                  <w:tcBorders>
                    <w:tl2br w:val="nil"/>
                    <w:tr2bl w:val="nil"/>
                  </w:tcBorders>
                  <w:vAlign w:val="center"/>
                </w:tcPr>
                <w:p>
                  <w:pPr>
                    <w:spacing w:line="320" w:lineRule="exact"/>
                    <w:jc w:val="center"/>
                    <w:rPr>
                      <w:spacing w:val="-6"/>
                      <w:sz w:val="15"/>
                      <w:szCs w:val="15"/>
                    </w:rPr>
                  </w:pPr>
                  <w:r>
                    <w:rPr>
                      <w:rFonts w:hint="eastAsia"/>
                      <w:spacing w:val="-6"/>
                      <w:sz w:val="15"/>
                      <w:szCs w:val="15"/>
                    </w:rPr>
                    <w:t>+0.001962t/a</w:t>
                  </w:r>
                </w:p>
              </w:tc>
              <w:tc>
                <w:tcPr>
                  <w:tcW w:w="862" w:type="dxa"/>
                  <w:tcBorders>
                    <w:tl2br w:val="nil"/>
                    <w:tr2bl w:val="nil"/>
                  </w:tcBorders>
                  <w:vAlign w:val="center"/>
                </w:tcPr>
                <w:p>
                  <w:pPr>
                    <w:spacing w:line="320" w:lineRule="exact"/>
                    <w:jc w:val="center"/>
                    <w:rPr>
                      <w:spacing w:val="-10"/>
                      <w:sz w:val="15"/>
                      <w:szCs w:val="15"/>
                    </w:rPr>
                  </w:pPr>
                  <w:r>
                    <w:rPr>
                      <w:rFonts w:hint="eastAsia"/>
                      <w:spacing w:val="-10"/>
                      <w:sz w:val="15"/>
                      <w:szCs w:val="15"/>
                    </w:rPr>
                    <w:t>0.001962t/a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19" w:hRule="atLeast"/>
                <w:jc w:val="center"/>
              </w:trPr>
              <w:tc>
                <w:tcPr>
                  <w:tcW w:w="630" w:type="dxa"/>
                  <w:vMerge w:val="continue"/>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p>
              </w:tc>
              <w:tc>
                <w:tcPr>
                  <w:tcW w:w="1072" w:type="dxa"/>
                  <w:tcBorders>
                    <w:tl2br w:val="nil"/>
                    <w:tr2bl w:val="nil"/>
                  </w:tcBorders>
                  <w:vAlign w:val="center"/>
                </w:tcPr>
                <w:p>
                  <w:pPr>
                    <w:adjustRightInd w:val="0"/>
                    <w:snapToGrid w:val="0"/>
                    <w:spacing w:line="320" w:lineRule="exact"/>
                    <w:jc w:val="center"/>
                    <w:rPr>
                      <w:rFonts w:cs="宋体"/>
                      <w:sz w:val="15"/>
                      <w:szCs w:val="15"/>
                      <w:lang w:bidi="ar"/>
                    </w:rPr>
                  </w:pPr>
                  <w:r>
                    <w:rPr>
                      <w:rFonts w:cs="宋体"/>
                      <w:sz w:val="15"/>
                      <w:szCs w:val="15"/>
                      <w:lang w:bidi="ar"/>
                    </w:rPr>
                    <w:t>NH</w:t>
                  </w:r>
                  <w:r>
                    <w:rPr>
                      <w:rFonts w:cs="宋体"/>
                      <w:sz w:val="15"/>
                      <w:szCs w:val="15"/>
                      <w:vertAlign w:val="subscript"/>
                      <w:lang w:bidi="ar"/>
                    </w:rPr>
                    <w:t>3</w:t>
                  </w:r>
                </w:p>
              </w:tc>
              <w:tc>
                <w:tcPr>
                  <w:tcW w:w="855" w:type="dxa"/>
                  <w:tcBorders>
                    <w:tl2br w:val="nil"/>
                    <w:tr2bl w:val="nil"/>
                  </w:tcBorders>
                  <w:vAlign w:val="center"/>
                </w:tcPr>
                <w:p>
                  <w:pPr>
                    <w:spacing w:line="320" w:lineRule="exact"/>
                    <w:jc w:val="center"/>
                    <w:rPr>
                      <w:sz w:val="15"/>
                      <w:szCs w:val="15"/>
                    </w:rPr>
                  </w:pPr>
                  <w:r>
                    <w:rPr>
                      <w:rFonts w:hint="eastAsia"/>
                      <w:sz w:val="15"/>
                      <w:szCs w:val="15"/>
                    </w:rPr>
                    <w:t>0</w:t>
                  </w:r>
                </w:p>
              </w:tc>
              <w:tc>
                <w:tcPr>
                  <w:tcW w:w="935" w:type="dxa"/>
                  <w:tcBorders>
                    <w:tl2br w:val="nil"/>
                    <w:tr2bl w:val="nil"/>
                  </w:tcBorders>
                  <w:vAlign w:val="center"/>
                </w:tcPr>
                <w:p>
                  <w:pPr>
                    <w:spacing w:line="320" w:lineRule="exact"/>
                    <w:jc w:val="center"/>
                    <w:rPr>
                      <w:sz w:val="15"/>
                      <w:szCs w:val="15"/>
                    </w:rPr>
                  </w:pPr>
                  <w:r>
                    <w:rPr>
                      <w:rFonts w:hint="eastAsia"/>
                      <w:sz w:val="15"/>
                      <w:szCs w:val="15"/>
                    </w:rPr>
                    <w:t>0.1288t/a</w:t>
                  </w:r>
                </w:p>
              </w:tc>
              <w:tc>
                <w:tcPr>
                  <w:tcW w:w="967" w:type="dxa"/>
                  <w:tcBorders>
                    <w:tl2br w:val="nil"/>
                    <w:tr2bl w:val="nil"/>
                  </w:tcBorders>
                  <w:vAlign w:val="center"/>
                </w:tcPr>
                <w:p>
                  <w:pPr>
                    <w:spacing w:line="320" w:lineRule="exact"/>
                    <w:jc w:val="center"/>
                    <w:rPr>
                      <w:sz w:val="15"/>
                      <w:szCs w:val="15"/>
                    </w:rPr>
                  </w:pPr>
                  <w:r>
                    <w:rPr>
                      <w:rFonts w:hint="eastAsia"/>
                      <w:sz w:val="15"/>
                      <w:szCs w:val="15"/>
                    </w:rPr>
                    <w:t>0.0992t/a</w:t>
                  </w:r>
                </w:p>
              </w:tc>
              <w:tc>
                <w:tcPr>
                  <w:tcW w:w="961" w:type="dxa"/>
                  <w:tcBorders>
                    <w:tl2br w:val="nil"/>
                    <w:tr2bl w:val="nil"/>
                  </w:tcBorders>
                  <w:vAlign w:val="center"/>
                </w:tcPr>
                <w:p>
                  <w:pPr>
                    <w:spacing w:line="320" w:lineRule="exact"/>
                    <w:jc w:val="center"/>
                    <w:rPr>
                      <w:sz w:val="15"/>
                      <w:szCs w:val="15"/>
                    </w:rPr>
                  </w:pPr>
                  <w:r>
                    <w:rPr>
                      <w:rFonts w:hint="eastAsia"/>
                      <w:sz w:val="15"/>
                      <w:szCs w:val="15"/>
                    </w:rPr>
                    <w:t>0.0296t/a</w:t>
                  </w:r>
                </w:p>
              </w:tc>
              <w:tc>
                <w:tcPr>
                  <w:tcW w:w="746" w:type="dxa"/>
                  <w:tcBorders>
                    <w:tl2br w:val="nil"/>
                    <w:tr2bl w:val="nil"/>
                  </w:tcBorders>
                  <w:vAlign w:val="center"/>
                </w:tcPr>
                <w:p>
                  <w:pPr>
                    <w:spacing w:line="320" w:lineRule="exact"/>
                    <w:jc w:val="center"/>
                    <w:rPr>
                      <w:sz w:val="15"/>
                      <w:szCs w:val="15"/>
                    </w:rPr>
                  </w:pPr>
                  <w:r>
                    <w:rPr>
                      <w:rFonts w:hint="eastAsia"/>
                      <w:sz w:val="15"/>
                      <w:szCs w:val="15"/>
                    </w:rPr>
                    <w:t>0</w:t>
                  </w:r>
                </w:p>
              </w:tc>
              <w:tc>
                <w:tcPr>
                  <w:tcW w:w="967" w:type="dxa"/>
                  <w:tcBorders>
                    <w:tl2br w:val="nil"/>
                    <w:tr2bl w:val="nil"/>
                  </w:tcBorders>
                  <w:vAlign w:val="center"/>
                </w:tcPr>
                <w:p>
                  <w:pPr>
                    <w:spacing w:line="320" w:lineRule="exact"/>
                    <w:jc w:val="center"/>
                    <w:rPr>
                      <w:sz w:val="15"/>
                      <w:szCs w:val="15"/>
                    </w:rPr>
                  </w:pPr>
                  <w:r>
                    <w:rPr>
                      <w:rFonts w:hint="eastAsia"/>
                      <w:sz w:val="15"/>
                      <w:szCs w:val="15"/>
                    </w:rPr>
                    <w:t>+0.0296t/a</w:t>
                  </w:r>
                </w:p>
              </w:tc>
              <w:tc>
                <w:tcPr>
                  <w:tcW w:w="862" w:type="dxa"/>
                  <w:tcBorders>
                    <w:tl2br w:val="nil"/>
                    <w:tr2bl w:val="nil"/>
                  </w:tcBorders>
                  <w:vAlign w:val="center"/>
                </w:tcPr>
                <w:p>
                  <w:pPr>
                    <w:spacing w:line="320" w:lineRule="exact"/>
                    <w:jc w:val="center"/>
                    <w:rPr>
                      <w:sz w:val="15"/>
                      <w:szCs w:val="15"/>
                    </w:rPr>
                  </w:pPr>
                  <w:r>
                    <w:rPr>
                      <w:rFonts w:hint="eastAsia"/>
                      <w:sz w:val="15"/>
                      <w:szCs w:val="15"/>
                    </w:rPr>
                    <w:t>0.0296t/a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630" w:type="dxa"/>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r>
                    <w:rPr>
                      <w:rFonts w:hint="eastAsia" w:ascii="Times New Roman" w:hAnsi="Times New Roman" w:cs="Times New Roman"/>
                      <w:snapToGrid w:val="0"/>
                      <w:kern w:val="21"/>
                      <w:sz w:val="15"/>
                      <w:szCs w:val="15"/>
                    </w:rPr>
                    <w:t>废水</w:t>
                  </w:r>
                </w:p>
              </w:tc>
              <w:tc>
                <w:tcPr>
                  <w:tcW w:w="1072" w:type="dxa"/>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r>
                    <w:rPr>
                      <w:rFonts w:hint="eastAsia" w:ascii="Times New Roman" w:hAnsi="Times New Roman" w:cs="Times New Roman"/>
                      <w:snapToGrid w:val="0"/>
                      <w:kern w:val="21"/>
                      <w:sz w:val="15"/>
                      <w:szCs w:val="15"/>
                    </w:rPr>
                    <w:t>生产废水</w:t>
                  </w:r>
                </w:p>
              </w:tc>
              <w:tc>
                <w:tcPr>
                  <w:tcW w:w="855" w:type="dxa"/>
                  <w:tcBorders>
                    <w:tl2br w:val="nil"/>
                    <w:tr2bl w:val="nil"/>
                  </w:tcBorders>
                  <w:vAlign w:val="center"/>
                </w:tcPr>
                <w:p>
                  <w:pPr>
                    <w:spacing w:line="320" w:lineRule="exact"/>
                    <w:jc w:val="center"/>
                    <w:rPr>
                      <w:sz w:val="15"/>
                      <w:szCs w:val="15"/>
                    </w:rPr>
                  </w:pPr>
                  <w:r>
                    <w:rPr>
                      <w:rFonts w:hint="eastAsia"/>
                      <w:sz w:val="15"/>
                      <w:szCs w:val="15"/>
                    </w:rPr>
                    <w:t>0</w:t>
                  </w:r>
                </w:p>
              </w:tc>
              <w:tc>
                <w:tcPr>
                  <w:tcW w:w="935" w:type="dxa"/>
                  <w:tcBorders>
                    <w:tl2br w:val="nil"/>
                    <w:tr2bl w:val="nil"/>
                  </w:tcBorders>
                  <w:vAlign w:val="center"/>
                </w:tcPr>
                <w:p>
                  <w:pPr>
                    <w:spacing w:line="320" w:lineRule="exact"/>
                    <w:jc w:val="center"/>
                    <w:rPr>
                      <w:sz w:val="15"/>
                      <w:szCs w:val="15"/>
                    </w:rPr>
                  </w:pPr>
                  <w:r>
                    <w:rPr>
                      <w:rFonts w:hint="eastAsia"/>
                      <w:sz w:val="15"/>
                      <w:szCs w:val="15"/>
                    </w:rPr>
                    <w:t>1322556</w:t>
                  </w:r>
                  <w:r>
                    <w:rPr>
                      <w:rFonts w:hint="eastAsia"/>
                      <w:snapToGrid w:val="0"/>
                      <w:kern w:val="21"/>
                      <w:sz w:val="15"/>
                      <w:szCs w:val="15"/>
                    </w:rPr>
                    <w:t>t/a</w:t>
                  </w:r>
                </w:p>
              </w:tc>
              <w:tc>
                <w:tcPr>
                  <w:tcW w:w="967" w:type="dxa"/>
                  <w:tcBorders>
                    <w:tl2br w:val="nil"/>
                    <w:tr2bl w:val="nil"/>
                  </w:tcBorders>
                  <w:vAlign w:val="center"/>
                </w:tcPr>
                <w:p>
                  <w:pPr>
                    <w:spacing w:line="320" w:lineRule="exact"/>
                    <w:jc w:val="center"/>
                    <w:rPr>
                      <w:sz w:val="15"/>
                      <w:szCs w:val="15"/>
                    </w:rPr>
                  </w:pPr>
                  <w:r>
                    <w:rPr>
                      <w:rFonts w:hint="eastAsia"/>
                      <w:sz w:val="15"/>
                      <w:szCs w:val="15"/>
                    </w:rPr>
                    <w:t>1322556</w:t>
                  </w:r>
                  <w:r>
                    <w:rPr>
                      <w:rFonts w:hint="eastAsia"/>
                      <w:snapToGrid w:val="0"/>
                      <w:kern w:val="21"/>
                      <w:sz w:val="15"/>
                      <w:szCs w:val="15"/>
                    </w:rPr>
                    <w:t>t/a</w:t>
                  </w:r>
                </w:p>
              </w:tc>
              <w:tc>
                <w:tcPr>
                  <w:tcW w:w="961" w:type="dxa"/>
                  <w:tcBorders>
                    <w:tl2br w:val="nil"/>
                    <w:tr2bl w:val="nil"/>
                  </w:tcBorders>
                  <w:vAlign w:val="center"/>
                </w:tcPr>
                <w:p>
                  <w:pPr>
                    <w:spacing w:line="320" w:lineRule="exact"/>
                    <w:jc w:val="center"/>
                    <w:rPr>
                      <w:sz w:val="15"/>
                      <w:szCs w:val="15"/>
                    </w:rPr>
                  </w:pPr>
                  <w:r>
                    <w:rPr>
                      <w:rFonts w:hint="eastAsia"/>
                      <w:sz w:val="15"/>
                      <w:szCs w:val="15"/>
                    </w:rPr>
                    <w:t>0</w:t>
                  </w:r>
                </w:p>
              </w:tc>
              <w:tc>
                <w:tcPr>
                  <w:tcW w:w="746" w:type="dxa"/>
                  <w:tcBorders>
                    <w:tl2br w:val="nil"/>
                    <w:tr2bl w:val="nil"/>
                  </w:tcBorders>
                  <w:vAlign w:val="center"/>
                </w:tcPr>
                <w:p>
                  <w:pPr>
                    <w:spacing w:line="320" w:lineRule="exact"/>
                    <w:jc w:val="center"/>
                    <w:rPr>
                      <w:sz w:val="15"/>
                      <w:szCs w:val="15"/>
                    </w:rPr>
                  </w:pPr>
                  <w:r>
                    <w:rPr>
                      <w:rFonts w:hint="eastAsia"/>
                      <w:sz w:val="15"/>
                      <w:szCs w:val="15"/>
                    </w:rPr>
                    <w:t>0</w:t>
                  </w:r>
                </w:p>
              </w:tc>
              <w:tc>
                <w:tcPr>
                  <w:tcW w:w="967" w:type="dxa"/>
                  <w:tcBorders>
                    <w:tl2br w:val="nil"/>
                    <w:tr2bl w:val="nil"/>
                  </w:tcBorders>
                  <w:vAlign w:val="center"/>
                </w:tcPr>
                <w:p>
                  <w:pPr>
                    <w:pStyle w:val="32"/>
                    <w:spacing w:before="24" w:line="320" w:lineRule="exact"/>
                    <w:rPr>
                      <w:rFonts w:ascii="Times New Roman" w:hAnsi="Times New Roman" w:cs="Times New Roman"/>
                      <w:snapToGrid w:val="0"/>
                      <w:kern w:val="21"/>
                      <w:sz w:val="15"/>
                      <w:szCs w:val="15"/>
                    </w:rPr>
                  </w:pPr>
                  <w:r>
                    <w:rPr>
                      <w:rFonts w:hint="eastAsia" w:ascii="Times New Roman" w:hAnsi="Times New Roman" w:cs="Times New Roman"/>
                      <w:snapToGrid w:val="0"/>
                      <w:kern w:val="21"/>
                      <w:sz w:val="15"/>
                      <w:szCs w:val="15"/>
                    </w:rPr>
                    <w:t>0</w:t>
                  </w:r>
                </w:p>
              </w:tc>
              <w:tc>
                <w:tcPr>
                  <w:tcW w:w="862" w:type="dxa"/>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r>
                    <w:rPr>
                      <w:rFonts w:hint="eastAsia" w:ascii="Times New Roman" w:hAnsi="Times New Roman" w:cs="Times New Roman"/>
                      <w:snapToGrid w:val="0"/>
                      <w:kern w:val="21"/>
                      <w:sz w:val="15"/>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630" w:type="dxa"/>
                  <w:vMerge w:val="restart"/>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r>
                    <w:rPr>
                      <w:rFonts w:ascii="Times New Roman" w:hAnsi="Times New Roman" w:cs="Times New Roman"/>
                      <w:snapToGrid w:val="0"/>
                      <w:kern w:val="21"/>
                      <w:sz w:val="15"/>
                      <w:szCs w:val="15"/>
                    </w:rPr>
                    <w:t>固体废物</w:t>
                  </w:r>
                </w:p>
              </w:tc>
              <w:tc>
                <w:tcPr>
                  <w:tcW w:w="1072" w:type="dxa"/>
                  <w:tcBorders>
                    <w:tl2br w:val="nil"/>
                    <w:tr2bl w:val="nil"/>
                  </w:tcBorders>
                  <w:vAlign w:val="center"/>
                </w:tcPr>
                <w:p>
                  <w:pPr>
                    <w:spacing w:line="320" w:lineRule="exact"/>
                    <w:jc w:val="center"/>
                    <w:rPr>
                      <w:sz w:val="15"/>
                      <w:szCs w:val="15"/>
                    </w:rPr>
                  </w:pPr>
                  <w:r>
                    <w:rPr>
                      <w:rFonts w:hint="eastAsia"/>
                      <w:sz w:val="15"/>
                      <w:szCs w:val="15"/>
                    </w:rPr>
                    <w:t>不合格砖</w:t>
                  </w:r>
                </w:p>
              </w:tc>
              <w:tc>
                <w:tcPr>
                  <w:tcW w:w="855" w:type="dxa"/>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r>
                    <w:rPr>
                      <w:rFonts w:hint="eastAsia" w:ascii="Times New Roman" w:hAnsi="Times New Roman" w:cs="Times New Roman"/>
                      <w:snapToGrid w:val="0"/>
                      <w:kern w:val="21"/>
                      <w:sz w:val="15"/>
                      <w:szCs w:val="15"/>
                    </w:rPr>
                    <w:t>0</w:t>
                  </w:r>
                </w:p>
              </w:tc>
              <w:tc>
                <w:tcPr>
                  <w:tcW w:w="935" w:type="dxa"/>
                  <w:tcBorders>
                    <w:tl2br w:val="nil"/>
                    <w:tr2bl w:val="nil"/>
                  </w:tcBorders>
                  <w:vAlign w:val="center"/>
                </w:tcPr>
                <w:p>
                  <w:pPr>
                    <w:spacing w:line="320" w:lineRule="exact"/>
                    <w:jc w:val="center"/>
                    <w:rPr>
                      <w:sz w:val="15"/>
                      <w:szCs w:val="15"/>
                    </w:rPr>
                  </w:pPr>
                  <w:r>
                    <w:rPr>
                      <w:rFonts w:hint="eastAsia"/>
                      <w:sz w:val="15"/>
                      <w:szCs w:val="15"/>
                    </w:rPr>
                    <w:t>375t/a</w:t>
                  </w:r>
                </w:p>
              </w:tc>
              <w:tc>
                <w:tcPr>
                  <w:tcW w:w="967" w:type="dxa"/>
                  <w:tcBorders>
                    <w:tl2br w:val="nil"/>
                    <w:tr2bl w:val="nil"/>
                  </w:tcBorders>
                  <w:vAlign w:val="center"/>
                </w:tcPr>
                <w:p>
                  <w:pPr>
                    <w:spacing w:line="320" w:lineRule="exact"/>
                    <w:jc w:val="center"/>
                    <w:rPr>
                      <w:sz w:val="15"/>
                      <w:szCs w:val="15"/>
                    </w:rPr>
                  </w:pPr>
                  <w:r>
                    <w:rPr>
                      <w:rFonts w:hint="eastAsia"/>
                      <w:sz w:val="15"/>
                      <w:szCs w:val="15"/>
                    </w:rPr>
                    <w:t>375t/a</w:t>
                  </w:r>
                </w:p>
              </w:tc>
              <w:tc>
                <w:tcPr>
                  <w:tcW w:w="961" w:type="dxa"/>
                  <w:tcBorders>
                    <w:tl2br w:val="nil"/>
                    <w:tr2bl w:val="nil"/>
                  </w:tcBorders>
                  <w:vAlign w:val="center"/>
                </w:tcPr>
                <w:p>
                  <w:pPr>
                    <w:spacing w:line="320" w:lineRule="exact"/>
                    <w:jc w:val="center"/>
                    <w:rPr>
                      <w:sz w:val="15"/>
                      <w:szCs w:val="15"/>
                    </w:rPr>
                  </w:pPr>
                  <w:r>
                    <w:rPr>
                      <w:rFonts w:hint="eastAsia"/>
                      <w:sz w:val="15"/>
                      <w:szCs w:val="15"/>
                    </w:rPr>
                    <w:t>0</w:t>
                  </w:r>
                </w:p>
              </w:tc>
              <w:tc>
                <w:tcPr>
                  <w:tcW w:w="746" w:type="dxa"/>
                  <w:tcBorders>
                    <w:tl2br w:val="nil"/>
                    <w:tr2bl w:val="nil"/>
                  </w:tcBorders>
                  <w:vAlign w:val="center"/>
                </w:tcPr>
                <w:p>
                  <w:pPr>
                    <w:spacing w:line="320" w:lineRule="exact"/>
                    <w:jc w:val="center"/>
                    <w:rPr>
                      <w:sz w:val="15"/>
                      <w:szCs w:val="15"/>
                    </w:rPr>
                  </w:pPr>
                  <w:r>
                    <w:rPr>
                      <w:rFonts w:hint="eastAsia"/>
                      <w:sz w:val="15"/>
                      <w:szCs w:val="15"/>
                    </w:rPr>
                    <w:t>0</w:t>
                  </w:r>
                </w:p>
              </w:tc>
              <w:tc>
                <w:tcPr>
                  <w:tcW w:w="967" w:type="dxa"/>
                  <w:tcBorders>
                    <w:tl2br w:val="nil"/>
                    <w:tr2bl w:val="nil"/>
                  </w:tcBorders>
                  <w:vAlign w:val="center"/>
                </w:tcPr>
                <w:p>
                  <w:pPr>
                    <w:spacing w:line="320" w:lineRule="exact"/>
                    <w:jc w:val="center"/>
                    <w:rPr>
                      <w:sz w:val="15"/>
                      <w:szCs w:val="15"/>
                    </w:rPr>
                  </w:pPr>
                  <w:r>
                    <w:rPr>
                      <w:rFonts w:hint="eastAsia"/>
                      <w:sz w:val="15"/>
                      <w:szCs w:val="15"/>
                    </w:rPr>
                    <w:t>0</w:t>
                  </w:r>
                </w:p>
              </w:tc>
              <w:tc>
                <w:tcPr>
                  <w:tcW w:w="862" w:type="dxa"/>
                  <w:tcBorders>
                    <w:tl2br w:val="nil"/>
                    <w:tr2bl w:val="nil"/>
                  </w:tcBorders>
                  <w:vAlign w:val="center"/>
                </w:tcPr>
                <w:p>
                  <w:pPr>
                    <w:spacing w:line="320" w:lineRule="exact"/>
                    <w:jc w:val="center"/>
                    <w:rPr>
                      <w:sz w:val="15"/>
                      <w:szCs w:val="15"/>
                    </w:rPr>
                  </w:pPr>
                  <w:r>
                    <w:rPr>
                      <w:rFonts w:hint="eastAsia"/>
                      <w:sz w:val="15"/>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630" w:type="dxa"/>
                  <w:vMerge w:val="continue"/>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p>
              </w:tc>
              <w:tc>
                <w:tcPr>
                  <w:tcW w:w="1072" w:type="dxa"/>
                  <w:tcBorders>
                    <w:tl2br w:val="nil"/>
                    <w:tr2bl w:val="nil"/>
                  </w:tcBorders>
                  <w:vAlign w:val="center"/>
                </w:tcPr>
                <w:p>
                  <w:pPr>
                    <w:spacing w:line="320" w:lineRule="exact"/>
                    <w:jc w:val="center"/>
                    <w:rPr>
                      <w:sz w:val="15"/>
                      <w:szCs w:val="15"/>
                    </w:rPr>
                  </w:pPr>
                  <w:r>
                    <w:rPr>
                      <w:rFonts w:hint="eastAsia"/>
                      <w:sz w:val="15"/>
                      <w:szCs w:val="15"/>
                    </w:rPr>
                    <w:t>脱硫废渣</w:t>
                  </w:r>
                </w:p>
              </w:tc>
              <w:tc>
                <w:tcPr>
                  <w:tcW w:w="855" w:type="dxa"/>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r>
                    <w:rPr>
                      <w:rFonts w:hint="eastAsia" w:ascii="Times New Roman" w:hAnsi="Times New Roman" w:cs="Times New Roman"/>
                      <w:snapToGrid w:val="0"/>
                      <w:kern w:val="21"/>
                      <w:sz w:val="15"/>
                      <w:szCs w:val="15"/>
                    </w:rPr>
                    <w:t>0</w:t>
                  </w:r>
                </w:p>
              </w:tc>
              <w:tc>
                <w:tcPr>
                  <w:tcW w:w="935" w:type="dxa"/>
                  <w:tcBorders>
                    <w:tl2br w:val="nil"/>
                    <w:tr2bl w:val="nil"/>
                  </w:tcBorders>
                  <w:vAlign w:val="center"/>
                </w:tcPr>
                <w:p>
                  <w:pPr>
                    <w:spacing w:line="320" w:lineRule="exact"/>
                    <w:jc w:val="center"/>
                    <w:rPr>
                      <w:sz w:val="15"/>
                      <w:szCs w:val="15"/>
                    </w:rPr>
                  </w:pPr>
                  <w:r>
                    <w:rPr>
                      <w:rFonts w:hint="eastAsia"/>
                      <w:sz w:val="15"/>
                      <w:szCs w:val="15"/>
                    </w:rPr>
                    <w:t>4.2t/a</w:t>
                  </w:r>
                </w:p>
              </w:tc>
              <w:tc>
                <w:tcPr>
                  <w:tcW w:w="967" w:type="dxa"/>
                  <w:tcBorders>
                    <w:tl2br w:val="nil"/>
                    <w:tr2bl w:val="nil"/>
                  </w:tcBorders>
                  <w:vAlign w:val="center"/>
                </w:tcPr>
                <w:p>
                  <w:pPr>
                    <w:spacing w:line="320" w:lineRule="exact"/>
                    <w:jc w:val="center"/>
                    <w:rPr>
                      <w:sz w:val="15"/>
                      <w:szCs w:val="15"/>
                    </w:rPr>
                  </w:pPr>
                  <w:r>
                    <w:rPr>
                      <w:rFonts w:hint="eastAsia"/>
                      <w:sz w:val="15"/>
                      <w:szCs w:val="15"/>
                    </w:rPr>
                    <w:t>4.2t/a</w:t>
                  </w:r>
                </w:p>
              </w:tc>
              <w:tc>
                <w:tcPr>
                  <w:tcW w:w="961" w:type="dxa"/>
                  <w:tcBorders>
                    <w:tl2br w:val="nil"/>
                    <w:tr2bl w:val="nil"/>
                  </w:tcBorders>
                  <w:vAlign w:val="center"/>
                </w:tcPr>
                <w:p>
                  <w:pPr>
                    <w:spacing w:line="320" w:lineRule="exact"/>
                    <w:jc w:val="center"/>
                    <w:rPr>
                      <w:sz w:val="15"/>
                      <w:szCs w:val="15"/>
                    </w:rPr>
                  </w:pPr>
                  <w:r>
                    <w:rPr>
                      <w:rFonts w:hint="eastAsia"/>
                      <w:sz w:val="15"/>
                      <w:szCs w:val="15"/>
                    </w:rPr>
                    <w:t>0</w:t>
                  </w:r>
                </w:p>
              </w:tc>
              <w:tc>
                <w:tcPr>
                  <w:tcW w:w="746" w:type="dxa"/>
                  <w:tcBorders>
                    <w:tl2br w:val="nil"/>
                    <w:tr2bl w:val="nil"/>
                  </w:tcBorders>
                  <w:vAlign w:val="center"/>
                </w:tcPr>
                <w:p>
                  <w:pPr>
                    <w:spacing w:line="320" w:lineRule="exact"/>
                    <w:jc w:val="center"/>
                    <w:rPr>
                      <w:sz w:val="15"/>
                      <w:szCs w:val="15"/>
                    </w:rPr>
                  </w:pPr>
                  <w:r>
                    <w:rPr>
                      <w:rFonts w:hint="eastAsia"/>
                      <w:sz w:val="15"/>
                      <w:szCs w:val="15"/>
                    </w:rPr>
                    <w:t>0</w:t>
                  </w:r>
                </w:p>
              </w:tc>
              <w:tc>
                <w:tcPr>
                  <w:tcW w:w="967" w:type="dxa"/>
                  <w:tcBorders>
                    <w:tl2br w:val="nil"/>
                    <w:tr2bl w:val="nil"/>
                  </w:tcBorders>
                  <w:vAlign w:val="center"/>
                </w:tcPr>
                <w:p>
                  <w:pPr>
                    <w:spacing w:line="320" w:lineRule="exact"/>
                    <w:jc w:val="center"/>
                    <w:rPr>
                      <w:sz w:val="15"/>
                      <w:szCs w:val="15"/>
                    </w:rPr>
                  </w:pPr>
                  <w:r>
                    <w:rPr>
                      <w:rFonts w:hint="eastAsia"/>
                      <w:sz w:val="15"/>
                      <w:szCs w:val="15"/>
                    </w:rPr>
                    <w:t>+1.1t/a</w:t>
                  </w:r>
                </w:p>
              </w:tc>
              <w:tc>
                <w:tcPr>
                  <w:tcW w:w="862" w:type="dxa"/>
                  <w:tcBorders>
                    <w:tl2br w:val="nil"/>
                    <w:tr2bl w:val="nil"/>
                  </w:tcBorders>
                  <w:vAlign w:val="center"/>
                </w:tcPr>
                <w:p>
                  <w:pPr>
                    <w:spacing w:line="320" w:lineRule="exact"/>
                    <w:jc w:val="center"/>
                    <w:rPr>
                      <w:sz w:val="15"/>
                      <w:szCs w:val="15"/>
                    </w:rPr>
                  </w:pPr>
                  <w:r>
                    <w:rPr>
                      <w:rFonts w:hint="eastAsia"/>
                      <w:sz w:val="15"/>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630" w:type="dxa"/>
                  <w:vMerge w:val="continue"/>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p>
              </w:tc>
              <w:tc>
                <w:tcPr>
                  <w:tcW w:w="1072" w:type="dxa"/>
                  <w:tcBorders>
                    <w:tl2br w:val="nil"/>
                    <w:tr2bl w:val="nil"/>
                  </w:tcBorders>
                  <w:vAlign w:val="center"/>
                </w:tcPr>
                <w:p>
                  <w:pPr>
                    <w:spacing w:line="320" w:lineRule="exact"/>
                    <w:jc w:val="center"/>
                    <w:rPr>
                      <w:sz w:val="15"/>
                      <w:szCs w:val="15"/>
                    </w:rPr>
                  </w:pPr>
                  <w:r>
                    <w:rPr>
                      <w:rFonts w:hint="eastAsia"/>
                      <w:sz w:val="15"/>
                      <w:szCs w:val="15"/>
                    </w:rPr>
                    <w:t>收尘灰</w:t>
                  </w:r>
                </w:p>
              </w:tc>
              <w:tc>
                <w:tcPr>
                  <w:tcW w:w="855" w:type="dxa"/>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r>
                    <w:rPr>
                      <w:rFonts w:hint="eastAsia" w:ascii="Times New Roman" w:hAnsi="Times New Roman" w:cs="Times New Roman"/>
                      <w:snapToGrid w:val="0"/>
                      <w:kern w:val="21"/>
                      <w:sz w:val="15"/>
                      <w:szCs w:val="15"/>
                    </w:rPr>
                    <w:t>0</w:t>
                  </w:r>
                </w:p>
              </w:tc>
              <w:tc>
                <w:tcPr>
                  <w:tcW w:w="935" w:type="dxa"/>
                  <w:tcBorders>
                    <w:tl2br w:val="nil"/>
                    <w:tr2bl w:val="nil"/>
                  </w:tcBorders>
                  <w:vAlign w:val="center"/>
                </w:tcPr>
                <w:p>
                  <w:pPr>
                    <w:spacing w:line="320" w:lineRule="exact"/>
                    <w:jc w:val="center"/>
                    <w:rPr>
                      <w:sz w:val="15"/>
                      <w:szCs w:val="15"/>
                    </w:rPr>
                  </w:pPr>
                  <w:r>
                    <w:rPr>
                      <w:rFonts w:hint="eastAsia"/>
                      <w:sz w:val="15"/>
                      <w:szCs w:val="15"/>
                    </w:rPr>
                    <w:t>3.56</w:t>
                  </w:r>
                  <w:r>
                    <w:rPr>
                      <w:rFonts w:hint="eastAsia"/>
                      <w:snapToGrid w:val="0"/>
                      <w:kern w:val="21"/>
                      <w:sz w:val="15"/>
                      <w:szCs w:val="15"/>
                    </w:rPr>
                    <w:t>t/a</w:t>
                  </w:r>
                </w:p>
              </w:tc>
              <w:tc>
                <w:tcPr>
                  <w:tcW w:w="967" w:type="dxa"/>
                  <w:tcBorders>
                    <w:tl2br w:val="nil"/>
                    <w:tr2bl w:val="nil"/>
                  </w:tcBorders>
                  <w:vAlign w:val="center"/>
                </w:tcPr>
                <w:p>
                  <w:pPr>
                    <w:spacing w:line="320" w:lineRule="exact"/>
                    <w:jc w:val="center"/>
                    <w:rPr>
                      <w:sz w:val="15"/>
                      <w:szCs w:val="15"/>
                    </w:rPr>
                  </w:pPr>
                  <w:r>
                    <w:rPr>
                      <w:rFonts w:hint="eastAsia"/>
                      <w:sz w:val="15"/>
                      <w:szCs w:val="15"/>
                    </w:rPr>
                    <w:t>3.56</w:t>
                  </w:r>
                  <w:r>
                    <w:rPr>
                      <w:rFonts w:hint="eastAsia"/>
                      <w:snapToGrid w:val="0"/>
                      <w:kern w:val="21"/>
                      <w:sz w:val="15"/>
                      <w:szCs w:val="15"/>
                    </w:rPr>
                    <w:t>t/a</w:t>
                  </w:r>
                </w:p>
              </w:tc>
              <w:tc>
                <w:tcPr>
                  <w:tcW w:w="961" w:type="dxa"/>
                  <w:tcBorders>
                    <w:tl2br w:val="nil"/>
                    <w:tr2bl w:val="nil"/>
                  </w:tcBorders>
                  <w:vAlign w:val="center"/>
                </w:tcPr>
                <w:p>
                  <w:pPr>
                    <w:spacing w:line="320" w:lineRule="exact"/>
                    <w:jc w:val="center"/>
                    <w:rPr>
                      <w:sz w:val="15"/>
                      <w:szCs w:val="15"/>
                    </w:rPr>
                  </w:pPr>
                  <w:r>
                    <w:rPr>
                      <w:rFonts w:hint="eastAsia"/>
                      <w:sz w:val="15"/>
                      <w:szCs w:val="15"/>
                    </w:rPr>
                    <w:t>0</w:t>
                  </w:r>
                </w:p>
              </w:tc>
              <w:tc>
                <w:tcPr>
                  <w:tcW w:w="746" w:type="dxa"/>
                  <w:tcBorders>
                    <w:tl2br w:val="nil"/>
                    <w:tr2bl w:val="nil"/>
                  </w:tcBorders>
                  <w:vAlign w:val="center"/>
                </w:tcPr>
                <w:p>
                  <w:pPr>
                    <w:spacing w:line="320" w:lineRule="exact"/>
                    <w:jc w:val="center"/>
                    <w:rPr>
                      <w:sz w:val="15"/>
                      <w:szCs w:val="15"/>
                    </w:rPr>
                  </w:pPr>
                  <w:r>
                    <w:rPr>
                      <w:rFonts w:hint="eastAsia"/>
                      <w:sz w:val="15"/>
                      <w:szCs w:val="15"/>
                    </w:rPr>
                    <w:t>0</w:t>
                  </w:r>
                </w:p>
              </w:tc>
              <w:tc>
                <w:tcPr>
                  <w:tcW w:w="967" w:type="dxa"/>
                  <w:tcBorders>
                    <w:tl2br w:val="nil"/>
                    <w:tr2bl w:val="nil"/>
                  </w:tcBorders>
                  <w:vAlign w:val="center"/>
                </w:tcPr>
                <w:p>
                  <w:pPr>
                    <w:spacing w:line="320" w:lineRule="exact"/>
                    <w:jc w:val="center"/>
                    <w:rPr>
                      <w:sz w:val="15"/>
                      <w:szCs w:val="15"/>
                    </w:rPr>
                  </w:pPr>
                  <w:r>
                    <w:rPr>
                      <w:rFonts w:hint="eastAsia"/>
                      <w:sz w:val="15"/>
                      <w:szCs w:val="15"/>
                    </w:rPr>
                    <w:t>0</w:t>
                  </w:r>
                </w:p>
              </w:tc>
              <w:tc>
                <w:tcPr>
                  <w:tcW w:w="862" w:type="dxa"/>
                  <w:tcBorders>
                    <w:tl2br w:val="nil"/>
                    <w:tr2bl w:val="nil"/>
                  </w:tcBorders>
                  <w:vAlign w:val="center"/>
                </w:tcPr>
                <w:p>
                  <w:pPr>
                    <w:spacing w:line="320" w:lineRule="exact"/>
                    <w:jc w:val="center"/>
                    <w:rPr>
                      <w:sz w:val="15"/>
                      <w:szCs w:val="15"/>
                    </w:rPr>
                  </w:pPr>
                  <w:r>
                    <w:rPr>
                      <w:rFonts w:hint="eastAsia"/>
                      <w:sz w:val="15"/>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630" w:type="dxa"/>
                  <w:vMerge w:val="continue"/>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p>
              </w:tc>
              <w:tc>
                <w:tcPr>
                  <w:tcW w:w="1072" w:type="dxa"/>
                  <w:tcBorders>
                    <w:tl2br w:val="nil"/>
                    <w:tr2bl w:val="nil"/>
                  </w:tcBorders>
                  <w:vAlign w:val="center"/>
                </w:tcPr>
                <w:p>
                  <w:pPr>
                    <w:spacing w:line="320" w:lineRule="exact"/>
                    <w:jc w:val="center"/>
                    <w:rPr>
                      <w:sz w:val="15"/>
                      <w:szCs w:val="15"/>
                    </w:rPr>
                  </w:pPr>
                  <w:r>
                    <w:rPr>
                      <w:rFonts w:hint="eastAsia"/>
                      <w:sz w:val="15"/>
                      <w:szCs w:val="15"/>
                    </w:rPr>
                    <w:t>煤渣</w:t>
                  </w:r>
                </w:p>
              </w:tc>
              <w:tc>
                <w:tcPr>
                  <w:tcW w:w="855" w:type="dxa"/>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r>
                    <w:rPr>
                      <w:rFonts w:hint="eastAsia" w:ascii="Times New Roman" w:hAnsi="Times New Roman" w:cs="Times New Roman"/>
                      <w:snapToGrid w:val="0"/>
                      <w:kern w:val="21"/>
                      <w:sz w:val="15"/>
                      <w:szCs w:val="15"/>
                    </w:rPr>
                    <w:t>0</w:t>
                  </w:r>
                </w:p>
              </w:tc>
              <w:tc>
                <w:tcPr>
                  <w:tcW w:w="935" w:type="dxa"/>
                  <w:tcBorders>
                    <w:tl2br w:val="nil"/>
                    <w:tr2bl w:val="nil"/>
                  </w:tcBorders>
                  <w:vAlign w:val="center"/>
                </w:tcPr>
                <w:p>
                  <w:pPr>
                    <w:spacing w:line="320" w:lineRule="exact"/>
                    <w:jc w:val="center"/>
                    <w:rPr>
                      <w:sz w:val="15"/>
                      <w:szCs w:val="15"/>
                    </w:rPr>
                  </w:pPr>
                  <w:r>
                    <w:rPr>
                      <w:rFonts w:hint="eastAsia"/>
                      <w:sz w:val="15"/>
                      <w:szCs w:val="15"/>
                    </w:rPr>
                    <w:t>1.0</w:t>
                  </w:r>
                  <w:r>
                    <w:rPr>
                      <w:rFonts w:hint="eastAsia"/>
                      <w:snapToGrid w:val="0"/>
                      <w:kern w:val="21"/>
                      <w:sz w:val="15"/>
                      <w:szCs w:val="15"/>
                    </w:rPr>
                    <w:t>t/a</w:t>
                  </w:r>
                </w:p>
              </w:tc>
              <w:tc>
                <w:tcPr>
                  <w:tcW w:w="967" w:type="dxa"/>
                  <w:tcBorders>
                    <w:tl2br w:val="nil"/>
                    <w:tr2bl w:val="nil"/>
                  </w:tcBorders>
                  <w:vAlign w:val="center"/>
                </w:tcPr>
                <w:p>
                  <w:pPr>
                    <w:spacing w:line="320" w:lineRule="exact"/>
                    <w:jc w:val="center"/>
                    <w:rPr>
                      <w:sz w:val="15"/>
                      <w:szCs w:val="15"/>
                    </w:rPr>
                  </w:pPr>
                  <w:r>
                    <w:rPr>
                      <w:rFonts w:hint="eastAsia"/>
                      <w:sz w:val="15"/>
                      <w:szCs w:val="15"/>
                    </w:rPr>
                    <w:t>1.0</w:t>
                  </w:r>
                  <w:r>
                    <w:rPr>
                      <w:rFonts w:hint="eastAsia"/>
                      <w:snapToGrid w:val="0"/>
                      <w:kern w:val="21"/>
                      <w:sz w:val="15"/>
                      <w:szCs w:val="15"/>
                    </w:rPr>
                    <w:t>t/a</w:t>
                  </w:r>
                </w:p>
              </w:tc>
              <w:tc>
                <w:tcPr>
                  <w:tcW w:w="961" w:type="dxa"/>
                  <w:tcBorders>
                    <w:tl2br w:val="nil"/>
                    <w:tr2bl w:val="nil"/>
                  </w:tcBorders>
                  <w:vAlign w:val="center"/>
                </w:tcPr>
                <w:p>
                  <w:pPr>
                    <w:spacing w:line="320" w:lineRule="exact"/>
                    <w:jc w:val="center"/>
                    <w:rPr>
                      <w:sz w:val="15"/>
                      <w:szCs w:val="15"/>
                    </w:rPr>
                  </w:pPr>
                  <w:r>
                    <w:rPr>
                      <w:rFonts w:hint="eastAsia"/>
                      <w:sz w:val="15"/>
                      <w:szCs w:val="15"/>
                    </w:rPr>
                    <w:t>0</w:t>
                  </w:r>
                </w:p>
              </w:tc>
              <w:tc>
                <w:tcPr>
                  <w:tcW w:w="746" w:type="dxa"/>
                  <w:tcBorders>
                    <w:tl2br w:val="nil"/>
                    <w:tr2bl w:val="nil"/>
                  </w:tcBorders>
                  <w:vAlign w:val="center"/>
                </w:tcPr>
                <w:p>
                  <w:pPr>
                    <w:spacing w:line="320" w:lineRule="exact"/>
                    <w:jc w:val="center"/>
                    <w:rPr>
                      <w:sz w:val="15"/>
                      <w:szCs w:val="15"/>
                    </w:rPr>
                  </w:pPr>
                  <w:r>
                    <w:rPr>
                      <w:rFonts w:hint="eastAsia"/>
                      <w:sz w:val="15"/>
                      <w:szCs w:val="15"/>
                    </w:rPr>
                    <w:t>0</w:t>
                  </w:r>
                </w:p>
              </w:tc>
              <w:tc>
                <w:tcPr>
                  <w:tcW w:w="967" w:type="dxa"/>
                  <w:tcBorders>
                    <w:tl2br w:val="nil"/>
                    <w:tr2bl w:val="nil"/>
                  </w:tcBorders>
                  <w:vAlign w:val="center"/>
                </w:tcPr>
                <w:p>
                  <w:pPr>
                    <w:spacing w:line="320" w:lineRule="exact"/>
                    <w:jc w:val="center"/>
                    <w:rPr>
                      <w:sz w:val="15"/>
                      <w:szCs w:val="15"/>
                    </w:rPr>
                  </w:pPr>
                  <w:r>
                    <w:rPr>
                      <w:rFonts w:hint="eastAsia"/>
                      <w:sz w:val="15"/>
                      <w:szCs w:val="15"/>
                    </w:rPr>
                    <w:t>+1.0t/a</w:t>
                  </w:r>
                </w:p>
              </w:tc>
              <w:tc>
                <w:tcPr>
                  <w:tcW w:w="862" w:type="dxa"/>
                  <w:tcBorders>
                    <w:tl2br w:val="nil"/>
                    <w:tr2bl w:val="nil"/>
                  </w:tcBorders>
                  <w:vAlign w:val="center"/>
                </w:tcPr>
                <w:p>
                  <w:pPr>
                    <w:spacing w:line="320" w:lineRule="exact"/>
                    <w:jc w:val="center"/>
                    <w:rPr>
                      <w:sz w:val="15"/>
                      <w:szCs w:val="15"/>
                    </w:rPr>
                  </w:pPr>
                  <w:r>
                    <w:rPr>
                      <w:rFonts w:hint="eastAsia"/>
                      <w:sz w:val="15"/>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630" w:type="dxa"/>
                  <w:vMerge w:val="continue"/>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p>
              </w:tc>
              <w:tc>
                <w:tcPr>
                  <w:tcW w:w="1072" w:type="dxa"/>
                  <w:tcBorders>
                    <w:tl2br w:val="nil"/>
                    <w:tr2bl w:val="nil"/>
                  </w:tcBorders>
                  <w:vAlign w:val="center"/>
                </w:tcPr>
                <w:p>
                  <w:pPr>
                    <w:spacing w:line="320" w:lineRule="exact"/>
                    <w:jc w:val="center"/>
                    <w:rPr>
                      <w:sz w:val="15"/>
                      <w:szCs w:val="15"/>
                    </w:rPr>
                  </w:pPr>
                  <w:r>
                    <w:rPr>
                      <w:rFonts w:hint="eastAsia"/>
                      <w:sz w:val="15"/>
                      <w:szCs w:val="15"/>
                    </w:rPr>
                    <w:t>废油桶</w:t>
                  </w:r>
                </w:p>
              </w:tc>
              <w:tc>
                <w:tcPr>
                  <w:tcW w:w="855" w:type="dxa"/>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r>
                    <w:rPr>
                      <w:rFonts w:hint="eastAsia" w:ascii="Times New Roman" w:hAnsi="Times New Roman" w:cs="Times New Roman"/>
                      <w:snapToGrid w:val="0"/>
                      <w:kern w:val="21"/>
                      <w:sz w:val="15"/>
                      <w:szCs w:val="15"/>
                    </w:rPr>
                    <w:t>0</w:t>
                  </w:r>
                </w:p>
              </w:tc>
              <w:tc>
                <w:tcPr>
                  <w:tcW w:w="935" w:type="dxa"/>
                  <w:tcBorders>
                    <w:tl2br w:val="nil"/>
                    <w:tr2bl w:val="nil"/>
                  </w:tcBorders>
                  <w:vAlign w:val="center"/>
                </w:tcPr>
                <w:p>
                  <w:pPr>
                    <w:adjustRightInd w:val="0"/>
                    <w:spacing w:line="320" w:lineRule="exact"/>
                    <w:jc w:val="center"/>
                    <w:rPr>
                      <w:sz w:val="15"/>
                      <w:szCs w:val="15"/>
                    </w:rPr>
                  </w:pPr>
                  <w:r>
                    <w:rPr>
                      <w:rFonts w:hint="eastAsia"/>
                      <w:snapToGrid w:val="0"/>
                      <w:kern w:val="21"/>
                      <w:sz w:val="15"/>
                      <w:szCs w:val="15"/>
                    </w:rPr>
                    <w:t>0.5t/a</w:t>
                  </w:r>
                </w:p>
              </w:tc>
              <w:tc>
                <w:tcPr>
                  <w:tcW w:w="967" w:type="dxa"/>
                  <w:tcBorders>
                    <w:tl2br w:val="nil"/>
                    <w:tr2bl w:val="nil"/>
                  </w:tcBorders>
                  <w:vAlign w:val="center"/>
                </w:tcPr>
                <w:p>
                  <w:pPr>
                    <w:adjustRightInd w:val="0"/>
                    <w:spacing w:line="320" w:lineRule="exact"/>
                    <w:jc w:val="center"/>
                    <w:rPr>
                      <w:sz w:val="15"/>
                      <w:szCs w:val="15"/>
                    </w:rPr>
                  </w:pPr>
                  <w:r>
                    <w:rPr>
                      <w:rFonts w:hint="eastAsia"/>
                      <w:snapToGrid w:val="0"/>
                      <w:kern w:val="21"/>
                      <w:sz w:val="15"/>
                      <w:szCs w:val="15"/>
                    </w:rPr>
                    <w:t>0.5t/a</w:t>
                  </w:r>
                </w:p>
              </w:tc>
              <w:tc>
                <w:tcPr>
                  <w:tcW w:w="961" w:type="dxa"/>
                  <w:tcBorders>
                    <w:tl2br w:val="nil"/>
                    <w:tr2bl w:val="nil"/>
                  </w:tcBorders>
                  <w:vAlign w:val="center"/>
                </w:tcPr>
                <w:p>
                  <w:pPr>
                    <w:adjustRightInd w:val="0"/>
                    <w:spacing w:line="320" w:lineRule="exact"/>
                    <w:jc w:val="center"/>
                    <w:rPr>
                      <w:sz w:val="15"/>
                      <w:szCs w:val="15"/>
                    </w:rPr>
                  </w:pPr>
                  <w:r>
                    <w:rPr>
                      <w:rFonts w:hint="eastAsia"/>
                      <w:sz w:val="15"/>
                      <w:szCs w:val="15"/>
                    </w:rPr>
                    <w:t>0</w:t>
                  </w:r>
                </w:p>
              </w:tc>
              <w:tc>
                <w:tcPr>
                  <w:tcW w:w="746" w:type="dxa"/>
                  <w:tcBorders>
                    <w:tl2br w:val="nil"/>
                    <w:tr2bl w:val="nil"/>
                  </w:tcBorders>
                  <w:vAlign w:val="center"/>
                </w:tcPr>
                <w:p>
                  <w:pPr>
                    <w:adjustRightInd w:val="0"/>
                    <w:spacing w:line="320" w:lineRule="exact"/>
                    <w:jc w:val="center"/>
                    <w:rPr>
                      <w:sz w:val="15"/>
                      <w:szCs w:val="15"/>
                    </w:rPr>
                  </w:pPr>
                  <w:r>
                    <w:rPr>
                      <w:rFonts w:hint="eastAsia"/>
                      <w:sz w:val="15"/>
                      <w:szCs w:val="15"/>
                    </w:rPr>
                    <w:t>0</w:t>
                  </w:r>
                </w:p>
              </w:tc>
              <w:tc>
                <w:tcPr>
                  <w:tcW w:w="967" w:type="dxa"/>
                  <w:tcBorders>
                    <w:tl2br w:val="nil"/>
                    <w:tr2bl w:val="nil"/>
                  </w:tcBorders>
                  <w:vAlign w:val="center"/>
                </w:tcPr>
                <w:p>
                  <w:pPr>
                    <w:pStyle w:val="32"/>
                    <w:spacing w:before="24" w:line="320" w:lineRule="exact"/>
                    <w:rPr>
                      <w:rFonts w:ascii="Times New Roman" w:hAnsi="Times New Roman" w:cs="Times New Roman"/>
                      <w:snapToGrid w:val="0"/>
                      <w:kern w:val="21"/>
                      <w:sz w:val="15"/>
                      <w:szCs w:val="15"/>
                    </w:rPr>
                  </w:pPr>
                  <w:r>
                    <w:rPr>
                      <w:rFonts w:hint="eastAsia" w:ascii="Times New Roman" w:hAnsi="Times New Roman" w:cs="Times New Roman"/>
                      <w:snapToGrid w:val="0"/>
                      <w:kern w:val="21"/>
                      <w:sz w:val="15"/>
                      <w:szCs w:val="15"/>
                    </w:rPr>
                    <w:t>0</w:t>
                  </w:r>
                </w:p>
              </w:tc>
              <w:tc>
                <w:tcPr>
                  <w:tcW w:w="862" w:type="dxa"/>
                  <w:tcBorders>
                    <w:tl2br w:val="nil"/>
                    <w:tr2bl w:val="nil"/>
                  </w:tcBorders>
                  <w:vAlign w:val="center"/>
                </w:tcPr>
                <w:p>
                  <w:pPr>
                    <w:adjustRightInd w:val="0"/>
                    <w:spacing w:line="320" w:lineRule="exact"/>
                    <w:jc w:val="center"/>
                    <w:rPr>
                      <w:sz w:val="15"/>
                      <w:szCs w:val="15"/>
                    </w:rPr>
                  </w:pPr>
                  <w:r>
                    <w:rPr>
                      <w:rFonts w:hint="eastAsia"/>
                      <w:sz w:val="15"/>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630" w:type="dxa"/>
                  <w:vMerge w:val="continue"/>
                  <w:tcBorders>
                    <w:tl2br w:val="nil"/>
                    <w:tr2bl w:val="nil"/>
                  </w:tcBorders>
                  <w:vAlign w:val="center"/>
                </w:tcPr>
                <w:p>
                  <w:pPr>
                    <w:pStyle w:val="32"/>
                    <w:spacing w:beforeLines="0" w:line="320" w:lineRule="exact"/>
                    <w:rPr>
                      <w:rFonts w:ascii="Times New Roman" w:hAnsi="Times New Roman" w:cs="Times New Roman"/>
                      <w:snapToGrid w:val="0"/>
                      <w:kern w:val="21"/>
                      <w:sz w:val="15"/>
                      <w:szCs w:val="15"/>
                    </w:rPr>
                  </w:pPr>
                </w:p>
              </w:tc>
              <w:tc>
                <w:tcPr>
                  <w:tcW w:w="1072" w:type="dxa"/>
                  <w:tcBorders>
                    <w:tl2br w:val="nil"/>
                    <w:tr2bl w:val="nil"/>
                  </w:tcBorders>
                </w:tcPr>
                <w:p>
                  <w:pPr>
                    <w:spacing w:line="320" w:lineRule="exact"/>
                    <w:jc w:val="center"/>
                    <w:rPr>
                      <w:sz w:val="15"/>
                      <w:szCs w:val="15"/>
                    </w:rPr>
                  </w:pPr>
                  <w:r>
                    <w:rPr>
                      <w:rFonts w:hint="eastAsia"/>
                      <w:sz w:val="15"/>
                      <w:szCs w:val="15"/>
                    </w:rPr>
                    <w:t>废矿物油</w:t>
                  </w:r>
                </w:p>
              </w:tc>
              <w:tc>
                <w:tcPr>
                  <w:tcW w:w="855" w:type="dxa"/>
                  <w:tcBorders>
                    <w:tl2br w:val="nil"/>
                    <w:tr2bl w:val="nil"/>
                  </w:tcBorders>
                  <w:vAlign w:val="center"/>
                </w:tcPr>
                <w:p>
                  <w:pPr>
                    <w:adjustRightInd w:val="0"/>
                    <w:spacing w:line="320" w:lineRule="exact"/>
                    <w:jc w:val="center"/>
                    <w:rPr>
                      <w:sz w:val="15"/>
                      <w:szCs w:val="15"/>
                    </w:rPr>
                  </w:pPr>
                  <w:r>
                    <w:rPr>
                      <w:rFonts w:hint="eastAsia"/>
                      <w:sz w:val="15"/>
                      <w:szCs w:val="15"/>
                    </w:rPr>
                    <w:t>0</w:t>
                  </w:r>
                </w:p>
              </w:tc>
              <w:tc>
                <w:tcPr>
                  <w:tcW w:w="935" w:type="dxa"/>
                  <w:tcBorders>
                    <w:tl2br w:val="nil"/>
                    <w:tr2bl w:val="nil"/>
                  </w:tcBorders>
                  <w:vAlign w:val="center"/>
                </w:tcPr>
                <w:p>
                  <w:pPr>
                    <w:adjustRightInd w:val="0"/>
                    <w:spacing w:line="320" w:lineRule="exact"/>
                    <w:jc w:val="center"/>
                    <w:rPr>
                      <w:sz w:val="15"/>
                      <w:szCs w:val="15"/>
                    </w:rPr>
                  </w:pPr>
                  <w:r>
                    <w:rPr>
                      <w:rFonts w:hint="eastAsia"/>
                      <w:snapToGrid w:val="0"/>
                      <w:kern w:val="21"/>
                      <w:sz w:val="15"/>
                      <w:szCs w:val="15"/>
                    </w:rPr>
                    <w:t>0.1t/a</w:t>
                  </w:r>
                </w:p>
              </w:tc>
              <w:tc>
                <w:tcPr>
                  <w:tcW w:w="967" w:type="dxa"/>
                  <w:tcBorders>
                    <w:tl2br w:val="nil"/>
                    <w:tr2bl w:val="nil"/>
                  </w:tcBorders>
                  <w:vAlign w:val="center"/>
                </w:tcPr>
                <w:p>
                  <w:pPr>
                    <w:adjustRightInd w:val="0"/>
                    <w:spacing w:line="320" w:lineRule="exact"/>
                    <w:jc w:val="center"/>
                    <w:rPr>
                      <w:sz w:val="15"/>
                      <w:szCs w:val="15"/>
                    </w:rPr>
                  </w:pPr>
                  <w:r>
                    <w:rPr>
                      <w:rFonts w:hint="eastAsia"/>
                      <w:snapToGrid w:val="0"/>
                      <w:kern w:val="21"/>
                      <w:sz w:val="15"/>
                      <w:szCs w:val="15"/>
                    </w:rPr>
                    <w:t>0.1t/a</w:t>
                  </w:r>
                </w:p>
              </w:tc>
              <w:tc>
                <w:tcPr>
                  <w:tcW w:w="961" w:type="dxa"/>
                  <w:tcBorders>
                    <w:tl2br w:val="nil"/>
                    <w:tr2bl w:val="nil"/>
                  </w:tcBorders>
                  <w:vAlign w:val="center"/>
                </w:tcPr>
                <w:p>
                  <w:pPr>
                    <w:adjustRightInd w:val="0"/>
                    <w:spacing w:line="320" w:lineRule="exact"/>
                    <w:jc w:val="center"/>
                    <w:rPr>
                      <w:sz w:val="15"/>
                      <w:szCs w:val="15"/>
                    </w:rPr>
                  </w:pPr>
                  <w:r>
                    <w:rPr>
                      <w:rFonts w:hint="eastAsia"/>
                      <w:sz w:val="15"/>
                      <w:szCs w:val="15"/>
                    </w:rPr>
                    <w:t>0</w:t>
                  </w:r>
                </w:p>
              </w:tc>
              <w:tc>
                <w:tcPr>
                  <w:tcW w:w="746" w:type="dxa"/>
                  <w:tcBorders>
                    <w:tl2br w:val="nil"/>
                    <w:tr2bl w:val="nil"/>
                  </w:tcBorders>
                  <w:vAlign w:val="center"/>
                </w:tcPr>
                <w:p>
                  <w:pPr>
                    <w:adjustRightInd w:val="0"/>
                    <w:spacing w:line="320" w:lineRule="exact"/>
                    <w:jc w:val="center"/>
                    <w:rPr>
                      <w:sz w:val="15"/>
                      <w:szCs w:val="15"/>
                    </w:rPr>
                  </w:pPr>
                  <w:r>
                    <w:rPr>
                      <w:rFonts w:hint="eastAsia"/>
                      <w:sz w:val="15"/>
                      <w:szCs w:val="15"/>
                    </w:rPr>
                    <w:t>0</w:t>
                  </w:r>
                </w:p>
              </w:tc>
              <w:tc>
                <w:tcPr>
                  <w:tcW w:w="967" w:type="dxa"/>
                  <w:tcBorders>
                    <w:tl2br w:val="nil"/>
                    <w:tr2bl w:val="nil"/>
                  </w:tcBorders>
                  <w:vAlign w:val="center"/>
                </w:tcPr>
                <w:p>
                  <w:pPr>
                    <w:pStyle w:val="32"/>
                    <w:spacing w:before="24" w:line="320" w:lineRule="exact"/>
                    <w:rPr>
                      <w:rFonts w:ascii="Times New Roman" w:hAnsi="Times New Roman" w:cs="Times New Roman"/>
                      <w:snapToGrid w:val="0"/>
                      <w:kern w:val="21"/>
                      <w:sz w:val="15"/>
                      <w:szCs w:val="15"/>
                    </w:rPr>
                  </w:pPr>
                  <w:r>
                    <w:rPr>
                      <w:rFonts w:hint="eastAsia" w:ascii="Times New Roman" w:hAnsi="Times New Roman" w:cs="Times New Roman"/>
                      <w:snapToGrid w:val="0"/>
                      <w:kern w:val="21"/>
                      <w:sz w:val="15"/>
                      <w:szCs w:val="15"/>
                    </w:rPr>
                    <w:t>0</w:t>
                  </w:r>
                </w:p>
              </w:tc>
              <w:tc>
                <w:tcPr>
                  <w:tcW w:w="862" w:type="dxa"/>
                  <w:tcBorders>
                    <w:tl2br w:val="nil"/>
                    <w:tr2bl w:val="nil"/>
                  </w:tcBorders>
                  <w:vAlign w:val="center"/>
                </w:tcPr>
                <w:p>
                  <w:pPr>
                    <w:adjustRightInd w:val="0"/>
                    <w:spacing w:line="320" w:lineRule="exact"/>
                    <w:jc w:val="center"/>
                    <w:rPr>
                      <w:sz w:val="15"/>
                      <w:szCs w:val="15"/>
                    </w:rPr>
                  </w:pPr>
                  <w:r>
                    <w:rPr>
                      <w:rFonts w:hint="eastAsia"/>
                      <w:sz w:val="15"/>
                      <w:szCs w:val="15"/>
                    </w:rPr>
                    <w:t>0</w:t>
                  </w:r>
                </w:p>
              </w:tc>
            </w:tr>
          </w:tbl>
          <w:p>
            <w:pPr>
              <w:adjustRightInd w:val="0"/>
              <w:snapToGrid w:val="0"/>
              <w:spacing w:line="300" w:lineRule="exact"/>
              <w:ind w:firstLine="320" w:firstLineChars="200"/>
              <w:jc w:val="left"/>
              <w:rPr>
                <w:kern w:val="0"/>
                <w:sz w:val="16"/>
                <w:szCs w:val="20"/>
              </w:rPr>
            </w:pPr>
            <w:r>
              <w:rPr>
                <w:rFonts w:hint="eastAsia"/>
                <w:kern w:val="0"/>
                <w:sz w:val="16"/>
                <w:szCs w:val="20"/>
              </w:rPr>
              <w:t>注：表中“+”表示增加，“—”表示减少。</w:t>
            </w:r>
          </w:p>
          <w:p>
            <w:pPr>
              <w:adjustRightInd w:val="0"/>
              <w:snapToGrid w:val="0"/>
              <w:spacing w:line="400" w:lineRule="exact"/>
              <w:jc w:val="left"/>
              <w:rPr>
                <w:rFonts w:eastAsia="黑体"/>
                <w:bCs/>
                <w:sz w:val="22"/>
                <w:szCs w:val="22"/>
              </w:rPr>
            </w:pPr>
            <w:r>
              <w:rPr>
                <w:rFonts w:hint="eastAsia" w:eastAsia="黑体"/>
                <w:bCs/>
                <w:sz w:val="22"/>
                <w:szCs w:val="22"/>
              </w:rPr>
              <w:t>8</w:t>
            </w:r>
            <w:r>
              <w:rPr>
                <w:rFonts w:hint="eastAsia" w:eastAsia="黑体" w:cs="黑体"/>
                <w:bCs/>
                <w:sz w:val="22"/>
                <w:szCs w:val="22"/>
              </w:rPr>
              <w:t>、工程项目环保投资估算</w:t>
            </w:r>
          </w:p>
          <w:p>
            <w:pPr>
              <w:autoSpaceDE w:val="0"/>
              <w:autoSpaceDN w:val="0"/>
              <w:adjustRightInd w:val="0"/>
              <w:spacing w:line="400" w:lineRule="exact"/>
              <w:ind w:firstLine="420" w:firstLineChars="200"/>
              <w:rPr>
                <w:kern w:val="0"/>
              </w:rPr>
            </w:pPr>
            <w:r>
              <w:rPr>
                <w:rFonts w:hint="eastAsia"/>
                <w:kern w:val="0"/>
              </w:rPr>
              <w:t>项目本次技改总投资为120万元，根据环保治理措施估算，新增环保投资为43.00万元，占技改总投资的35.8%。处理措施和处理效果从总体上看，能满足环保要求，可有效降低由于工程的建设所带来的环境污染和生态影响，经济合理、技术可行。</w:t>
            </w:r>
          </w:p>
          <w:p>
            <w:pPr>
              <w:autoSpaceDE w:val="0"/>
              <w:autoSpaceDN w:val="0"/>
              <w:adjustRightInd w:val="0"/>
              <w:spacing w:line="400" w:lineRule="exact"/>
              <w:ind w:firstLine="420" w:firstLineChars="200"/>
              <w:rPr>
                <w:kern w:val="0"/>
              </w:rPr>
            </w:pPr>
            <w:r>
              <w:rPr>
                <w:rFonts w:hint="eastAsia"/>
                <w:kern w:val="0"/>
              </w:rPr>
              <w:t>本项目的环保投资估算见下表。</w:t>
            </w:r>
          </w:p>
          <w:p>
            <w:pPr>
              <w:spacing w:line="400" w:lineRule="exact"/>
              <w:ind w:left="-53" w:leftChars="-25" w:right="-53" w:rightChars="-25"/>
              <w:jc w:val="center"/>
              <w:rPr>
                <w:rFonts w:eastAsia="黑体"/>
                <w:sz w:val="18"/>
                <w:szCs w:val="18"/>
              </w:rPr>
            </w:pPr>
            <w:r>
              <w:rPr>
                <w:rFonts w:hint="eastAsia" w:ascii="黑体" w:hAnsi="宋体" w:eastAsia="黑体" w:cs="黑体"/>
                <w:sz w:val="18"/>
                <w:szCs w:val="18"/>
              </w:rPr>
              <w:t>表4-9    环保投资估算一览表</w:t>
            </w:r>
          </w:p>
          <w:tbl>
            <w:tblPr>
              <w:tblStyle w:val="20"/>
              <w:tblW w:w="78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5557"/>
              <w:gridCol w:w="858"/>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707" w:type="dxa"/>
                  <w:tcBorders>
                    <w:top w:val="single" w:color="auto" w:sz="4" w:space="0"/>
                    <w:left w:val="single" w:color="auto" w:sz="4" w:space="0"/>
                    <w:right w:val="single" w:color="auto" w:sz="4" w:space="0"/>
                  </w:tcBorders>
                  <w:shd w:val="clear" w:color="auto" w:fill="auto"/>
                  <w:vAlign w:val="center"/>
                </w:tcPr>
                <w:p>
                  <w:pPr>
                    <w:spacing w:line="260" w:lineRule="exact"/>
                    <w:ind w:left="-53" w:leftChars="-25" w:right="-53" w:rightChars="-25"/>
                    <w:jc w:val="center"/>
                    <w:rPr>
                      <w:bCs/>
                      <w:sz w:val="18"/>
                      <w:szCs w:val="18"/>
                    </w:rPr>
                  </w:pPr>
                  <w:r>
                    <w:rPr>
                      <w:rFonts w:hint="eastAsia" w:cs="宋体"/>
                      <w:bCs/>
                      <w:sz w:val="18"/>
                      <w:szCs w:val="18"/>
                    </w:rPr>
                    <w:t>项目</w:t>
                  </w:r>
                </w:p>
              </w:tc>
              <w:tc>
                <w:tcPr>
                  <w:tcW w:w="5557" w:type="dxa"/>
                  <w:tcBorders>
                    <w:top w:val="single" w:color="auto" w:sz="4" w:space="0"/>
                    <w:left w:val="nil"/>
                    <w:right w:val="single" w:color="auto" w:sz="4" w:space="0"/>
                  </w:tcBorders>
                  <w:shd w:val="clear" w:color="auto" w:fill="auto"/>
                  <w:vAlign w:val="center"/>
                </w:tcPr>
                <w:p>
                  <w:pPr>
                    <w:spacing w:line="260" w:lineRule="exact"/>
                    <w:ind w:left="-53" w:leftChars="-25" w:right="-53" w:rightChars="-25"/>
                    <w:jc w:val="center"/>
                    <w:rPr>
                      <w:bCs/>
                      <w:sz w:val="18"/>
                      <w:szCs w:val="18"/>
                    </w:rPr>
                  </w:pPr>
                  <w:r>
                    <w:rPr>
                      <w:rFonts w:hint="eastAsia" w:cs="宋体"/>
                      <w:bCs/>
                      <w:sz w:val="18"/>
                      <w:szCs w:val="18"/>
                    </w:rPr>
                    <w:t>环保设施（措施）内容</w:t>
                  </w:r>
                </w:p>
              </w:tc>
              <w:tc>
                <w:tcPr>
                  <w:tcW w:w="858" w:type="dxa"/>
                  <w:tcBorders>
                    <w:top w:val="single" w:color="auto" w:sz="4" w:space="0"/>
                    <w:left w:val="nil"/>
                    <w:right w:val="single" w:color="auto" w:sz="4" w:space="0"/>
                  </w:tcBorders>
                  <w:shd w:val="clear" w:color="auto" w:fill="auto"/>
                  <w:vAlign w:val="center"/>
                </w:tcPr>
                <w:p>
                  <w:pPr>
                    <w:spacing w:line="260" w:lineRule="exact"/>
                    <w:ind w:left="-53" w:leftChars="-25" w:right="-53" w:rightChars="-25"/>
                    <w:jc w:val="center"/>
                    <w:rPr>
                      <w:rFonts w:cs="宋体"/>
                      <w:bCs/>
                      <w:sz w:val="18"/>
                      <w:szCs w:val="18"/>
                    </w:rPr>
                  </w:pPr>
                  <w:r>
                    <w:rPr>
                      <w:rFonts w:hint="eastAsia" w:cs="宋体"/>
                      <w:bCs/>
                      <w:sz w:val="18"/>
                      <w:szCs w:val="18"/>
                    </w:rPr>
                    <w:t>投资</w:t>
                  </w:r>
                </w:p>
                <w:p>
                  <w:pPr>
                    <w:spacing w:line="260" w:lineRule="exact"/>
                    <w:ind w:left="-53" w:leftChars="-25" w:right="-53" w:rightChars="-25"/>
                    <w:jc w:val="center"/>
                    <w:rPr>
                      <w:bCs/>
                      <w:sz w:val="18"/>
                      <w:szCs w:val="18"/>
                    </w:rPr>
                  </w:pPr>
                  <w:r>
                    <w:rPr>
                      <w:rFonts w:hint="eastAsia" w:cs="宋体"/>
                      <w:bCs/>
                      <w:sz w:val="18"/>
                      <w:szCs w:val="18"/>
                    </w:rPr>
                    <w:t>（万元）</w:t>
                  </w:r>
                </w:p>
              </w:tc>
              <w:tc>
                <w:tcPr>
                  <w:tcW w:w="774" w:type="dxa"/>
                  <w:tcBorders>
                    <w:top w:val="single" w:color="auto" w:sz="4" w:space="0"/>
                    <w:left w:val="nil"/>
                    <w:right w:val="single" w:color="auto" w:sz="4" w:space="0"/>
                  </w:tcBorders>
                  <w:shd w:val="clear" w:color="auto" w:fill="auto"/>
                  <w:vAlign w:val="center"/>
                </w:tcPr>
                <w:p>
                  <w:pPr>
                    <w:spacing w:line="260" w:lineRule="exact"/>
                    <w:ind w:left="-53" w:leftChars="-25" w:right="-53" w:rightChars="-25"/>
                    <w:jc w:val="center"/>
                    <w:rPr>
                      <w:bCs/>
                      <w:sz w:val="18"/>
                      <w:szCs w:val="18"/>
                    </w:rPr>
                  </w:pPr>
                  <w:r>
                    <w:rPr>
                      <w:rFonts w:hint="eastAsia" w:cs="宋体"/>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707" w:type="dxa"/>
                  <w:vMerge w:val="restart"/>
                  <w:tcBorders>
                    <w:top w:val="nil"/>
                    <w:left w:val="single" w:color="auto" w:sz="4" w:space="0"/>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bookmarkStart w:id="4" w:name="_Hlk458068448"/>
                  <w:r>
                    <w:rPr>
                      <w:rFonts w:hint="eastAsia" w:cs="宋体"/>
                      <w:sz w:val="18"/>
                      <w:szCs w:val="18"/>
                    </w:rPr>
                    <w:t>废气</w:t>
                  </w:r>
                  <w:bookmarkEnd w:id="4"/>
                </w:p>
                <w:p>
                  <w:pPr>
                    <w:spacing w:line="260" w:lineRule="exact"/>
                    <w:ind w:left="-53" w:leftChars="-25" w:right="-53" w:rightChars="-25"/>
                    <w:jc w:val="center"/>
                    <w:rPr>
                      <w:sz w:val="18"/>
                      <w:szCs w:val="18"/>
                    </w:rPr>
                  </w:pPr>
                  <w:r>
                    <w:rPr>
                      <w:rFonts w:hint="eastAsia" w:cs="宋体"/>
                      <w:sz w:val="18"/>
                      <w:szCs w:val="18"/>
                    </w:rPr>
                    <w:t>处理</w:t>
                  </w:r>
                </w:p>
              </w:tc>
              <w:tc>
                <w:tcPr>
                  <w:tcW w:w="5557"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260" w:lineRule="exact"/>
                    <w:ind w:left="-53" w:leftChars="-25" w:right="-53" w:rightChars="-25"/>
                    <w:jc w:val="left"/>
                    <w:rPr>
                      <w:kern w:val="0"/>
                      <w:sz w:val="18"/>
                      <w:szCs w:val="18"/>
                    </w:rPr>
                  </w:pPr>
                  <w:r>
                    <w:rPr>
                      <w:kern w:val="0"/>
                      <w:sz w:val="18"/>
                      <w:szCs w:val="18"/>
                    </w:rPr>
                    <w:t>施工期粉尘采取建筑</w:t>
                  </w:r>
                  <w:r>
                    <w:rPr>
                      <w:rFonts w:hint="eastAsia" w:ascii="宋体" w:hAnsi="宋体" w:cs="宋体"/>
                      <w:sz w:val="18"/>
                      <w:szCs w:val="18"/>
                    </w:rPr>
                    <w:t>围挡作业、场地喷雾洒水，现场进出车辆冲洗等措施</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07" w:type="dxa"/>
                  <w:vMerge w:val="continue"/>
                  <w:tcBorders>
                    <w:top w:val="nil"/>
                    <w:left w:val="single" w:color="auto" w:sz="4" w:space="0"/>
                    <w:bottom w:val="single" w:color="auto" w:sz="4" w:space="0"/>
                    <w:right w:val="single" w:color="auto" w:sz="4" w:space="0"/>
                  </w:tcBorders>
                  <w:shd w:val="clear" w:color="auto" w:fill="auto"/>
                  <w:vAlign w:val="center"/>
                </w:tcPr>
                <w:p>
                  <w:pPr>
                    <w:spacing w:line="260" w:lineRule="exact"/>
                    <w:rPr>
                      <w:sz w:val="18"/>
                      <w:szCs w:val="18"/>
                    </w:rPr>
                  </w:pP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40" w:lineRule="exact"/>
                    <w:ind w:left="-53" w:leftChars="-25" w:right="-53" w:rightChars="-25"/>
                    <w:rPr>
                      <w:sz w:val="18"/>
                      <w:szCs w:val="18"/>
                    </w:rPr>
                  </w:pPr>
                  <w:r>
                    <w:rPr>
                      <w:rFonts w:hint="eastAsia"/>
                      <w:sz w:val="18"/>
                      <w:szCs w:val="18"/>
                    </w:rPr>
                    <w:t>道路扬尘：厂内道路及产品、原料运输道路均采取硬化，适时洒水防尘，</w:t>
                  </w:r>
                  <w:r>
                    <w:rPr>
                      <w:rFonts w:hint="eastAsia"/>
                      <w:bCs/>
                      <w:sz w:val="18"/>
                      <w:szCs w:val="18"/>
                    </w:rPr>
                    <w:t>运输车辆采用篷布遮盖；</w:t>
                  </w:r>
                </w:p>
                <w:p>
                  <w:pPr>
                    <w:spacing w:line="240" w:lineRule="exact"/>
                    <w:ind w:left="-53" w:leftChars="-25" w:right="-53" w:rightChars="-25"/>
                    <w:rPr>
                      <w:sz w:val="18"/>
                      <w:szCs w:val="18"/>
                    </w:rPr>
                  </w:pPr>
                  <w:r>
                    <w:rPr>
                      <w:rFonts w:hint="eastAsia"/>
                      <w:b/>
                      <w:sz w:val="18"/>
                      <w:szCs w:val="18"/>
                    </w:rPr>
                    <w:t>整改措施：</w:t>
                  </w:r>
                  <w:r>
                    <w:rPr>
                      <w:rFonts w:hint="eastAsia"/>
                      <w:sz w:val="18"/>
                      <w:szCs w:val="18"/>
                    </w:rPr>
                    <w:t>厂区进出口增设车辆冲洗设施</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2.0</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rFonts w:cs="宋体"/>
                      <w:sz w:val="18"/>
                      <w:szCs w:val="18"/>
                    </w:rPr>
                  </w:pPr>
                  <w:r>
                    <w:rPr>
                      <w:rFonts w:cs="宋体"/>
                      <w:sz w:val="18"/>
                      <w:szCs w:val="18"/>
                    </w:rPr>
                    <w:t>新增</w:t>
                  </w:r>
                </w:p>
                <w:p>
                  <w:pPr>
                    <w:spacing w:line="260" w:lineRule="exact"/>
                    <w:ind w:left="-53" w:leftChars="-25" w:right="-53" w:rightChars="-25"/>
                    <w:jc w:val="center"/>
                    <w:rPr>
                      <w:b/>
                      <w:bCs/>
                      <w:sz w:val="18"/>
                      <w:szCs w:val="18"/>
                    </w:rPr>
                  </w:pPr>
                  <w:r>
                    <w:rPr>
                      <w:rFonts w:cs="宋体"/>
                      <w:sz w:val="18"/>
                      <w:szCs w:val="18"/>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jc w:val="center"/>
              </w:trPr>
              <w:tc>
                <w:tcPr>
                  <w:tcW w:w="707" w:type="dxa"/>
                  <w:vMerge w:val="continue"/>
                  <w:tcBorders>
                    <w:top w:val="nil"/>
                    <w:left w:val="single" w:color="auto" w:sz="4" w:space="0"/>
                    <w:bottom w:val="single" w:color="auto" w:sz="4" w:space="0"/>
                    <w:right w:val="single" w:color="auto" w:sz="4" w:space="0"/>
                  </w:tcBorders>
                  <w:shd w:val="clear" w:color="auto" w:fill="auto"/>
                  <w:vAlign w:val="center"/>
                </w:tcPr>
                <w:p>
                  <w:pPr>
                    <w:spacing w:line="260" w:lineRule="exact"/>
                    <w:rPr>
                      <w:sz w:val="18"/>
                      <w:szCs w:val="18"/>
                    </w:rPr>
                  </w:pP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40" w:lineRule="exact"/>
                    <w:ind w:left="-53" w:leftChars="-25" w:right="-53" w:rightChars="-25"/>
                    <w:rPr>
                      <w:sz w:val="18"/>
                      <w:szCs w:val="18"/>
                    </w:rPr>
                  </w:pPr>
                  <w:r>
                    <w:rPr>
                      <w:rFonts w:hint="eastAsia"/>
                      <w:sz w:val="18"/>
                      <w:szCs w:val="18"/>
                    </w:rPr>
                    <w:t>制砖原料破碎粉尘：破碎筛分环节安装袋式除尘器，设备进料口安装喷雾洒水装置，现有车间围挡已破损。</w:t>
                  </w:r>
                </w:p>
                <w:p>
                  <w:pPr>
                    <w:spacing w:line="240" w:lineRule="exact"/>
                    <w:ind w:left="-53" w:leftChars="-25" w:right="-53" w:rightChars="-25"/>
                    <w:rPr>
                      <w:sz w:val="18"/>
                      <w:szCs w:val="18"/>
                    </w:rPr>
                  </w:pPr>
                  <w:r>
                    <w:rPr>
                      <w:rFonts w:hint="eastAsia"/>
                      <w:b/>
                      <w:sz w:val="18"/>
                      <w:szCs w:val="18"/>
                    </w:rPr>
                    <w:t>整改措施：</w:t>
                  </w:r>
                  <w:r>
                    <w:rPr>
                      <w:rFonts w:hint="eastAsia"/>
                      <w:sz w:val="18"/>
                      <w:szCs w:val="18"/>
                    </w:rPr>
                    <w:t>更换现有已破损的围挡，确保车间封闭性</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4.0</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rFonts w:cs="宋体"/>
                      <w:sz w:val="18"/>
                      <w:szCs w:val="18"/>
                    </w:rPr>
                  </w:pPr>
                  <w:r>
                    <w:rPr>
                      <w:rFonts w:cs="宋体"/>
                      <w:sz w:val="18"/>
                      <w:szCs w:val="18"/>
                    </w:rPr>
                    <w:t>新增</w:t>
                  </w:r>
                </w:p>
                <w:p>
                  <w:pPr>
                    <w:spacing w:line="260" w:lineRule="exact"/>
                    <w:ind w:left="-53" w:leftChars="-25" w:right="-53" w:rightChars="-25"/>
                    <w:jc w:val="center"/>
                    <w:rPr>
                      <w:rFonts w:cs="宋体"/>
                      <w:b/>
                      <w:bCs/>
                      <w:sz w:val="18"/>
                      <w:szCs w:val="18"/>
                    </w:rPr>
                  </w:pPr>
                  <w:r>
                    <w:rPr>
                      <w:rFonts w:cs="宋体"/>
                      <w:sz w:val="18"/>
                      <w:szCs w:val="18"/>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5" w:hRule="atLeast"/>
                <w:jc w:val="center"/>
              </w:trPr>
              <w:tc>
                <w:tcPr>
                  <w:tcW w:w="707" w:type="dxa"/>
                  <w:vMerge w:val="continue"/>
                  <w:tcBorders>
                    <w:top w:val="nil"/>
                    <w:left w:val="single" w:color="auto" w:sz="4" w:space="0"/>
                    <w:bottom w:val="single" w:color="auto" w:sz="4" w:space="0"/>
                    <w:right w:val="single" w:color="auto" w:sz="4" w:space="0"/>
                  </w:tcBorders>
                  <w:shd w:val="clear" w:color="auto" w:fill="auto"/>
                  <w:vAlign w:val="center"/>
                </w:tcPr>
                <w:p>
                  <w:pPr>
                    <w:spacing w:line="260" w:lineRule="exact"/>
                    <w:rPr>
                      <w:sz w:val="18"/>
                      <w:szCs w:val="18"/>
                    </w:rPr>
                  </w:pP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40" w:lineRule="exact"/>
                    <w:ind w:left="-53" w:leftChars="-25" w:right="-53" w:rightChars="-25"/>
                    <w:rPr>
                      <w:sz w:val="18"/>
                      <w:szCs w:val="18"/>
                    </w:rPr>
                  </w:pPr>
                  <w:r>
                    <w:rPr>
                      <w:rFonts w:hint="eastAsia"/>
                      <w:sz w:val="18"/>
                      <w:szCs w:val="18"/>
                    </w:rPr>
                    <w:t>堆场扬尘：现有堆场安装有遮雨棚和喷雾洒水装置，但堆场四周未采取封闭措施，地面未硬化处理。</w:t>
                  </w:r>
                </w:p>
                <w:p>
                  <w:pPr>
                    <w:spacing w:line="240" w:lineRule="exact"/>
                    <w:ind w:left="-53" w:leftChars="-25" w:right="-53" w:rightChars="-25"/>
                    <w:rPr>
                      <w:sz w:val="18"/>
                      <w:szCs w:val="18"/>
                    </w:rPr>
                  </w:pPr>
                  <w:r>
                    <w:rPr>
                      <w:rFonts w:hint="eastAsia"/>
                      <w:b/>
                      <w:sz w:val="18"/>
                      <w:szCs w:val="18"/>
                    </w:rPr>
                    <w:t>整改措施：对堆场采取三面封闭，留设机械设备进出口；对地面采取硬化处理</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6.0</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rFonts w:cs="宋体"/>
                      <w:sz w:val="18"/>
                      <w:szCs w:val="18"/>
                    </w:rPr>
                  </w:pPr>
                  <w:r>
                    <w:rPr>
                      <w:rFonts w:cs="宋体"/>
                      <w:sz w:val="18"/>
                      <w:szCs w:val="18"/>
                    </w:rPr>
                    <w:t>新增</w:t>
                  </w:r>
                </w:p>
                <w:p>
                  <w:pPr>
                    <w:spacing w:line="260" w:lineRule="exact"/>
                    <w:ind w:left="-53" w:leftChars="-25" w:right="-53" w:rightChars="-25"/>
                    <w:jc w:val="center"/>
                    <w:rPr>
                      <w:rFonts w:cs="宋体"/>
                      <w:sz w:val="18"/>
                      <w:szCs w:val="18"/>
                    </w:rPr>
                  </w:pPr>
                  <w:r>
                    <w:rPr>
                      <w:rFonts w:cs="宋体"/>
                      <w:sz w:val="18"/>
                      <w:szCs w:val="18"/>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 w:hRule="atLeast"/>
                <w:jc w:val="center"/>
              </w:trPr>
              <w:tc>
                <w:tcPr>
                  <w:tcW w:w="707" w:type="dxa"/>
                  <w:vMerge w:val="continue"/>
                  <w:tcBorders>
                    <w:top w:val="nil"/>
                    <w:left w:val="single" w:color="auto" w:sz="4" w:space="0"/>
                    <w:bottom w:val="single" w:color="auto" w:sz="4" w:space="0"/>
                    <w:right w:val="single" w:color="auto" w:sz="4" w:space="0"/>
                  </w:tcBorders>
                  <w:shd w:val="clear" w:color="auto" w:fill="auto"/>
                  <w:vAlign w:val="center"/>
                </w:tcPr>
                <w:p>
                  <w:pPr>
                    <w:spacing w:line="260" w:lineRule="exact"/>
                    <w:rPr>
                      <w:sz w:val="18"/>
                      <w:szCs w:val="18"/>
                    </w:rPr>
                  </w:pP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rPr>
                      <w:sz w:val="18"/>
                      <w:szCs w:val="18"/>
                    </w:rPr>
                  </w:pPr>
                  <w:r>
                    <w:rPr>
                      <w:rFonts w:hint="eastAsia"/>
                      <w:sz w:val="18"/>
                      <w:szCs w:val="18"/>
                    </w:rPr>
                    <w:t>砖窑废气：利用现有隧道窑设施收集废气，至“钠碱湿法脱硫”脱硫塔处理后，废气经1根20m高的排气筒高空排放</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rFonts w:cs="宋体"/>
                      <w:sz w:val="18"/>
                      <w:szCs w:val="18"/>
                    </w:rPr>
                  </w:pPr>
                  <w:r>
                    <w:rPr>
                      <w:rFonts w:cs="宋体"/>
                      <w:sz w:val="18"/>
                      <w:szCs w:val="18"/>
                    </w:rPr>
                    <w:t>原有</w:t>
                  </w:r>
                </w:p>
                <w:p>
                  <w:pPr>
                    <w:spacing w:line="260" w:lineRule="exact"/>
                    <w:ind w:left="-53" w:leftChars="-25" w:right="-53" w:rightChars="-25"/>
                    <w:jc w:val="center"/>
                    <w:rPr>
                      <w:rFonts w:cs="宋体"/>
                      <w:sz w:val="18"/>
                      <w:szCs w:val="18"/>
                    </w:rPr>
                  </w:pPr>
                  <w:r>
                    <w:rPr>
                      <w:rFonts w:cs="宋体"/>
                      <w:sz w:val="18"/>
                      <w:szCs w:val="18"/>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707" w:type="dxa"/>
                  <w:vMerge w:val="continue"/>
                  <w:tcBorders>
                    <w:top w:val="nil"/>
                    <w:left w:val="single" w:color="auto" w:sz="4" w:space="0"/>
                    <w:bottom w:val="single" w:color="auto" w:sz="4" w:space="0"/>
                    <w:right w:val="single" w:color="auto" w:sz="4" w:space="0"/>
                  </w:tcBorders>
                  <w:shd w:val="clear" w:color="auto" w:fill="auto"/>
                  <w:vAlign w:val="center"/>
                </w:tcPr>
                <w:p>
                  <w:pPr>
                    <w:spacing w:line="260" w:lineRule="exact"/>
                    <w:rPr>
                      <w:sz w:val="18"/>
                      <w:szCs w:val="18"/>
                    </w:rPr>
                  </w:pP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left"/>
                    <w:rPr>
                      <w:sz w:val="18"/>
                      <w:szCs w:val="18"/>
                    </w:rPr>
                  </w:pPr>
                  <w:r>
                    <w:rPr>
                      <w:rFonts w:hint="eastAsia"/>
                      <w:sz w:val="18"/>
                      <w:szCs w:val="18"/>
                    </w:rPr>
                    <w:t>污泥贮存恶臭：贮存间设为封闭式车间（</w:t>
                  </w:r>
                  <w:r>
                    <w:rPr>
                      <w:rFonts w:hint="eastAsia"/>
                      <w:bCs/>
                      <w:sz w:val="18"/>
                      <w:szCs w:val="18"/>
                    </w:rPr>
                    <w:t>留设机械设备进出口门帘）</w:t>
                  </w:r>
                  <w:r>
                    <w:rPr>
                      <w:rFonts w:hint="eastAsia"/>
                      <w:sz w:val="18"/>
                      <w:szCs w:val="18"/>
                    </w:rPr>
                    <w:t>，车间设风机抽气形成微负压，废气经活性炭净化装置处理后由15m排气筒高空排放</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8.0</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sz w:val="18"/>
                      <w:szCs w:val="18"/>
                    </w:rPr>
                    <w:t>新增</w:t>
                  </w:r>
                </w:p>
                <w:p>
                  <w:pPr>
                    <w:spacing w:line="260" w:lineRule="exact"/>
                    <w:ind w:left="-53" w:leftChars="-25" w:right="-53" w:rightChars="-25"/>
                    <w:jc w:val="center"/>
                    <w:rPr>
                      <w:sz w:val="18"/>
                      <w:szCs w:val="18"/>
                    </w:rPr>
                  </w:pPr>
                  <w:r>
                    <w:rPr>
                      <w:sz w:val="18"/>
                      <w:szCs w:val="18"/>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707" w:type="dxa"/>
                  <w:vMerge w:val="continue"/>
                  <w:tcBorders>
                    <w:top w:val="nil"/>
                    <w:left w:val="single" w:color="auto" w:sz="4" w:space="0"/>
                    <w:bottom w:val="single" w:color="auto" w:sz="4" w:space="0"/>
                    <w:right w:val="single" w:color="auto" w:sz="4" w:space="0"/>
                  </w:tcBorders>
                  <w:shd w:val="clear" w:color="auto" w:fill="auto"/>
                  <w:vAlign w:val="center"/>
                </w:tcPr>
                <w:p>
                  <w:pPr>
                    <w:spacing w:line="260" w:lineRule="exact"/>
                    <w:rPr>
                      <w:sz w:val="18"/>
                      <w:szCs w:val="18"/>
                    </w:rPr>
                  </w:pP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left"/>
                    <w:rPr>
                      <w:sz w:val="18"/>
                      <w:szCs w:val="18"/>
                    </w:rPr>
                  </w:pPr>
                  <w:r>
                    <w:rPr>
                      <w:rFonts w:hint="eastAsia"/>
                      <w:sz w:val="18"/>
                      <w:szCs w:val="18"/>
                    </w:rPr>
                    <w:t>污泥烘干废气：采用生物质成型燃料，设置“钠碱湿法脱硫”脱硫塔处理设施，经15m高排气筒排放</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10.0</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新增</w:t>
                  </w:r>
                </w:p>
                <w:p>
                  <w:pPr>
                    <w:spacing w:line="260" w:lineRule="exact"/>
                    <w:ind w:left="-53" w:leftChars="-25" w:right="-53" w:rightChars="-25"/>
                    <w:jc w:val="center"/>
                    <w:rPr>
                      <w:sz w:val="18"/>
                      <w:szCs w:val="18"/>
                    </w:rPr>
                  </w:pPr>
                  <w:r>
                    <w:rPr>
                      <w:rFonts w:hint="eastAsia"/>
                      <w:sz w:val="18"/>
                      <w:szCs w:val="18"/>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 w:hRule="atLeast"/>
                <w:jc w:val="center"/>
              </w:trPr>
              <w:tc>
                <w:tcPr>
                  <w:tcW w:w="707" w:type="dxa"/>
                  <w:vMerge w:val="restart"/>
                  <w:tcBorders>
                    <w:top w:val="nil"/>
                    <w:left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cs="宋体"/>
                      <w:sz w:val="18"/>
                      <w:szCs w:val="18"/>
                    </w:rPr>
                    <w:t>废水</w:t>
                  </w:r>
                </w:p>
                <w:p>
                  <w:pPr>
                    <w:spacing w:line="260" w:lineRule="exact"/>
                    <w:ind w:left="-53" w:leftChars="-25" w:right="-53" w:rightChars="-25"/>
                    <w:jc w:val="center"/>
                    <w:rPr>
                      <w:sz w:val="18"/>
                      <w:szCs w:val="18"/>
                    </w:rPr>
                  </w:pPr>
                  <w:r>
                    <w:rPr>
                      <w:rFonts w:hint="eastAsia" w:cs="宋体"/>
                      <w:sz w:val="18"/>
                      <w:szCs w:val="18"/>
                    </w:rPr>
                    <w:t>处理</w:t>
                  </w: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left"/>
                    <w:rPr>
                      <w:w w:val="90"/>
                      <w:sz w:val="18"/>
                      <w:szCs w:val="18"/>
                    </w:rPr>
                  </w:pPr>
                  <w:r>
                    <w:rPr>
                      <w:kern w:val="0"/>
                      <w:sz w:val="18"/>
                      <w:szCs w:val="18"/>
                    </w:rPr>
                    <w:t>施工废水利用现有沉淀池收集处理后回用；生活污水利用现有化粪池处理后做农用</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w:t>
                  </w:r>
                </w:p>
              </w:tc>
              <w:tc>
                <w:tcPr>
                  <w:tcW w:w="774" w:type="dxa"/>
                  <w:tcBorders>
                    <w:top w:val="single" w:color="auto" w:sz="4" w:space="0"/>
                    <w:left w:val="nil"/>
                    <w:right w:val="single" w:color="auto" w:sz="4" w:space="0"/>
                  </w:tcBorders>
                  <w:shd w:val="clear" w:color="auto" w:fill="auto"/>
                  <w:vAlign w:val="center"/>
                </w:tcPr>
                <w:p>
                  <w:pPr>
                    <w:spacing w:line="260" w:lineRule="exact"/>
                    <w:ind w:left="-53" w:leftChars="-25" w:right="-53" w:rightChars="-25"/>
                    <w:jc w:val="center"/>
                    <w:rPr>
                      <w:sz w:val="18"/>
                      <w:szCs w:val="18"/>
                    </w:rPr>
                  </w:pPr>
                  <w:r>
                    <w:rPr>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 w:hRule="atLeast"/>
                <w:jc w:val="center"/>
              </w:trPr>
              <w:tc>
                <w:tcPr>
                  <w:tcW w:w="707" w:type="dxa"/>
                  <w:vMerge w:val="continue"/>
                  <w:tcBorders>
                    <w:left w:val="single" w:color="auto" w:sz="4" w:space="0"/>
                    <w:right w:val="single" w:color="auto" w:sz="4" w:space="0"/>
                  </w:tcBorders>
                  <w:shd w:val="clear" w:color="auto" w:fill="auto"/>
                  <w:vAlign w:val="center"/>
                </w:tcPr>
                <w:p>
                  <w:pPr>
                    <w:spacing w:line="260" w:lineRule="exact"/>
                    <w:rPr>
                      <w:sz w:val="18"/>
                      <w:szCs w:val="18"/>
                    </w:rPr>
                  </w:pP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rPr>
                      <w:sz w:val="18"/>
                      <w:szCs w:val="18"/>
                    </w:rPr>
                  </w:pPr>
                  <w:r>
                    <w:rPr>
                      <w:rFonts w:hint="eastAsia"/>
                      <w:sz w:val="18"/>
                      <w:szCs w:val="18"/>
                    </w:rPr>
                    <w:t>砖窑废气脱硫系统废水：设置废液再生循环设施，包括“沉淀池+再生池”总容积200</w:t>
                  </w:r>
                  <w:r>
                    <w:rPr>
                      <w:sz w:val="18"/>
                      <w:szCs w:val="18"/>
                    </w:rPr>
                    <w:t>m</w:t>
                  </w:r>
                  <w:r>
                    <w:rPr>
                      <w:sz w:val="18"/>
                      <w:szCs w:val="18"/>
                      <w:vertAlign w:val="superscript"/>
                    </w:rPr>
                    <w:t>3</w:t>
                  </w:r>
                  <w:r>
                    <w:rPr>
                      <w:sz w:val="18"/>
                      <w:szCs w:val="18"/>
                    </w:rPr>
                    <w:t>；再生处理后回用不外排</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rFonts w:cs="宋体"/>
                      <w:sz w:val="18"/>
                      <w:szCs w:val="18"/>
                    </w:rPr>
                  </w:pPr>
                  <w:r>
                    <w:rPr>
                      <w:rFonts w:cs="宋体"/>
                      <w:sz w:val="18"/>
                      <w:szCs w:val="18"/>
                    </w:rPr>
                    <w:t>原有</w:t>
                  </w:r>
                </w:p>
                <w:p>
                  <w:pPr>
                    <w:spacing w:line="260" w:lineRule="exact"/>
                    <w:ind w:left="-53" w:leftChars="-25" w:right="-53" w:rightChars="-25"/>
                    <w:jc w:val="center"/>
                    <w:rPr>
                      <w:sz w:val="18"/>
                      <w:szCs w:val="18"/>
                    </w:rPr>
                  </w:pPr>
                  <w:r>
                    <w:rPr>
                      <w:rFonts w:cs="宋体"/>
                      <w:sz w:val="18"/>
                      <w:szCs w:val="18"/>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 w:hRule="atLeast"/>
                <w:jc w:val="center"/>
              </w:trPr>
              <w:tc>
                <w:tcPr>
                  <w:tcW w:w="707" w:type="dxa"/>
                  <w:vMerge w:val="continue"/>
                  <w:tcBorders>
                    <w:left w:val="single" w:color="auto" w:sz="4" w:space="0"/>
                    <w:right w:val="single" w:color="auto" w:sz="4" w:space="0"/>
                  </w:tcBorders>
                  <w:shd w:val="clear" w:color="auto" w:fill="auto"/>
                  <w:vAlign w:val="center"/>
                </w:tcPr>
                <w:p>
                  <w:pPr>
                    <w:spacing w:line="260" w:lineRule="exact"/>
                    <w:rPr>
                      <w:sz w:val="18"/>
                      <w:szCs w:val="18"/>
                    </w:rPr>
                  </w:pP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rPr>
                      <w:sz w:val="18"/>
                      <w:szCs w:val="18"/>
                    </w:rPr>
                  </w:pPr>
                  <w:r>
                    <w:rPr>
                      <w:rFonts w:hint="eastAsia"/>
                      <w:sz w:val="18"/>
                      <w:szCs w:val="18"/>
                    </w:rPr>
                    <w:t>污泥烘干废气脱硫系统废水：设置废液再生循环设施，包括“沉淀池+再生池”总容积100</w:t>
                  </w:r>
                  <w:r>
                    <w:rPr>
                      <w:sz w:val="18"/>
                      <w:szCs w:val="18"/>
                    </w:rPr>
                    <w:t>m</w:t>
                  </w:r>
                  <w:r>
                    <w:rPr>
                      <w:sz w:val="18"/>
                      <w:szCs w:val="18"/>
                      <w:vertAlign w:val="superscript"/>
                    </w:rPr>
                    <w:t>3</w:t>
                  </w:r>
                  <w:r>
                    <w:rPr>
                      <w:sz w:val="18"/>
                      <w:szCs w:val="18"/>
                    </w:rPr>
                    <w:t>；再生处理后回用不外排</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9.0</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rFonts w:cs="宋体"/>
                      <w:sz w:val="18"/>
                      <w:szCs w:val="18"/>
                    </w:rPr>
                  </w:pPr>
                  <w:r>
                    <w:rPr>
                      <w:rFonts w:hint="eastAsia" w:cs="宋体"/>
                      <w:sz w:val="18"/>
                      <w:szCs w:val="18"/>
                    </w:rPr>
                    <w:t>新增</w:t>
                  </w:r>
                </w:p>
                <w:p>
                  <w:pPr>
                    <w:spacing w:line="260" w:lineRule="exact"/>
                    <w:ind w:left="-53" w:leftChars="-25" w:right="-53" w:rightChars="-25"/>
                    <w:jc w:val="center"/>
                    <w:rPr>
                      <w:rFonts w:cs="宋体"/>
                      <w:sz w:val="18"/>
                      <w:szCs w:val="18"/>
                    </w:rPr>
                  </w:pPr>
                  <w:r>
                    <w:rPr>
                      <w:rFonts w:hint="eastAsia" w:cs="宋体"/>
                      <w:sz w:val="18"/>
                      <w:szCs w:val="18"/>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jc w:val="center"/>
              </w:trPr>
              <w:tc>
                <w:tcPr>
                  <w:tcW w:w="707" w:type="dxa"/>
                  <w:vMerge w:val="continue"/>
                  <w:tcBorders>
                    <w:left w:val="single" w:color="auto" w:sz="4" w:space="0"/>
                    <w:right w:val="single" w:color="auto" w:sz="4" w:space="0"/>
                  </w:tcBorders>
                  <w:shd w:val="clear" w:color="auto" w:fill="auto"/>
                  <w:vAlign w:val="center"/>
                </w:tcPr>
                <w:p>
                  <w:pPr>
                    <w:spacing w:line="260" w:lineRule="exact"/>
                    <w:rPr>
                      <w:sz w:val="18"/>
                      <w:szCs w:val="18"/>
                    </w:rPr>
                  </w:pP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rPr>
                      <w:sz w:val="18"/>
                      <w:szCs w:val="18"/>
                    </w:rPr>
                  </w:pPr>
                  <w:r>
                    <w:rPr>
                      <w:rFonts w:hint="eastAsia"/>
                      <w:sz w:val="18"/>
                      <w:szCs w:val="18"/>
                    </w:rPr>
                    <w:t>生活污水：设旱厕1个（容积2</w:t>
                  </w:r>
                  <w:r>
                    <w:rPr>
                      <w:sz w:val="18"/>
                      <w:szCs w:val="18"/>
                    </w:rPr>
                    <w:t>0m</w:t>
                  </w:r>
                  <w:r>
                    <w:rPr>
                      <w:sz w:val="18"/>
                      <w:szCs w:val="18"/>
                      <w:vertAlign w:val="superscript"/>
                    </w:rPr>
                    <w:t>3</w:t>
                  </w:r>
                  <w:r>
                    <w:rPr>
                      <w:rFonts w:hint="eastAsia"/>
                      <w:sz w:val="18"/>
                      <w:szCs w:val="18"/>
                    </w:rPr>
                    <w:t>）</w:t>
                  </w:r>
                  <w:r>
                    <w:rPr>
                      <w:sz w:val="18"/>
                      <w:szCs w:val="18"/>
                    </w:rPr>
                    <w:t>处理后全部做</w:t>
                  </w:r>
                  <w:r>
                    <w:rPr>
                      <w:rFonts w:hint="eastAsia"/>
                      <w:sz w:val="18"/>
                      <w:szCs w:val="18"/>
                    </w:rPr>
                    <w:t>农肥</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rFonts w:cs="宋体"/>
                      <w:sz w:val="18"/>
                      <w:szCs w:val="18"/>
                    </w:rPr>
                  </w:pPr>
                  <w:r>
                    <w:rPr>
                      <w:rFonts w:cs="宋体"/>
                      <w:sz w:val="18"/>
                      <w:szCs w:val="18"/>
                    </w:rPr>
                    <w:t>原有</w:t>
                  </w:r>
                </w:p>
                <w:p>
                  <w:pPr>
                    <w:spacing w:line="260" w:lineRule="exact"/>
                    <w:ind w:left="-53" w:leftChars="-25" w:right="-53" w:rightChars="-25"/>
                    <w:jc w:val="center"/>
                    <w:rPr>
                      <w:sz w:val="18"/>
                      <w:szCs w:val="18"/>
                    </w:rPr>
                  </w:pPr>
                  <w:r>
                    <w:rPr>
                      <w:rFonts w:cs="宋体"/>
                      <w:sz w:val="18"/>
                      <w:szCs w:val="18"/>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 w:hRule="atLeast"/>
                <w:jc w:val="center"/>
              </w:trPr>
              <w:tc>
                <w:tcPr>
                  <w:tcW w:w="707" w:type="dxa"/>
                  <w:vMerge w:val="continue"/>
                  <w:tcBorders>
                    <w:left w:val="single" w:color="auto" w:sz="4" w:space="0"/>
                    <w:bottom w:val="single" w:color="auto" w:sz="4" w:space="0"/>
                    <w:right w:val="single" w:color="auto" w:sz="4" w:space="0"/>
                  </w:tcBorders>
                  <w:shd w:val="clear" w:color="auto" w:fill="auto"/>
                  <w:vAlign w:val="center"/>
                </w:tcPr>
                <w:p>
                  <w:pPr>
                    <w:spacing w:line="260" w:lineRule="exact"/>
                    <w:rPr>
                      <w:sz w:val="18"/>
                      <w:szCs w:val="18"/>
                    </w:rPr>
                  </w:pP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rPr>
                      <w:sz w:val="18"/>
                      <w:szCs w:val="18"/>
                    </w:rPr>
                  </w:pPr>
                  <w:r>
                    <w:rPr>
                      <w:rFonts w:hint="eastAsia"/>
                      <w:sz w:val="18"/>
                      <w:szCs w:val="18"/>
                    </w:rPr>
                    <w:t>厂区四周设截排水沟，实现雨污分流；厂区内场地散水收集至沉淀池或堰塘，作为生产补充水回用</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sz w:val="18"/>
                      <w:szCs w:val="18"/>
                    </w:rPr>
                    <w:t>原有</w:t>
                  </w:r>
                </w:p>
                <w:p>
                  <w:pPr>
                    <w:spacing w:line="260" w:lineRule="exact"/>
                    <w:ind w:left="-53" w:leftChars="-25" w:right="-53" w:rightChars="-25"/>
                    <w:jc w:val="center"/>
                    <w:rPr>
                      <w:sz w:val="18"/>
                      <w:szCs w:val="18"/>
                    </w:rPr>
                  </w:pPr>
                  <w:r>
                    <w:rPr>
                      <w:sz w:val="18"/>
                      <w:szCs w:val="18"/>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 w:hRule="atLeast"/>
                <w:jc w:val="center"/>
              </w:trPr>
              <w:tc>
                <w:tcPr>
                  <w:tcW w:w="707" w:type="dxa"/>
                  <w:vMerge w:val="restart"/>
                  <w:tcBorders>
                    <w:top w:val="single" w:color="auto" w:sz="4" w:space="0"/>
                    <w:left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cs="宋体"/>
                      <w:sz w:val="18"/>
                      <w:szCs w:val="18"/>
                    </w:rPr>
                    <w:t>噪声</w:t>
                  </w:r>
                </w:p>
                <w:p>
                  <w:pPr>
                    <w:spacing w:line="260" w:lineRule="exact"/>
                    <w:ind w:left="-53" w:leftChars="-25" w:right="-53" w:rightChars="-25"/>
                    <w:jc w:val="center"/>
                    <w:rPr>
                      <w:sz w:val="18"/>
                      <w:szCs w:val="18"/>
                    </w:rPr>
                  </w:pPr>
                  <w:r>
                    <w:rPr>
                      <w:rFonts w:hint="eastAsia" w:cs="宋体"/>
                      <w:sz w:val="18"/>
                      <w:szCs w:val="18"/>
                    </w:rPr>
                    <w:t>治理</w:t>
                  </w: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left"/>
                    <w:rPr>
                      <w:sz w:val="18"/>
                      <w:szCs w:val="18"/>
                    </w:rPr>
                  </w:pPr>
                  <w:r>
                    <w:rPr>
                      <w:sz w:val="18"/>
                      <w:szCs w:val="18"/>
                    </w:rPr>
                    <w:t>施工作业噪声采取</w:t>
                  </w:r>
                  <w:r>
                    <w:rPr>
                      <w:rFonts w:eastAsiaTheme="minorEastAsia"/>
                      <w:sz w:val="18"/>
                      <w:szCs w:val="18"/>
                    </w:rPr>
                    <w:t>设置专用操作间、合理布局施工机械、加强设备维护保养、合理安排施工时间、文明施工</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 w:hRule="atLeast"/>
                <w:jc w:val="center"/>
              </w:trPr>
              <w:tc>
                <w:tcPr>
                  <w:tcW w:w="707" w:type="dxa"/>
                  <w:vMerge w:val="continue"/>
                  <w:tcBorders>
                    <w:left w:val="single" w:color="auto" w:sz="4" w:space="0"/>
                    <w:bottom w:val="single" w:color="auto" w:sz="4" w:space="0"/>
                    <w:right w:val="single" w:color="auto" w:sz="4" w:space="0"/>
                  </w:tcBorders>
                  <w:shd w:val="clear" w:color="auto" w:fill="auto"/>
                  <w:vAlign w:val="center"/>
                </w:tcPr>
                <w:p>
                  <w:pPr>
                    <w:spacing w:line="260" w:lineRule="exact"/>
                    <w:ind w:left="-53" w:leftChars="-25" w:right="-53" w:rightChars="-25"/>
                    <w:jc w:val="center"/>
                    <w:rPr>
                      <w:rFonts w:cs="宋体"/>
                      <w:sz w:val="18"/>
                      <w:szCs w:val="18"/>
                    </w:rPr>
                  </w:pP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left"/>
                    <w:rPr>
                      <w:sz w:val="18"/>
                      <w:szCs w:val="18"/>
                    </w:rPr>
                  </w:pPr>
                  <w:r>
                    <w:rPr>
                      <w:sz w:val="18"/>
                      <w:szCs w:val="18"/>
                    </w:rPr>
                    <w:t>噪声设备应选用低噪声设备，采取基础减振措施，合理安排生产时间</w:t>
                  </w:r>
                  <w:r>
                    <w:rPr>
                      <w:rFonts w:hint="eastAsia"/>
                      <w:sz w:val="18"/>
                      <w:szCs w:val="18"/>
                    </w:rPr>
                    <w:t>；更换现有破碎筛分车间的封闭围挡</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计入废气投资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jc w:val="center"/>
              </w:trPr>
              <w:tc>
                <w:tcPr>
                  <w:tcW w:w="707" w:type="dxa"/>
                  <w:vMerge w:val="restart"/>
                  <w:tcBorders>
                    <w:top w:val="nil"/>
                    <w:left w:val="single" w:color="auto" w:sz="4" w:space="0"/>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cs="宋体"/>
                      <w:sz w:val="18"/>
                      <w:szCs w:val="18"/>
                    </w:rPr>
                    <w:t>固废</w:t>
                  </w:r>
                </w:p>
                <w:p>
                  <w:pPr>
                    <w:spacing w:line="260" w:lineRule="exact"/>
                    <w:ind w:left="-53" w:leftChars="-25" w:right="-53" w:rightChars="-25"/>
                    <w:jc w:val="center"/>
                    <w:rPr>
                      <w:sz w:val="18"/>
                      <w:szCs w:val="18"/>
                    </w:rPr>
                  </w:pPr>
                  <w:r>
                    <w:rPr>
                      <w:rFonts w:hint="eastAsia" w:cs="宋体"/>
                      <w:sz w:val="18"/>
                      <w:szCs w:val="18"/>
                    </w:rPr>
                    <w:t>处置</w:t>
                  </w:r>
                </w:p>
              </w:tc>
              <w:tc>
                <w:tcPr>
                  <w:tcW w:w="5557"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260" w:lineRule="exact"/>
                    <w:jc w:val="left"/>
                    <w:rPr>
                      <w:sz w:val="18"/>
                      <w:szCs w:val="18"/>
                    </w:rPr>
                  </w:pPr>
                  <w:r>
                    <w:rPr>
                      <w:kern w:val="0"/>
                      <w:sz w:val="18"/>
                      <w:szCs w:val="18"/>
                    </w:rPr>
                    <w:t>施工期</w:t>
                  </w:r>
                  <w:r>
                    <w:rPr>
                      <w:sz w:val="18"/>
                      <w:szCs w:val="18"/>
                    </w:rPr>
                    <w:t>可</w:t>
                  </w:r>
                  <w:r>
                    <w:rPr>
                      <w:rFonts w:hint="eastAsia"/>
                      <w:kern w:val="0"/>
                      <w:sz w:val="18"/>
                      <w:szCs w:val="18"/>
                    </w:rPr>
                    <w:t>回收利用的建筑垃圾，集中收集送到废品回收站；不可利用的，及时外运至当地政府指定的弃土场处置</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707" w:type="dxa"/>
                  <w:vMerge w:val="continue"/>
                  <w:tcBorders>
                    <w:top w:val="nil"/>
                    <w:left w:val="single" w:color="auto" w:sz="4" w:space="0"/>
                    <w:bottom w:val="single" w:color="auto" w:sz="4" w:space="0"/>
                    <w:right w:val="single" w:color="auto" w:sz="4" w:space="0"/>
                  </w:tcBorders>
                  <w:shd w:val="clear" w:color="auto" w:fill="auto"/>
                  <w:vAlign w:val="center"/>
                </w:tcPr>
                <w:p>
                  <w:pPr>
                    <w:spacing w:line="260" w:lineRule="exact"/>
                    <w:rPr>
                      <w:sz w:val="18"/>
                      <w:szCs w:val="18"/>
                    </w:rPr>
                  </w:pP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rPr>
                      <w:sz w:val="18"/>
                      <w:szCs w:val="18"/>
                    </w:rPr>
                  </w:pPr>
                  <w:r>
                    <w:rPr>
                      <w:rFonts w:hint="eastAsia"/>
                      <w:sz w:val="18"/>
                      <w:szCs w:val="18"/>
                    </w:rPr>
                    <w:t>破损砖：作为原料回用于生产</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sz w:val="18"/>
                      <w:szCs w:val="18"/>
                    </w:rPr>
                    <w:t>/</w:t>
                  </w:r>
                </w:p>
              </w:tc>
              <w:tc>
                <w:tcPr>
                  <w:tcW w:w="774" w:type="dxa"/>
                  <w:vMerge w:val="restart"/>
                  <w:tcBorders>
                    <w:top w:val="single" w:color="auto" w:sz="4" w:space="0"/>
                    <w:left w:val="nil"/>
                    <w:right w:val="single" w:color="auto" w:sz="4" w:space="0"/>
                  </w:tcBorders>
                  <w:shd w:val="clear" w:color="auto" w:fill="auto"/>
                  <w:vAlign w:val="center"/>
                </w:tcPr>
                <w:p>
                  <w:pPr>
                    <w:spacing w:line="260" w:lineRule="exact"/>
                    <w:ind w:left="-53" w:leftChars="-25" w:right="-53" w:rightChars="-25"/>
                    <w:jc w:val="center"/>
                    <w:rPr>
                      <w:sz w:val="18"/>
                      <w:szCs w:val="18"/>
                    </w:rPr>
                  </w:pPr>
                  <w:r>
                    <w:rPr>
                      <w:sz w:val="18"/>
                      <w:szCs w:val="18"/>
                    </w:rPr>
                    <w:t>计入运行费用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07" w:type="dxa"/>
                  <w:vMerge w:val="continue"/>
                  <w:tcBorders>
                    <w:top w:val="nil"/>
                    <w:left w:val="single" w:color="auto" w:sz="4" w:space="0"/>
                    <w:bottom w:val="single" w:color="auto" w:sz="4" w:space="0"/>
                    <w:right w:val="single" w:color="auto" w:sz="4" w:space="0"/>
                  </w:tcBorders>
                  <w:shd w:val="clear" w:color="auto" w:fill="auto"/>
                  <w:vAlign w:val="center"/>
                </w:tcPr>
                <w:p>
                  <w:pPr>
                    <w:spacing w:line="260" w:lineRule="exact"/>
                    <w:rPr>
                      <w:sz w:val="18"/>
                      <w:szCs w:val="18"/>
                    </w:rPr>
                  </w:pP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rPr>
                      <w:sz w:val="18"/>
                      <w:szCs w:val="18"/>
                    </w:rPr>
                  </w:pPr>
                  <w:r>
                    <w:rPr>
                      <w:rFonts w:hint="eastAsia"/>
                      <w:sz w:val="18"/>
                      <w:szCs w:val="18"/>
                    </w:rPr>
                    <w:t>收集的除尘灰和煤渣：及时做原料回用</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w:t>
                  </w:r>
                </w:p>
              </w:tc>
              <w:tc>
                <w:tcPr>
                  <w:tcW w:w="774" w:type="dxa"/>
                  <w:vMerge w:val="continue"/>
                  <w:tcBorders>
                    <w:left w:val="nil"/>
                    <w:right w:val="single" w:color="auto" w:sz="4" w:space="0"/>
                  </w:tcBorders>
                  <w:shd w:val="clear" w:color="auto" w:fill="auto"/>
                  <w:vAlign w:val="center"/>
                </w:tcPr>
                <w:p>
                  <w:pPr>
                    <w:spacing w:line="260" w:lineRule="exact"/>
                    <w:ind w:left="-53" w:leftChars="-25" w:right="-53" w:rightChars="-25"/>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07" w:type="dxa"/>
                  <w:vMerge w:val="continue"/>
                  <w:tcBorders>
                    <w:top w:val="nil"/>
                    <w:left w:val="single" w:color="auto" w:sz="4" w:space="0"/>
                    <w:bottom w:val="single" w:color="auto" w:sz="4" w:space="0"/>
                    <w:right w:val="single" w:color="auto" w:sz="4" w:space="0"/>
                  </w:tcBorders>
                  <w:shd w:val="clear" w:color="auto" w:fill="auto"/>
                  <w:vAlign w:val="center"/>
                </w:tcPr>
                <w:p>
                  <w:pPr>
                    <w:spacing w:line="260" w:lineRule="exact"/>
                    <w:rPr>
                      <w:sz w:val="18"/>
                      <w:szCs w:val="18"/>
                    </w:rPr>
                  </w:pP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rPr>
                      <w:spacing w:val="-2"/>
                      <w:sz w:val="18"/>
                      <w:szCs w:val="18"/>
                    </w:rPr>
                  </w:pPr>
                  <w:r>
                    <w:rPr>
                      <w:rFonts w:hint="eastAsia"/>
                      <w:spacing w:val="-2"/>
                      <w:sz w:val="18"/>
                      <w:szCs w:val="18"/>
                    </w:rPr>
                    <w:t>脱硫废渣：设干化池1个（容积2</w:t>
                  </w:r>
                  <w:r>
                    <w:rPr>
                      <w:spacing w:val="-2"/>
                      <w:sz w:val="18"/>
                      <w:szCs w:val="18"/>
                    </w:rPr>
                    <w:t>m</w:t>
                  </w:r>
                  <w:r>
                    <w:rPr>
                      <w:spacing w:val="-2"/>
                      <w:sz w:val="18"/>
                      <w:szCs w:val="18"/>
                      <w:vertAlign w:val="superscript"/>
                    </w:rPr>
                    <w:t>3</w:t>
                  </w:r>
                  <w:r>
                    <w:rPr>
                      <w:rFonts w:hint="eastAsia"/>
                      <w:spacing w:val="-2"/>
                      <w:sz w:val="18"/>
                      <w:szCs w:val="18"/>
                    </w:rPr>
                    <w:t>），定期清理至干化池干化后全部作为制砖原料回用</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w:t>
                  </w:r>
                </w:p>
              </w:tc>
              <w:tc>
                <w:tcPr>
                  <w:tcW w:w="774" w:type="dxa"/>
                  <w:tcBorders>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sz w:val="18"/>
                      <w:szCs w:val="18"/>
                    </w:rPr>
                    <w:t>原有</w:t>
                  </w:r>
                </w:p>
                <w:p>
                  <w:pPr>
                    <w:spacing w:line="260" w:lineRule="exact"/>
                    <w:ind w:left="-53" w:leftChars="-25" w:right="-53" w:rightChars="-25"/>
                    <w:jc w:val="center"/>
                    <w:rPr>
                      <w:sz w:val="18"/>
                      <w:szCs w:val="18"/>
                    </w:rPr>
                  </w:pPr>
                  <w:r>
                    <w:rPr>
                      <w:sz w:val="18"/>
                      <w:szCs w:val="18"/>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707" w:type="dxa"/>
                  <w:vMerge w:val="continue"/>
                  <w:tcBorders>
                    <w:top w:val="nil"/>
                    <w:left w:val="single" w:color="auto" w:sz="4" w:space="0"/>
                    <w:bottom w:val="single" w:color="auto" w:sz="4" w:space="0"/>
                    <w:right w:val="single" w:color="auto" w:sz="4" w:space="0"/>
                  </w:tcBorders>
                  <w:shd w:val="clear" w:color="auto" w:fill="auto"/>
                  <w:vAlign w:val="center"/>
                </w:tcPr>
                <w:p>
                  <w:pPr>
                    <w:spacing w:line="260" w:lineRule="exact"/>
                    <w:rPr>
                      <w:sz w:val="18"/>
                      <w:szCs w:val="18"/>
                    </w:rPr>
                  </w:pP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rPr>
                      <w:sz w:val="18"/>
                      <w:szCs w:val="18"/>
                    </w:rPr>
                  </w:pPr>
                  <w:r>
                    <w:rPr>
                      <w:rFonts w:hint="eastAsia"/>
                      <w:sz w:val="18"/>
                      <w:szCs w:val="18"/>
                    </w:rPr>
                    <w:t>生活垃圾：设垃圾桶收集，定期运至高明镇场镇垃圾收集点</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sz w:val="18"/>
                      <w:szCs w:val="18"/>
                    </w:rPr>
                    <w:t>原有</w:t>
                  </w:r>
                </w:p>
                <w:p>
                  <w:pPr>
                    <w:spacing w:line="260" w:lineRule="exact"/>
                    <w:ind w:left="-53" w:leftChars="-25" w:right="-53" w:rightChars="-25"/>
                    <w:jc w:val="center"/>
                    <w:rPr>
                      <w:sz w:val="18"/>
                      <w:szCs w:val="18"/>
                    </w:rPr>
                  </w:pPr>
                  <w:r>
                    <w:rPr>
                      <w:sz w:val="18"/>
                      <w:szCs w:val="18"/>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 w:hRule="atLeast"/>
                <w:jc w:val="center"/>
              </w:trPr>
              <w:tc>
                <w:tcPr>
                  <w:tcW w:w="707" w:type="dxa"/>
                  <w:vMerge w:val="continue"/>
                  <w:tcBorders>
                    <w:top w:val="nil"/>
                    <w:left w:val="single" w:color="auto" w:sz="4" w:space="0"/>
                    <w:bottom w:val="single" w:color="auto" w:sz="4" w:space="0"/>
                    <w:right w:val="single" w:color="auto" w:sz="4" w:space="0"/>
                  </w:tcBorders>
                  <w:shd w:val="clear" w:color="auto" w:fill="auto"/>
                  <w:vAlign w:val="center"/>
                </w:tcPr>
                <w:p>
                  <w:pPr>
                    <w:spacing w:line="260" w:lineRule="exact"/>
                    <w:rPr>
                      <w:sz w:val="18"/>
                      <w:szCs w:val="18"/>
                    </w:rPr>
                  </w:pP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rPr>
                      <w:sz w:val="18"/>
                      <w:szCs w:val="18"/>
                    </w:rPr>
                  </w:pPr>
                  <w:r>
                    <w:rPr>
                      <w:rFonts w:hint="eastAsia"/>
                      <w:sz w:val="18"/>
                      <w:szCs w:val="18"/>
                    </w:rPr>
                    <w:t>危险废物：仅设有废机油临时储存点，未设规范的暂存间，不满足环保要求。</w:t>
                  </w:r>
                  <w:r>
                    <w:rPr>
                      <w:rFonts w:hint="eastAsia"/>
                      <w:b/>
                      <w:sz w:val="18"/>
                      <w:szCs w:val="18"/>
                    </w:rPr>
                    <w:t>整改措施：</w:t>
                  </w:r>
                  <w:r>
                    <w:rPr>
                      <w:rFonts w:hint="eastAsia"/>
                      <w:sz w:val="18"/>
                      <w:szCs w:val="18"/>
                    </w:rPr>
                    <w:t>设置一个规范的危废间，建筑面积约20m</w:t>
                  </w:r>
                  <w:r>
                    <w:rPr>
                      <w:rFonts w:hint="eastAsia"/>
                      <w:sz w:val="18"/>
                      <w:szCs w:val="18"/>
                      <w:vertAlign w:val="superscript"/>
                    </w:rPr>
                    <w:t>2</w:t>
                  </w:r>
                  <w:r>
                    <w:rPr>
                      <w:rFonts w:hint="eastAsia"/>
                      <w:sz w:val="18"/>
                      <w:szCs w:val="18"/>
                    </w:rPr>
                    <w:t>，采取“四防”措施，委托有资质的单位回收处置，严格执行转移联单制度</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2.0</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新增</w:t>
                  </w:r>
                </w:p>
                <w:p>
                  <w:pPr>
                    <w:spacing w:line="260" w:lineRule="exact"/>
                    <w:ind w:left="-53" w:leftChars="-25" w:right="-53" w:rightChars="-25"/>
                    <w:jc w:val="center"/>
                    <w:rPr>
                      <w:sz w:val="18"/>
                      <w:szCs w:val="18"/>
                    </w:rPr>
                  </w:pPr>
                  <w:r>
                    <w:rPr>
                      <w:sz w:val="18"/>
                      <w:szCs w:val="18"/>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jc w:val="center"/>
              </w:trPr>
              <w:tc>
                <w:tcPr>
                  <w:tcW w:w="707" w:type="dxa"/>
                  <w:tcBorders>
                    <w:top w:val="nil"/>
                    <w:left w:val="single" w:color="auto" w:sz="4" w:space="0"/>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cs="宋体"/>
                      <w:sz w:val="18"/>
                      <w:szCs w:val="18"/>
                    </w:rPr>
                    <w:t>其他</w:t>
                  </w:r>
                </w:p>
              </w:tc>
              <w:tc>
                <w:tcPr>
                  <w:tcW w:w="5557"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left"/>
                    <w:rPr>
                      <w:sz w:val="18"/>
                      <w:szCs w:val="18"/>
                      <w:vertAlign w:val="superscript"/>
                    </w:rPr>
                  </w:pPr>
                  <w:r>
                    <w:rPr>
                      <w:kern w:val="0"/>
                      <w:sz w:val="18"/>
                      <w:szCs w:val="18"/>
                    </w:rPr>
                    <w:t>厂区四周布置绿化带、车间地面采取水泥硬化处理，危废间、污泥贮存间划分为重点防渗区，严格按照相应防渗要求进行防渗处理，原料堆场、沉淀池</w:t>
                  </w:r>
                  <w:r>
                    <w:rPr>
                      <w:rFonts w:hint="eastAsia"/>
                      <w:kern w:val="0"/>
                      <w:sz w:val="18"/>
                      <w:szCs w:val="18"/>
                    </w:rPr>
                    <w:t>、脱硫废液处理设施</w:t>
                  </w:r>
                  <w:r>
                    <w:rPr>
                      <w:kern w:val="0"/>
                      <w:sz w:val="18"/>
                      <w:szCs w:val="18"/>
                    </w:rPr>
                    <w:t>等划为一般防渗区；配备消防器材。</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sz w:val="18"/>
                      <w:szCs w:val="18"/>
                    </w:rPr>
                    <w:t>原有</w:t>
                  </w:r>
                </w:p>
                <w:p>
                  <w:pPr>
                    <w:spacing w:line="260" w:lineRule="exact"/>
                    <w:ind w:left="-53" w:leftChars="-25" w:right="-53" w:rightChars="-25"/>
                    <w:jc w:val="center"/>
                    <w:rPr>
                      <w:sz w:val="18"/>
                      <w:szCs w:val="18"/>
                    </w:rPr>
                  </w:pPr>
                  <w:r>
                    <w:rPr>
                      <w:sz w:val="18"/>
                      <w:szCs w:val="18"/>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62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cs="宋体"/>
                      <w:sz w:val="18"/>
                      <w:szCs w:val="18"/>
                    </w:rPr>
                    <w:t>合计（占总投资比例）</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43.0</w:t>
                  </w:r>
                </w:p>
              </w:tc>
              <w:tc>
                <w:tcPr>
                  <w:tcW w:w="774" w:type="dxa"/>
                  <w:tcBorders>
                    <w:top w:val="single" w:color="auto" w:sz="4" w:space="0"/>
                    <w:left w:val="nil"/>
                    <w:bottom w:val="single" w:color="auto" w:sz="4" w:space="0"/>
                    <w:right w:val="single" w:color="auto" w:sz="4" w:space="0"/>
                  </w:tcBorders>
                  <w:shd w:val="clear" w:color="auto" w:fill="auto"/>
                  <w:vAlign w:val="center"/>
                </w:tcPr>
                <w:p>
                  <w:pPr>
                    <w:spacing w:line="260" w:lineRule="exact"/>
                    <w:ind w:left="-53" w:leftChars="-25" w:right="-53" w:rightChars="-25"/>
                    <w:jc w:val="center"/>
                    <w:rPr>
                      <w:sz w:val="18"/>
                      <w:szCs w:val="18"/>
                    </w:rPr>
                  </w:pPr>
                  <w:r>
                    <w:rPr>
                      <w:rFonts w:hint="eastAsia"/>
                      <w:sz w:val="18"/>
                      <w:szCs w:val="18"/>
                    </w:rPr>
                    <w:t>35.8%</w:t>
                  </w:r>
                </w:p>
              </w:tc>
            </w:tr>
          </w:tbl>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tc>
      </w:tr>
    </w:tbl>
    <w:p>
      <w:pPr>
        <w:widowControl/>
        <w:spacing w:line="360" w:lineRule="auto"/>
        <w:jc w:val="left"/>
        <w:rPr>
          <w:b/>
          <w:kern w:val="0"/>
          <w:sz w:val="28"/>
          <w:szCs w:val="28"/>
        </w:rPr>
        <w:sectPr>
          <w:pgSz w:w="11907" w:h="16840"/>
          <w:pgMar w:top="1701" w:right="1531" w:bottom="1701" w:left="1531" w:header="851" w:footer="1077" w:gutter="0"/>
          <w:pgNumType w:fmt="numberInDash"/>
          <w:cols w:space="720" w:num="1"/>
          <w:docGrid w:linePitch="286" w:charSpace="0"/>
        </w:sectPr>
      </w:pPr>
    </w:p>
    <w:p>
      <w:pPr>
        <w:pStyle w:val="18"/>
        <w:jc w:val="center"/>
        <w:outlineLvl w:val="0"/>
        <w:rPr>
          <w:rFonts w:ascii="Times New Roman" w:hAnsi="Times New Roman" w:eastAsia="黑体" w:cs="Times New Roman"/>
          <w:snapToGrid w:val="0"/>
          <w:kern w:val="0"/>
          <w:sz w:val="30"/>
          <w:szCs w:val="30"/>
        </w:rPr>
      </w:pPr>
      <w:r>
        <w:rPr>
          <w:rFonts w:ascii="Times New Roman" w:hAnsi="Times New Roman" w:eastAsia="黑体" w:cs="Times New Roman"/>
          <w:snapToGrid w:val="0"/>
          <w:sz w:val="30"/>
          <w:szCs w:val="30"/>
        </w:rPr>
        <w:t>五、</w:t>
      </w:r>
      <w:bookmarkStart w:id="5" w:name="_Hlk54167917"/>
      <w:r>
        <w:rPr>
          <w:rFonts w:ascii="Times New Roman" w:hAnsi="Times New Roman" w:eastAsia="黑体" w:cs="Times New Roman"/>
          <w:snapToGrid w:val="0"/>
          <w:sz w:val="30"/>
          <w:szCs w:val="30"/>
        </w:rPr>
        <w:t>环境保护措施监督检查清单</w:t>
      </w:r>
      <w:bookmarkEnd w:id="5"/>
    </w:p>
    <w:tbl>
      <w:tblPr>
        <w:tblStyle w:val="20"/>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461"/>
        <w:gridCol w:w="1275"/>
        <w:gridCol w:w="1985"/>
        <w:gridCol w:w="23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778" w:type="dxa"/>
            <w:tcBorders>
              <w:top w:val="single" w:color="auto" w:sz="8" w:space="0"/>
              <w:left w:val="single" w:color="auto" w:sz="8" w:space="0"/>
              <w:bottom w:val="single" w:color="auto" w:sz="4" w:space="0"/>
              <w:right w:val="single" w:color="auto" w:sz="4" w:space="0"/>
              <w:tl2br w:val="single" w:color="auto" w:sz="4" w:space="0"/>
            </w:tcBorders>
          </w:tcPr>
          <w:p>
            <w:pPr>
              <w:adjustRightInd w:val="0"/>
              <w:snapToGrid w:val="0"/>
              <w:spacing w:line="400" w:lineRule="exact"/>
              <w:ind w:firstLine="840"/>
              <w:rPr>
                <w:rFonts w:eastAsiaTheme="minorEastAsia"/>
                <w:szCs w:val="21"/>
              </w:rPr>
            </w:pPr>
            <w:r>
              <w:rPr>
                <w:rFonts w:eastAsiaTheme="minorEastAsia"/>
                <w:szCs w:val="21"/>
              </w:rPr>
              <w:t>内容</w:t>
            </w:r>
          </w:p>
          <w:p>
            <w:pPr>
              <w:adjustRightInd w:val="0"/>
              <w:snapToGrid w:val="0"/>
              <w:spacing w:line="400" w:lineRule="exact"/>
              <w:rPr>
                <w:rFonts w:eastAsiaTheme="minorEastAsia"/>
                <w:szCs w:val="21"/>
              </w:rPr>
            </w:pPr>
            <w:r>
              <w:rPr>
                <w:rFonts w:eastAsiaTheme="minorEastAsia"/>
                <w:szCs w:val="21"/>
              </w:rPr>
              <w:t>要素</w:t>
            </w:r>
          </w:p>
        </w:tc>
        <w:tc>
          <w:tcPr>
            <w:tcW w:w="1461"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eastAsiaTheme="minorEastAsia"/>
                <w:szCs w:val="21"/>
              </w:rPr>
            </w:pPr>
            <w:r>
              <w:rPr>
                <w:rFonts w:eastAsiaTheme="minorEastAsia"/>
                <w:szCs w:val="21"/>
              </w:rPr>
              <w:t>排放口(编号、</w:t>
            </w:r>
          </w:p>
          <w:p>
            <w:pPr>
              <w:adjustRightInd w:val="0"/>
              <w:snapToGrid w:val="0"/>
              <w:spacing w:line="400" w:lineRule="exact"/>
              <w:jc w:val="center"/>
              <w:rPr>
                <w:rFonts w:eastAsiaTheme="minorEastAsia"/>
                <w:szCs w:val="21"/>
              </w:rPr>
            </w:pPr>
            <w:r>
              <w:rPr>
                <w:rFonts w:eastAsiaTheme="minorEastAsia"/>
                <w:szCs w:val="21"/>
              </w:rPr>
              <w:t>名称)/污染源</w:t>
            </w:r>
          </w:p>
        </w:tc>
        <w:tc>
          <w:tcPr>
            <w:tcW w:w="1275"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eastAsiaTheme="minorEastAsia"/>
                <w:szCs w:val="21"/>
              </w:rPr>
            </w:pPr>
            <w:r>
              <w:rPr>
                <w:rFonts w:eastAsiaTheme="minorEastAsia"/>
                <w:szCs w:val="21"/>
              </w:rPr>
              <w:t>污染物项目</w:t>
            </w:r>
          </w:p>
        </w:tc>
        <w:tc>
          <w:tcPr>
            <w:tcW w:w="1985"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400" w:lineRule="exact"/>
              <w:ind w:left="-53" w:leftChars="-25" w:right="-53" w:rightChars="-25"/>
              <w:jc w:val="center"/>
              <w:rPr>
                <w:rFonts w:eastAsiaTheme="minorEastAsia"/>
                <w:szCs w:val="21"/>
              </w:rPr>
            </w:pPr>
            <w:r>
              <w:rPr>
                <w:rFonts w:eastAsiaTheme="minorEastAsia"/>
                <w:szCs w:val="21"/>
              </w:rPr>
              <w:t>环境保护措施</w:t>
            </w:r>
          </w:p>
        </w:tc>
        <w:tc>
          <w:tcPr>
            <w:tcW w:w="2301"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400" w:lineRule="exact"/>
              <w:jc w:val="center"/>
              <w:rPr>
                <w:rFonts w:eastAsiaTheme="minorEastAsia"/>
                <w:szCs w:val="21"/>
              </w:rPr>
            </w:pPr>
            <w:r>
              <w:rPr>
                <w:rFonts w:eastAsiaTheme="minorEastAsia"/>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1778" w:type="dxa"/>
            <w:vMerge w:val="restart"/>
            <w:tcBorders>
              <w:top w:val="single" w:color="auto" w:sz="4" w:space="0"/>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大气环境</w:t>
            </w:r>
          </w:p>
        </w:tc>
        <w:tc>
          <w:tcPr>
            <w:tcW w:w="1461" w:type="dxa"/>
            <w:tcBorders>
              <w:top w:val="single" w:color="auto" w:sz="4" w:space="0"/>
              <w:left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施工现场</w:t>
            </w: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施工</w:t>
            </w:r>
          </w:p>
          <w:p>
            <w:pPr>
              <w:adjustRightInd w:val="0"/>
              <w:snapToGrid w:val="0"/>
              <w:spacing w:line="360" w:lineRule="exact"/>
              <w:jc w:val="center"/>
              <w:rPr>
                <w:rFonts w:eastAsiaTheme="minorEastAsia"/>
                <w:szCs w:val="21"/>
              </w:rPr>
            </w:pPr>
            <w:r>
              <w:rPr>
                <w:rFonts w:eastAsiaTheme="minorEastAsia"/>
                <w:szCs w:val="21"/>
              </w:rPr>
              <w:t>扬尘</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left"/>
              <w:rPr>
                <w:rFonts w:eastAsiaTheme="minorEastAsia"/>
                <w:szCs w:val="21"/>
              </w:rPr>
            </w:pPr>
            <w:r>
              <w:rPr>
                <w:rFonts w:hint="eastAsia" w:ascii="宋体" w:hAnsi="宋体" w:cs="宋体"/>
                <w:szCs w:val="21"/>
              </w:rPr>
              <w:t>①围挡作业；②喷雾洒水、湿法作业；③车辆冲洗</w:t>
            </w:r>
          </w:p>
        </w:tc>
        <w:tc>
          <w:tcPr>
            <w:tcW w:w="2301" w:type="dxa"/>
            <w:tcBorders>
              <w:top w:val="single" w:color="auto" w:sz="4" w:space="0"/>
              <w:left w:val="single" w:color="auto" w:sz="4" w:space="0"/>
              <w:right w:val="single" w:color="auto" w:sz="8" w:space="0"/>
            </w:tcBorders>
            <w:vAlign w:val="center"/>
          </w:tcPr>
          <w:p>
            <w:pPr>
              <w:adjustRightInd w:val="0"/>
              <w:snapToGrid w:val="0"/>
              <w:spacing w:line="360" w:lineRule="exact"/>
              <w:jc w:val="left"/>
              <w:rPr>
                <w:rFonts w:eastAsiaTheme="minorEastAsia"/>
                <w:szCs w:val="21"/>
              </w:rPr>
            </w:pPr>
            <w:r>
              <w:rPr>
                <w:rFonts w:hint="eastAsia" w:cs="宋体"/>
                <w:spacing w:val="-4"/>
                <w:szCs w:val="21"/>
              </w:rPr>
              <w:t>《四川省施工场地扬尘排放标准》（</w:t>
            </w:r>
            <w:r>
              <w:rPr>
                <w:spacing w:val="-4"/>
                <w:szCs w:val="21"/>
              </w:rPr>
              <w:t>DB512682</w:t>
            </w:r>
            <w:r>
              <w:rPr>
                <w:rFonts w:hint="eastAsia"/>
                <w:spacing w:val="-4"/>
                <w:szCs w:val="21"/>
              </w:rPr>
              <w:t>-2020</w:t>
            </w:r>
            <w:r>
              <w:rPr>
                <w:rFonts w:hint="eastAsia" w:cs="宋体"/>
                <w:spacing w:val="-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vMerge w:val="restart"/>
            <w:tcBorders>
              <w:top w:val="single" w:color="auto" w:sz="4" w:space="0"/>
              <w:left w:val="single" w:color="auto" w:sz="4" w:space="0"/>
              <w:right w:val="single" w:color="auto" w:sz="4" w:space="0"/>
            </w:tcBorders>
            <w:vAlign w:val="center"/>
          </w:tcPr>
          <w:p>
            <w:pPr>
              <w:adjustRightInd w:val="0"/>
              <w:snapToGrid w:val="0"/>
              <w:spacing w:line="360" w:lineRule="exact"/>
              <w:jc w:val="center"/>
              <w:rPr>
                <w:szCs w:val="21"/>
              </w:rPr>
            </w:pPr>
            <w:r>
              <w:rPr>
                <w:rFonts w:hint="eastAsia"/>
                <w:szCs w:val="21"/>
              </w:rPr>
              <w:t>DA001/砖窑废气</w:t>
            </w: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hint="eastAsia" w:eastAsiaTheme="minorEastAsia"/>
                <w:bCs/>
                <w:szCs w:val="21"/>
              </w:rPr>
              <w:t>烟尘、S</w:t>
            </w:r>
            <w:r>
              <w:rPr>
                <w:rFonts w:eastAsiaTheme="minorEastAsia"/>
                <w:bCs/>
                <w:szCs w:val="21"/>
              </w:rPr>
              <w:t>O</w:t>
            </w:r>
            <w:r>
              <w:rPr>
                <w:rFonts w:eastAsiaTheme="minorEastAsia"/>
                <w:bCs/>
                <w:szCs w:val="21"/>
                <w:vertAlign w:val="subscript"/>
              </w:rPr>
              <w:t>2</w:t>
            </w:r>
            <w:r>
              <w:rPr>
                <w:rFonts w:hint="eastAsia" w:eastAsiaTheme="minorEastAsia"/>
                <w:bCs/>
                <w:szCs w:val="21"/>
              </w:rPr>
              <w:t>、N</w:t>
            </w:r>
            <w:r>
              <w:rPr>
                <w:rFonts w:eastAsiaTheme="minorEastAsia"/>
                <w:bCs/>
                <w:szCs w:val="21"/>
              </w:rPr>
              <w:t>O</w:t>
            </w:r>
            <w:r>
              <w:rPr>
                <w:rFonts w:eastAsiaTheme="minorEastAsia"/>
                <w:bCs/>
                <w:szCs w:val="21"/>
                <w:vertAlign w:val="subscript"/>
              </w:rPr>
              <w:t>X</w:t>
            </w:r>
            <w:r>
              <w:rPr>
                <w:rFonts w:eastAsiaTheme="minorEastAsia"/>
                <w:bCs/>
                <w:szCs w:val="21"/>
              </w:rPr>
              <w:t>、氟化物</w:t>
            </w:r>
          </w:p>
        </w:tc>
        <w:tc>
          <w:tcPr>
            <w:tcW w:w="1985" w:type="dxa"/>
            <w:vMerge w:val="restart"/>
            <w:tcBorders>
              <w:top w:val="single" w:color="auto" w:sz="4" w:space="0"/>
              <w:left w:val="single" w:color="auto" w:sz="4" w:space="0"/>
              <w:right w:val="single" w:color="auto" w:sz="4" w:space="0"/>
            </w:tcBorders>
            <w:vAlign w:val="center"/>
          </w:tcPr>
          <w:p>
            <w:pPr>
              <w:adjustRightInd w:val="0"/>
              <w:snapToGrid w:val="0"/>
              <w:spacing w:line="360" w:lineRule="exact"/>
              <w:jc w:val="center"/>
              <w:rPr>
                <w:szCs w:val="21"/>
              </w:rPr>
            </w:pPr>
            <w:r>
              <w:rPr>
                <w:szCs w:val="21"/>
              </w:rPr>
              <w:t>利用现有“钠</w:t>
            </w:r>
            <w:r>
              <w:rPr>
                <w:rFonts w:hint="eastAsia"/>
                <w:szCs w:val="21"/>
              </w:rPr>
              <w:t>碱湿法脱硫</w:t>
            </w:r>
            <w:r>
              <w:rPr>
                <w:szCs w:val="21"/>
              </w:rPr>
              <w:t>”脱硫系统，处理后废气经</w:t>
            </w:r>
            <w:r>
              <w:rPr>
                <w:rFonts w:hint="eastAsia"/>
                <w:szCs w:val="21"/>
              </w:rPr>
              <w:t>20m高排气筒高空排放</w:t>
            </w:r>
          </w:p>
        </w:tc>
        <w:tc>
          <w:tcPr>
            <w:tcW w:w="2301" w:type="dxa"/>
            <w:tcBorders>
              <w:top w:val="single" w:color="auto" w:sz="6" w:space="0"/>
              <w:left w:val="single" w:color="auto" w:sz="4" w:space="0"/>
              <w:right w:val="single" w:color="auto" w:sz="8" w:space="0"/>
            </w:tcBorders>
            <w:vAlign w:val="center"/>
          </w:tcPr>
          <w:p>
            <w:pPr>
              <w:adjustRightInd w:val="0"/>
              <w:snapToGrid w:val="0"/>
              <w:spacing w:line="360" w:lineRule="exact"/>
              <w:ind w:left="-53" w:leftChars="-25" w:right="-53" w:rightChars="-25"/>
              <w:jc w:val="left"/>
              <w:rPr>
                <w:rFonts w:eastAsiaTheme="minorEastAsia"/>
                <w:szCs w:val="21"/>
              </w:rPr>
            </w:pPr>
            <w:r>
              <w:rPr>
                <w:rFonts w:eastAsiaTheme="minorEastAsia"/>
                <w:szCs w:val="21"/>
              </w:rPr>
              <w:t>《砖瓦工业大气污染物排放标准》(GB29620</w:t>
            </w:r>
            <w:r>
              <w:rPr>
                <w:rFonts w:hint="eastAsia" w:eastAsiaTheme="minorEastAsia"/>
                <w:szCs w:val="21"/>
              </w:rPr>
              <w:t>-2013</w:t>
            </w:r>
            <w:r>
              <w:rPr>
                <w:rFonts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vMerge w:val="continue"/>
            <w:tcBorders>
              <w:left w:val="single" w:color="auto" w:sz="4" w:space="0"/>
              <w:bottom w:val="single" w:color="auto" w:sz="4" w:space="0"/>
              <w:right w:val="single" w:color="auto" w:sz="4" w:space="0"/>
            </w:tcBorders>
            <w:vAlign w:val="center"/>
          </w:tcPr>
          <w:p>
            <w:pPr>
              <w:adjustRightInd w:val="0"/>
              <w:snapToGrid w:val="0"/>
              <w:spacing w:line="360" w:lineRule="exact"/>
              <w:jc w:val="center"/>
              <w:rPr>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hint="eastAsia" w:eastAsiaTheme="minorEastAsia"/>
                <w:szCs w:val="21"/>
              </w:rPr>
              <w:t>HCL</w:t>
            </w:r>
            <w:r>
              <w:rPr>
                <w:rFonts w:eastAsiaTheme="minorEastAsia"/>
                <w:szCs w:val="21"/>
              </w:rPr>
              <w:t>、重金属及二噁英</w:t>
            </w:r>
          </w:p>
        </w:tc>
        <w:tc>
          <w:tcPr>
            <w:tcW w:w="1985" w:type="dxa"/>
            <w:vMerge w:val="continue"/>
            <w:tcBorders>
              <w:left w:val="single" w:color="auto" w:sz="4" w:space="0"/>
              <w:bottom w:val="single" w:color="auto" w:sz="4" w:space="0"/>
              <w:right w:val="single" w:color="auto" w:sz="4" w:space="0"/>
            </w:tcBorders>
            <w:vAlign w:val="center"/>
          </w:tcPr>
          <w:p>
            <w:pPr>
              <w:adjustRightInd w:val="0"/>
              <w:snapToGrid w:val="0"/>
              <w:spacing w:line="360" w:lineRule="exact"/>
              <w:jc w:val="center"/>
              <w:rPr>
                <w:szCs w:val="21"/>
              </w:rPr>
            </w:pPr>
          </w:p>
        </w:tc>
        <w:tc>
          <w:tcPr>
            <w:tcW w:w="2301" w:type="dxa"/>
            <w:tcBorders>
              <w:top w:val="single" w:color="auto" w:sz="4" w:space="0"/>
              <w:left w:val="single" w:color="auto" w:sz="4" w:space="0"/>
              <w:right w:val="single" w:color="auto" w:sz="8" w:space="0"/>
            </w:tcBorders>
            <w:vAlign w:val="center"/>
          </w:tcPr>
          <w:p>
            <w:pPr>
              <w:adjustRightInd w:val="0"/>
              <w:snapToGrid w:val="0"/>
              <w:spacing w:line="360" w:lineRule="exact"/>
              <w:ind w:left="-53" w:leftChars="-25" w:right="-53" w:rightChars="-25"/>
              <w:jc w:val="left"/>
              <w:rPr>
                <w:rFonts w:eastAsiaTheme="minorEastAsia"/>
                <w:szCs w:val="21"/>
              </w:rPr>
            </w:pPr>
            <w:r>
              <w:rPr>
                <w:rFonts w:eastAsiaTheme="minorEastAsia"/>
                <w:szCs w:val="21"/>
              </w:rPr>
              <w:t>《生活垃圾焚烧污染控制标准》(GB18485</w:t>
            </w:r>
            <w:r>
              <w:rPr>
                <w:rFonts w:hint="eastAsia" w:eastAsiaTheme="minorEastAsia"/>
                <w:szCs w:val="21"/>
              </w:rPr>
              <w:t>-2014</w:t>
            </w:r>
            <w:r>
              <w:rPr>
                <w:rFonts w:eastAsiaTheme="minorEastAsia"/>
                <w:szCs w:val="21"/>
              </w:rPr>
              <w:t>)表</w:t>
            </w:r>
            <w:r>
              <w:rPr>
                <w:rFonts w:hint="eastAsia" w:eastAsiaTheme="minorEastAsia"/>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left w:val="single" w:color="auto" w:sz="4" w:space="0"/>
              <w:bottom w:val="single" w:color="auto" w:sz="4" w:space="0"/>
              <w:right w:val="single" w:color="auto" w:sz="4" w:space="0"/>
            </w:tcBorders>
            <w:vAlign w:val="center"/>
          </w:tcPr>
          <w:p>
            <w:pPr>
              <w:adjustRightInd w:val="0"/>
              <w:snapToGrid w:val="0"/>
              <w:spacing w:line="360" w:lineRule="exact"/>
              <w:jc w:val="center"/>
              <w:rPr>
                <w:szCs w:val="21"/>
              </w:rPr>
            </w:pPr>
            <w:r>
              <w:rPr>
                <w:szCs w:val="21"/>
              </w:rPr>
              <w:t>制砖原料破碎筛分</w:t>
            </w: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粉尘</w:t>
            </w:r>
          </w:p>
        </w:tc>
        <w:tc>
          <w:tcPr>
            <w:tcW w:w="1985" w:type="dxa"/>
            <w:tcBorders>
              <w:left w:val="single" w:color="auto" w:sz="4" w:space="0"/>
              <w:bottom w:val="single" w:color="auto" w:sz="4" w:space="0"/>
              <w:right w:val="single" w:color="auto" w:sz="4" w:space="0"/>
            </w:tcBorders>
            <w:vAlign w:val="center"/>
          </w:tcPr>
          <w:p>
            <w:pPr>
              <w:adjustRightInd w:val="0"/>
              <w:snapToGrid w:val="0"/>
              <w:spacing w:line="360" w:lineRule="exact"/>
              <w:jc w:val="center"/>
              <w:rPr>
                <w:szCs w:val="21"/>
              </w:rPr>
            </w:pPr>
            <w:r>
              <w:rPr>
                <w:rFonts w:hint="eastAsia"/>
                <w:szCs w:val="18"/>
              </w:rPr>
              <w:t>设为封闭式车间，设备进料口设喷雾装置，出料口配套袋式除尘器收尘净化处理</w:t>
            </w:r>
          </w:p>
        </w:tc>
        <w:tc>
          <w:tcPr>
            <w:tcW w:w="2301" w:type="dxa"/>
            <w:tcBorders>
              <w:top w:val="single" w:color="auto" w:sz="4" w:space="0"/>
              <w:left w:val="single" w:color="auto" w:sz="4" w:space="0"/>
              <w:right w:val="single" w:color="auto" w:sz="8" w:space="0"/>
            </w:tcBorders>
            <w:vAlign w:val="center"/>
          </w:tcPr>
          <w:p>
            <w:pPr>
              <w:adjustRightInd w:val="0"/>
              <w:snapToGrid w:val="0"/>
              <w:spacing w:line="360" w:lineRule="exact"/>
              <w:ind w:left="-53" w:leftChars="-25" w:right="-53" w:rightChars="-25"/>
              <w:jc w:val="left"/>
              <w:rPr>
                <w:rFonts w:eastAsiaTheme="minorEastAsia"/>
                <w:szCs w:val="21"/>
              </w:rPr>
            </w:pPr>
            <w:r>
              <w:rPr>
                <w:rFonts w:eastAsiaTheme="minorEastAsia"/>
                <w:szCs w:val="21"/>
              </w:rPr>
              <w:t>《砖瓦工业大气污染物排放标准》(GB29620</w:t>
            </w:r>
            <w:r>
              <w:rPr>
                <w:rFonts w:hint="eastAsia" w:eastAsiaTheme="minorEastAsia"/>
                <w:szCs w:val="21"/>
              </w:rPr>
              <w:t>-2013</w:t>
            </w:r>
            <w:r>
              <w:rPr>
                <w:rFonts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left w:val="single" w:color="auto" w:sz="4" w:space="0"/>
              <w:bottom w:val="single" w:color="auto" w:sz="4" w:space="0"/>
              <w:right w:val="single" w:color="auto" w:sz="4" w:space="0"/>
            </w:tcBorders>
            <w:vAlign w:val="center"/>
          </w:tcPr>
          <w:p>
            <w:pPr>
              <w:adjustRightInd w:val="0"/>
              <w:snapToGrid w:val="0"/>
              <w:spacing w:line="360" w:lineRule="exact"/>
              <w:jc w:val="center"/>
              <w:rPr>
                <w:szCs w:val="21"/>
              </w:rPr>
            </w:pPr>
            <w:r>
              <w:rPr>
                <w:rFonts w:hint="eastAsia"/>
                <w:szCs w:val="21"/>
              </w:rPr>
              <w:t>DA002/污泥烘干</w:t>
            </w: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eastAsiaTheme="minorEastAsia"/>
                <w:bCs/>
                <w:szCs w:val="21"/>
                <w:vertAlign w:val="subscript"/>
              </w:rPr>
            </w:pPr>
            <w:r>
              <w:rPr>
                <w:rFonts w:hint="eastAsia" w:eastAsiaTheme="minorEastAsia"/>
                <w:bCs/>
                <w:szCs w:val="21"/>
              </w:rPr>
              <w:t>S</w:t>
            </w:r>
            <w:r>
              <w:rPr>
                <w:rFonts w:eastAsiaTheme="minorEastAsia"/>
                <w:bCs/>
                <w:szCs w:val="21"/>
              </w:rPr>
              <w:t>O</w:t>
            </w:r>
            <w:r>
              <w:rPr>
                <w:rFonts w:eastAsiaTheme="minorEastAsia"/>
                <w:bCs/>
                <w:szCs w:val="21"/>
                <w:vertAlign w:val="subscript"/>
              </w:rPr>
              <w:t>2</w:t>
            </w:r>
            <w:r>
              <w:rPr>
                <w:rFonts w:hint="eastAsia" w:eastAsiaTheme="minorEastAsia"/>
                <w:bCs/>
                <w:szCs w:val="21"/>
              </w:rPr>
              <w:t>、N</w:t>
            </w:r>
            <w:r>
              <w:rPr>
                <w:rFonts w:eastAsiaTheme="minorEastAsia"/>
                <w:bCs/>
                <w:szCs w:val="21"/>
              </w:rPr>
              <w:t>O</w:t>
            </w:r>
            <w:r>
              <w:rPr>
                <w:rFonts w:eastAsiaTheme="minorEastAsia"/>
                <w:bCs/>
                <w:szCs w:val="21"/>
                <w:vertAlign w:val="subscript"/>
              </w:rPr>
              <w:t>X</w:t>
            </w:r>
            <w:r>
              <w:rPr>
                <w:rFonts w:hint="eastAsia" w:eastAsiaTheme="minorEastAsia"/>
                <w:bCs/>
                <w:szCs w:val="21"/>
              </w:rPr>
              <w:t>、TSP、H</w:t>
            </w:r>
            <w:r>
              <w:rPr>
                <w:rFonts w:hint="eastAsia" w:eastAsiaTheme="minorEastAsia"/>
                <w:bCs/>
                <w:szCs w:val="21"/>
                <w:vertAlign w:val="subscript"/>
              </w:rPr>
              <w:t>2</w:t>
            </w:r>
            <w:r>
              <w:rPr>
                <w:rFonts w:hint="eastAsia" w:eastAsiaTheme="minorEastAsia"/>
                <w:bCs/>
                <w:szCs w:val="21"/>
              </w:rPr>
              <w:t>S、NH</w:t>
            </w:r>
            <w:r>
              <w:rPr>
                <w:rFonts w:hint="eastAsia" w:eastAsiaTheme="minorEastAsia"/>
                <w:bCs/>
                <w:szCs w:val="21"/>
                <w:vertAlign w:val="subscript"/>
              </w:rPr>
              <w:t>3</w:t>
            </w:r>
          </w:p>
        </w:tc>
        <w:tc>
          <w:tcPr>
            <w:tcW w:w="1985" w:type="dxa"/>
            <w:tcBorders>
              <w:left w:val="single" w:color="auto" w:sz="4" w:space="0"/>
              <w:bottom w:val="single" w:color="auto" w:sz="4" w:space="0"/>
              <w:right w:val="single" w:color="auto" w:sz="4" w:space="0"/>
            </w:tcBorders>
            <w:vAlign w:val="center"/>
          </w:tcPr>
          <w:p>
            <w:pPr>
              <w:adjustRightInd w:val="0"/>
              <w:snapToGrid w:val="0"/>
              <w:spacing w:line="360" w:lineRule="exact"/>
              <w:jc w:val="center"/>
              <w:rPr>
                <w:szCs w:val="21"/>
              </w:rPr>
            </w:pPr>
            <w:r>
              <w:rPr>
                <w:rFonts w:hint="eastAsia"/>
                <w:szCs w:val="21"/>
              </w:rPr>
              <w:t>设</w:t>
            </w:r>
            <w:r>
              <w:rPr>
                <w:szCs w:val="21"/>
              </w:rPr>
              <w:t>“钠</w:t>
            </w:r>
            <w:r>
              <w:rPr>
                <w:rFonts w:hint="eastAsia"/>
                <w:szCs w:val="21"/>
              </w:rPr>
              <w:t>碱湿法脱硫</w:t>
            </w:r>
            <w:r>
              <w:rPr>
                <w:szCs w:val="21"/>
              </w:rPr>
              <w:t>”脱硫系统，处理后废气经</w:t>
            </w:r>
            <w:r>
              <w:rPr>
                <w:rFonts w:hint="eastAsia"/>
                <w:szCs w:val="21"/>
              </w:rPr>
              <w:t>15m高排气筒高空排放</w:t>
            </w:r>
          </w:p>
        </w:tc>
        <w:tc>
          <w:tcPr>
            <w:tcW w:w="2301" w:type="dxa"/>
            <w:tcBorders>
              <w:top w:val="single" w:color="auto" w:sz="4" w:space="0"/>
              <w:left w:val="single" w:color="auto" w:sz="4" w:space="0"/>
              <w:right w:val="single" w:color="auto" w:sz="8" w:space="0"/>
            </w:tcBorders>
            <w:vAlign w:val="center"/>
          </w:tcPr>
          <w:p>
            <w:pPr>
              <w:adjustRightInd w:val="0"/>
              <w:snapToGrid w:val="0"/>
              <w:spacing w:line="360" w:lineRule="exact"/>
              <w:ind w:left="-53" w:leftChars="-25" w:right="-53" w:rightChars="-25"/>
              <w:jc w:val="left"/>
              <w:rPr>
                <w:rFonts w:eastAsiaTheme="minorEastAsia"/>
                <w:spacing w:val="-2"/>
                <w:szCs w:val="21"/>
              </w:rPr>
            </w:pPr>
            <w:r>
              <w:rPr>
                <w:rFonts w:hint="eastAsia"/>
                <w:spacing w:val="-2"/>
                <w:kern w:val="0"/>
                <w:szCs w:val="21"/>
              </w:rPr>
              <w:t>《大气污染物综合排放标准》（GB 16297-1996）、</w:t>
            </w:r>
            <w:r>
              <w:rPr>
                <w:rFonts w:eastAsiaTheme="minorEastAsia"/>
                <w:spacing w:val="-2"/>
                <w:szCs w:val="21"/>
              </w:rPr>
              <w:t>《恶臭污染物排放标准》（GB14554</w:t>
            </w:r>
            <w:r>
              <w:rPr>
                <w:rFonts w:hint="eastAsia" w:eastAsiaTheme="minorEastAsia"/>
                <w:spacing w:val="-2"/>
                <w:szCs w:val="21"/>
              </w:rPr>
              <w:t>-93</w:t>
            </w:r>
            <w:r>
              <w:rPr>
                <w:rFonts w:eastAsiaTheme="minorEastAsia"/>
                <w:spacing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left w:val="single" w:color="auto" w:sz="4" w:space="0"/>
              <w:bottom w:val="single" w:color="auto" w:sz="4" w:space="0"/>
              <w:right w:val="single" w:color="auto" w:sz="4" w:space="0"/>
            </w:tcBorders>
            <w:vAlign w:val="center"/>
          </w:tcPr>
          <w:p>
            <w:pPr>
              <w:adjustRightInd w:val="0"/>
              <w:snapToGrid w:val="0"/>
              <w:spacing w:line="360" w:lineRule="exact"/>
              <w:jc w:val="center"/>
              <w:rPr>
                <w:szCs w:val="21"/>
              </w:rPr>
            </w:pPr>
            <w:r>
              <w:rPr>
                <w:rFonts w:hint="eastAsia"/>
                <w:szCs w:val="21"/>
              </w:rPr>
              <w:t>DA003/污泥贮存间</w:t>
            </w: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bCs/>
                <w:szCs w:val="21"/>
              </w:rPr>
              <w:t>硫化氢、氨</w:t>
            </w:r>
          </w:p>
        </w:tc>
        <w:tc>
          <w:tcPr>
            <w:tcW w:w="1985" w:type="dxa"/>
            <w:tcBorders>
              <w:left w:val="single" w:color="auto" w:sz="4" w:space="0"/>
              <w:bottom w:val="single" w:color="auto" w:sz="4" w:space="0"/>
              <w:right w:val="single" w:color="auto" w:sz="4" w:space="0"/>
            </w:tcBorders>
            <w:vAlign w:val="center"/>
          </w:tcPr>
          <w:p>
            <w:pPr>
              <w:adjustRightInd w:val="0"/>
              <w:snapToGrid w:val="0"/>
              <w:spacing w:line="360" w:lineRule="exact"/>
              <w:jc w:val="center"/>
              <w:rPr>
                <w:szCs w:val="21"/>
              </w:rPr>
            </w:pPr>
            <w:r>
              <w:rPr>
                <w:szCs w:val="21"/>
              </w:rPr>
              <w:t>车间密闭，设风机抽风形成微负压，设活性炭净化装置处理后经</w:t>
            </w:r>
            <w:r>
              <w:rPr>
                <w:rFonts w:hint="eastAsia"/>
                <w:szCs w:val="21"/>
              </w:rPr>
              <w:t>15m高排气筒高空排放</w:t>
            </w:r>
          </w:p>
        </w:tc>
        <w:tc>
          <w:tcPr>
            <w:tcW w:w="2301" w:type="dxa"/>
            <w:tcBorders>
              <w:top w:val="single" w:color="auto" w:sz="4" w:space="0"/>
              <w:left w:val="single" w:color="auto" w:sz="4" w:space="0"/>
              <w:right w:val="single" w:color="auto" w:sz="8" w:space="0"/>
            </w:tcBorders>
            <w:vAlign w:val="center"/>
          </w:tcPr>
          <w:p>
            <w:pPr>
              <w:adjustRightInd w:val="0"/>
              <w:snapToGrid w:val="0"/>
              <w:spacing w:line="360" w:lineRule="exact"/>
              <w:ind w:left="-53" w:leftChars="-25" w:right="-53" w:rightChars="-25"/>
              <w:jc w:val="left"/>
              <w:rPr>
                <w:rFonts w:eastAsiaTheme="minorEastAsia"/>
                <w:szCs w:val="21"/>
              </w:rPr>
            </w:pPr>
            <w:r>
              <w:rPr>
                <w:rFonts w:eastAsiaTheme="minorEastAsia"/>
                <w:szCs w:val="21"/>
              </w:rPr>
              <w:t>《恶臭污染物排放标准》（GB14554</w:t>
            </w:r>
            <w:r>
              <w:rPr>
                <w:rFonts w:hint="eastAsia" w:eastAsiaTheme="minorEastAsia"/>
                <w:szCs w:val="21"/>
              </w:rPr>
              <w:t>-93</w:t>
            </w:r>
            <w:r>
              <w:rPr>
                <w:rFonts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left w:val="single" w:color="auto" w:sz="4" w:space="0"/>
              <w:bottom w:val="single" w:color="auto" w:sz="4" w:space="0"/>
              <w:right w:val="single" w:color="auto" w:sz="4" w:space="0"/>
            </w:tcBorders>
            <w:vAlign w:val="center"/>
          </w:tcPr>
          <w:p>
            <w:pPr>
              <w:adjustRightInd w:val="0"/>
              <w:snapToGrid w:val="0"/>
              <w:spacing w:line="360" w:lineRule="exact"/>
              <w:jc w:val="center"/>
              <w:rPr>
                <w:szCs w:val="21"/>
              </w:rPr>
            </w:pPr>
            <w:r>
              <w:rPr>
                <w:szCs w:val="21"/>
              </w:rPr>
              <w:t>原料卸料</w:t>
            </w: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颗粒物</w:t>
            </w:r>
          </w:p>
        </w:tc>
        <w:tc>
          <w:tcPr>
            <w:tcW w:w="1985" w:type="dxa"/>
            <w:tcBorders>
              <w:left w:val="single" w:color="auto" w:sz="4" w:space="0"/>
              <w:bottom w:val="single" w:color="auto" w:sz="4" w:space="0"/>
              <w:right w:val="single" w:color="auto" w:sz="4" w:space="0"/>
            </w:tcBorders>
            <w:vAlign w:val="center"/>
          </w:tcPr>
          <w:p>
            <w:pPr>
              <w:adjustRightInd w:val="0"/>
              <w:snapToGrid w:val="0"/>
              <w:spacing w:line="360" w:lineRule="exact"/>
              <w:jc w:val="center"/>
              <w:rPr>
                <w:szCs w:val="21"/>
              </w:rPr>
            </w:pPr>
            <w:r>
              <w:rPr>
                <w:szCs w:val="21"/>
              </w:rPr>
              <w:t>喷雾降尘</w:t>
            </w:r>
          </w:p>
        </w:tc>
        <w:tc>
          <w:tcPr>
            <w:tcW w:w="2301" w:type="dxa"/>
            <w:tcBorders>
              <w:top w:val="single" w:color="auto" w:sz="4" w:space="0"/>
              <w:left w:val="single" w:color="auto" w:sz="4" w:space="0"/>
              <w:right w:val="single" w:color="auto" w:sz="8" w:space="0"/>
            </w:tcBorders>
            <w:vAlign w:val="center"/>
          </w:tcPr>
          <w:p>
            <w:pPr>
              <w:adjustRightInd w:val="0"/>
              <w:snapToGrid w:val="0"/>
              <w:spacing w:line="360" w:lineRule="exact"/>
              <w:ind w:left="-53" w:leftChars="-25" w:right="-53" w:rightChars="-25"/>
              <w:jc w:val="left"/>
              <w:rPr>
                <w:rFonts w:eastAsiaTheme="minorEastAsia"/>
                <w:szCs w:val="21"/>
              </w:rPr>
            </w:pPr>
            <w:r>
              <w:rPr>
                <w:rFonts w:eastAsiaTheme="minorEastAsia"/>
                <w:szCs w:val="21"/>
              </w:rPr>
              <w:t>《砖瓦工业大气污染物排放标准》(GB29620</w:t>
            </w:r>
            <w:r>
              <w:rPr>
                <w:rFonts w:hint="eastAsia" w:eastAsiaTheme="minorEastAsia"/>
                <w:szCs w:val="21"/>
              </w:rPr>
              <w:t>-2013</w:t>
            </w:r>
            <w:r>
              <w:rPr>
                <w:rFonts w:eastAsiaTheme="minorEastAsia"/>
                <w:szCs w:val="21"/>
              </w:rPr>
              <w:t>）表</w:t>
            </w:r>
            <w:r>
              <w:rPr>
                <w:rFonts w:hint="eastAsia" w:eastAsiaTheme="minorEastAsia"/>
                <w:szCs w:val="21"/>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1778" w:type="dxa"/>
            <w:vMerge w:val="restart"/>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地表水环境</w:t>
            </w:r>
          </w:p>
        </w:tc>
        <w:tc>
          <w:tcPr>
            <w:tcW w:w="1461" w:type="dxa"/>
            <w:tcBorders>
              <w:top w:val="single" w:color="auto" w:sz="4" w:space="0"/>
              <w:left w:val="single" w:color="auto" w:sz="4" w:space="0"/>
              <w:right w:val="single" w:color="auto" w:sz="4" w:space="0"/>
            </w:tcBorders>
            <w:vAlign w:val="center"/>
          </w:tcPr>
          <w:p>
            <w:pPr>
              <w:adjustRightInd w:val="0"/>
              <w:snapToGrid w:val="0"/>
              <w:spacing w:line="360" w:lineRule="exact"/>
              <w:jc w:val="center"/>
              <w:rPr>
                <w:szCs w:val="21"/>
              </w:rPr>
            </w:pPr>
            <w:r>
              <w:rPr>
                <w:rFonts w:hint="eastAsia"/>
                <w:szCs w:val="21"/>
              </w:rPr>
              <w:t>施工现场</w:t>
            </w: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施工</w:t>
            </w:r>
          </w:p>
          <w:p>
            <w:pPr>
              <w:adjustRightInd w:val="0"/>
              <w:snapToGrid w:val="0"/>
              <w:spacing w:line="360" w:lineRule="exact"/>
              <w:jc w:val="center"/>
              <w:rPr>
                <w:rFonts w:eastAsiaTheme="minorEastAsia"/>
                <w:szCs w:val="21"/>
              </w:rPr>
            </w:pPr>
            <w:r>
              <w:rPr>
                <w:rFonts w:eastAsiaTheme="minorEastAsia"/>
                <w:szCs w:val="21"/>
              </w:rPr>
              <w:t>废水</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szCs w:val="21"/>
              </w:rPr>
            </w:pPr>
            <w:r>
              <w:rPr>
                <w:szCs w:val="21"/>
              </w:rPr>
              <w:t>设沉淀池收集处理后回用</w:t>
            </w:r>
          </w:p>
        </w:tc>
        <w:tc>
          <w:tcPr>
            <w:tcW w:w="2301" w:type="dxa"/>
            <w:tcBorders>
              <w:left w:val="single" w:color="auto" w:sz="4" w:space="0"/>
              <w:bottom w:val="single" w:color="auto" w:sz="4" w:space="0"/>
              <w:right w:val="single" w:color="auto" w:sz="8" w:space="0"/>
            </w:tcBorders>
            <w:vAlign w:val="center"/>
          </w:tcPr>
          <w:p>
            <w:pPr>
              <w:adjustRightInd w:val="0"/>
              <w:snapToGrid w:val="0"/>
              <w:spacing w:line="360" w:lineRule="exact"/>
              <w:jc w:val="center"/>
              <w:rPr>
                <w:spacing w:val="-4"/>
                <w:szCs w:val="21"/>
              </w:rPr>
            </w:pPr>
            <w:r>
              <w:rPr>
                <w:spacing w:val="-4"/>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pStyle w:val="40"/>
              <w:spacing w:line="360" w:lineRule="exact"/>
              <w:jc w:val="center"/>
              <w:rPr>
                <w:rFonts w:eastAsiaTheme="minorEastAsia"/>
                <w:sz w:val="21"/>
                <w:szCs w:val="21"/>
              </w:rPr>
            </w:pPr>
            <w:r>
              <w:rPr>
                <w:rFonts w:eastAsiaTheme="minorEastAsia"/>
                <w:sz w:val="21"/>
                <w:szCs w:val="21"/>
              </w:rPr>
              <w:t>生活污水</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inorEastAsia"/>
                <w:szCs w:val="21"/>
              </w:rPr>
            </w:pPr>
            <w:r>
              <w:rPr>
                <w:rFonts w:eastAsiaTheme="minorEastAsia"/>
                <w:szCs w:val="21"/>
              </w:rPr>
              <w:t>COD</w:t>
            </w:r>
            <w:r>
              <w:rPr>
                <w:rFonts w:eastAsiaTheme="minorEastAsia"/>
                <w:szCs w:val="21"/>
                <w:vertAlign w:val="subscript"/>
              </w:rPr>
              <w:t>cr</w:t>
            </w:r>
            <w:r>
              <w:rPr>
                <w:rFonts w:eastAsiaTheme="minorEastAsia"/>
                <w:szCs w:val="21"/>
              </w:rPr>
              <w:t>、BOD</w:t>
            </w:r>
            <w:r>
              <w:rPr>
                <w:rFonts w:eastAsiaTheme="minorEastAsia"/>
                <w:szCs w:val="21"/>
                <w:vertAlign w:val="subscript"/>
              </w:rPr>
              <w:t>5</w:t>
            </w:r>
            <w:r>
              <w:rPr>
                <w:rFonts w:eastAsiaTheme="minorEastAsia"/>
                <w:szCs w:val="21"/>
              </w:rPr>
              <w:t xml:space="preserve">、SS </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szCs w:val="21"/>
              </w:rPr>
            </w:pPr>
            <w:r>
              <w:rPr>
                <w:szCs w:val="21"/>
              </w:rPr>
              <w:t>设</w:t>
            </w:r>
            <w:r>
              <w:rPr>
                <w:rFonts w:hint="eastAsia"/>
                <w:szCs w:val="21"/>
              </w:rPr>
              <w:t>旱厕</w:t>
            </w:r>
            <w:r>
              <w:rPr>
                <w:szCs w:val="21"/>
              </w:rPr>
              <w:t>处理后做农用</w:t>
            </w:r>
          </w:p>
        </w:tc>
        <w:tc>
          <w:tcPr>
            <w:tcW w:w="2301"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center"/>
              <w:rPr>
                <w:spacing w:val="-4"/>
                <w:szCs w:val="21"/>
              </w:rPr>
            </w:pPr>
            <w:r>
              <w:rPr>
                <w:spacing w:val="-4"/>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pStyle w:val="40"/>
              <w:spacing w:line="360" w:lineRule="exact"/>
              <w:jc w:val="center"/>
              <w:rPr>
                <w:rFonts w:eastAsiaTheme="minorEastAsia"/>
                <w:sz w:val="21"/>
                <w:szCs w:val="21"/>
              </w:rPr>
            </w:pPr>
            <w:r>
              <w:rPr>
                <w:rFonts w:eastAsiaTheme="minorEastAsia"/>
                <w:sz w:val="21"/>
                <w:szCs w:val="21"/>
              </w:rPr>
              <w:t>脱硫废液</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inorEastAsia"/>
                <w:szCs w:val="21"/>
              </w:rPr>
            </w:pPr>
            <w:r>
              <w:rPr>
                <w:rFonts w:eastAsiaTheme="minorEastAsia"/>
                <w:bCs/>
                <w:szCs w:val="21"/>
              </w:rPr>
              <w:t>NaHSO</w:t>
            </w:r>
            <w:r>
              <w:rPr>
                <w:rFonts w:eastAsiaTheme="minorEastAsia"/>
                <w:bCs/>
                <w:szCs w:val="21"/>
                <w:vertAlign w:val="subscript"/>
              </w:rPr>
              <w:t>3</w:t>
            </w:r>
            <w:r>
              <w:rPr>
                <w:rFonts w:eastAsiaTheme="minorEastAsia"/>
                <w:bCs/>
                <w:szCs w:val="21"/>
              </w:rPr>
              <w:t>等</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left"/>
              <w:rPr>
                <w:szCs w:val="21"/>
              </w:rPr>
            </w:pPr>
            <w:r>
              <w:rPr>
                <w:szCs w:val="21"/>
              </w:rPr>
              <w:t>设“</w:t>
            </w:r>
            <w:r>
              <w:rPr>
                <w:rFonts w:hint="eastAsia"/>
                <w:szCs w:val="21"/>
              </w:rPr>
              <w:t>沉淀池+</w:t>
            </w:r>
            <w:r>
              <w:rPr>
                <w:szCs w:val="21"/>
              </w:rPr>
              <w:t>再生池”</w:t>
            </w:r>
            <w:r>
              <w:rPr>
                <w:rFonts w:hint="eastAsia"/>
                <w:szCs w:val="21"/>
              </w:rPr>
              <w:t>再生</w:t>
            </w:r>
            <w:r>
              <w:rPr>
                <w:szCs w:val="21"/>
              </w:rPr>
              <w:t>后回用</w:t>
            </w:r>
          </w:p>
        </w:tc>
        <w:tc>
          <w:tcPr>
            <w:tcW w:w="2301"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center"/>
              <w:rPr>
                <w:szCs w:val="21"/>
              </w:rPr>
            </w:pPr>
            <w:r>
              <w:rPr>
                <w:spacing w:val="-4"/>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pStyle w:val="40"/>
              <w:spacing w:line="360" w:lineRule="exact"/>
              <w:jc w:val="center"/>
              <w:rPr>
                <w:rFonts w:eastAsiaTheme="minorEastAsia"/>
                <w:sz w:val="21"/>
                <w:szCs w:val="21"/>
              </w:rPr>
            </w:pPr>
            <w:r>
              <w:rPr>
                <w:rFonts w:eastAsiaTheme="minorEastAsia"/>
                <w:sz w:val="21"/>
                <w:szCs w:val="21"/>
              </w:rPr>
              <w:t>场地散水</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inorEastAsia"/>
                <w:bCs/>
                <w:szCs w:val="21"/>
              </w:rPr>
            </w:pPr>
            <w:r>
              <w:rPr>
                <w:rFonts w:hint="eastAsia" w:eastAsiaTheme="minorEastAsia"/>
                <w:bCs/>
                <w:szCs w:val="21"/>
              </w:rPr>
              <w:t>SS</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left"/>
              <w:rPr>
                <w:szCs w:val="21"/>
              </w:rPr>
            </w:pPr>
            <w:r>
              <w:rPr>
                <w:szCs w:val="21"/>
              </w:rPr>
              <w:t>厂区四周设截排水沟，实现雨污分流；厂区内散排水收集处置后，全部回用</w:t>
            </w:r>
          </w:p>
        </w:tc>
        <w:tc>
          <w:tcPr>
            <w:tcW w:w="2301"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center"/>
              <w:rPr>
                <w:spacing w:val="-4"/>
                <w:szCs w:val="21"/>
              </w:rPr>
            </w:pPr>
            <w:r>
              <w:rPr>
                <w:spacing w:val="-4"/>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37"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szCs w:val="21"/>
              </w:rPr>
            </w:pPr>
            <w:r>
              <w:rPr>
                <w:szCs w:val="21"/>
              </w:rPr>
              <w:t>车辆冲洗废水</w:t>
            </w:r>
          </w:p>
        </w:tc>
        <w:tc>
          <w:tcPr>
            <w:tcW w:w="1275" w:type="dxa"/>
            <w:tcBorders>
              <w:top w:val="single" w:color="auto" w:sz="4" w:space="0"/>
              <w:left w:val="single" w:color="auto" w:sz="4" w:space="0"/>
              <w:bottom w:val="single" w:color="auto" w:sz="4" w:space="0"/>
              <w:right w:val="single" w:color="auto" w:sz="4" w:space="0"/>
            </w:tcBorders>
            <w:vAlign w:val="center"/>
          </w:tcPr>
          <w:p>
            <w:pPr>
              <w:pStyle w:val="41"/>
              <w:spacing w:before="0" w:beforeAutospacing="0" w:line="360" w:lineRule="exact"/>
              <w:jc w:val="center"/>
              <w:rPr>
                <w:rFonts w:ascii="Times New Roman" w:hAnsi="Times New Roman"/>
                <w:sz w:val="21"/>
                <w:szCs w:val="21"/>
              </w:rPr>
            </w:pPr>
            <w:r>
              <w:rPr>
                <w:rFonts w:hint="eastAsia" w:ascii="Times New Roman" w:hAnsi="Times New Roman"/>
                <w:sz w:val="21"/>
                <w:szCs w:val="21"/>
              </w:rPr>
              <w:t>SS</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left"/>
              <w:rPr>
                <w:szCs w:val="21"/>
              </w:rPr>
            </w:pPr>
            <w:r>
              <w:rPr>
                <w:szCs w:val="21"/>
              </w:rPr>
              <w:t>设沉淀池处理后回用</w:t>
            </w:r>
          </w:p>
        </w:tc>
        <w:tc>
          <w:tcPr>
            <w:tcW w:w="2301"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center"/>
              <w:rPr>
                <w:szCs w:val="21"/>
              </w:rPr>
            </w:pPr>
            <w:r>
              <w:rPr>
                <w:spacing w:val="-4"/>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52" w:hRule="atLeast"/>
          <w:jc w:val="center"/>
        </w:trPr>
        <w:tc>
          <w:tcPr>
            <w:tcW w:w="1778" w:type="dxa"/>
            <w:vMerge w:val="restart"/>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声环境</w:t>
            </w:r>
          </w:p>
        </w:tc>
        <w:tc>
          <w:tcPr>
            <w:tcW w:w="146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inorEastAsia"/>
                <w:szCs w:val="21"/>
              </w:rPr>
            </w:pPr>
            <w:r>
              <w:rPr>
                <w:rFonts w:eastAsiaTheme="minorEastAsia"/>
                <w:szCs w:val="21"/>
              </w:rPr>
              <w:t>施工现场</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inorEastAsia"/>
                <w:szCs w:val="21"/>
              </w:rPr>
            </w:pPr>
            <w:r>
              <w:rPr>
                <w:rFonts w:eastAsiaTheme="minorEastAsia"/>
                <w:szCs w:val="21"/>
              </w:rPr>
              <w:t>基础建设、装修作业、设备安装</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left"/>
              <w:rPr>
                <w:rFonts w:eastAsiaTheme="minorEastAsia"/>
                <w:szCs w:val="21"/>
              </w:rPr>
            </w:pPr>
            <w:r>
              <w:rPr>
                <w:rFonts w:eastAsiaTheme="minorEastAsia"/>
                <w:szCs w:val="21"/>
              </w:rPr>
              <w:t>设置专用操作间、合理布局施工机械、加强设备维护保养、合理安排施工时间、文明施工</w:t>
            </w:r>
          </w:p>
        </w:tc>
        <w:tc>
          <w:tcPr>
            <w:tcW w:w="2301"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left"/>
              <w:rPr>
                <w:rFonts w:eastAsiaTheme="minorEastAsia"/>
                <w:szCs w:val="21"/>
              </w:rPr>
            </w:pPr>
            <w:r>
              <w:rPr>
                <w:rFonts w:eastAsiaTheme="minorEastAsia"/>
                <w:szCs w:val="21"/>
              </w:rPr>
              <w:t>《建筑施工场界环境噪声排放限值》（GB12523）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73"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eastAsiaTheme="minorEastAsia"/>
                <w:szCs w:val="21"/>
              </w:rPr>
            </w:pPr>
            <w:r>
              <w:rPr>
                <w:rFonts w:hint="eastAsia" w:eastAsiaTheme="minorEastAsia"/>
                <w:szCs w:val="21"/>
              </w:rPr>
              <w:t>破碎机、风机、搅拌机、制砖机等</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inorEastAsia"/>
                <w:szCs w:val="21"/>
              </w:rPr>
            </w:pPr>
            <w:r>
              <w:rPr>
                <w:rFonts w:eastAsiaTheme="minorEastAsia"/>
                <w:szCs w:val="21"/>
              </w:rPr>
              <w:t>设备</w:t>
            </w:r>
          </w:p>
          <w:p>
            <w:pPr>
              <w:spacing w:line="360" w:lineRule="exact"/>
              <w:jc w:val="center"/>
              <w:rPr>
                <w:rFonts w:eastAsiaTheme="minorEastAsia"/>
                <w:szCs w:val="21"/>
              </w:rPr>
            </w:pPr>
            <w:r>
              <w:rPr>
                <w:rFonts w:eastAsiaTheme="minorEastAsia"/>
                <w:szCs w:val="21"/>
              </w:rPr>
              <w:t>噪声</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left"/>
              <w:rPr>
                <w:rFonts w:eastAsiaTheme="minorEastAsia"/>
                <w:szCs w:val="21"/>
              </w:rPr>
            </w:pPr>
            <w:r>
              <w:rPr>
                <w:rFonts w:hint="eastAsia" w:ascii="宋体" w:hAnsi="宋体" w:cs="宋体"/>
                <w:szCs w:val="21"/>
              </w:rPr>
              <w:t>①</w:t>
            </w:r>
            <w:r>
              <w:rPr>
                <w:rFonts w:eastAsiaTheme="minorEastAsia"/>
                <w:szCs w:val="21"/>
              </w:rPr>
              <w:t>优选低噪声设备；</w:t>
            </w:r>
            <w:r>
              <w:rPr>
                <w:rFonts w:hint="eastAsia" w:eastAsiaTheme="minorEastAsia"/>
                <w:szCs w:val="21"/>
              </w:rPr>
              <w:t>②</w:t>
            </w:r>
            <w:r>
              <w:rPr>
                <w:rFonts w:eastAsiaTheme="minorEastAsia"/>
                <w:szCs w:val="21"/>
              </w:rPr>
              <w:t>基础减振、建筑隔声；</w:t>
            </w:r>
            <w:r>
              <w:rPr>
                <w:rFonts w:hint="eastAsia" w:ascii="宋体" w:hAnsi="宋体" w:cs="宋体"/>
                <w:szCs w:val="21"/>
              </w:rPr>
              <w:t>③</w:t>
            </w:r>
            <w:r>
              <w:rPr>
                <w:rFonts w:eastAsiaTheme="minorEastAsia"/>
                <w:szCs w:val="21"/>
              </w:rPr>
              <w:t>加强维护管理、合理安排生产时间</w:t>
            </w:r>
          </w:p>
        </w:tc>
        <w:tc>
          <w:tcPr>
            <w:tcW w:w="2301"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left"/>
              <w:rPr>
                <w:rFonts w:eastAsiaTheme="minorEastAsia"/>
                <w:szCs w:val="21"/>
              </w:rPr>
            </w:pPr>
            <w:r>
              <w:rPr>
                <w:rFonts w:eastAsiaTheme="minorEastAsia"/>
                <w:szCs w:val="21"/>
              </w:rPr>
              <w:t>《工业企业厂界环境噪声排放标准》（GB12348）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电磁辐射</w:t>
            </w:r>
          </w:p>
        </w:tc>
        <w:tc>
          <w:tcPr>
            <w:tcW w:w="14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w:t>
            </w: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center"/>
              <w:rPr>
                <w:rFonts w:eastAsiaTheme="minorEastAsia"/>
                <w:szCs w:val="21"/>
              </w:rPr>
            </w:pPr>
            <w:r>
              <w:rPr>
                <w:rFonts w:eastAsiaTheme="minorEastAsia"/>
                <w:szCs w:val="21"/>
              </w:rPr>
              <w:t>/</w:t>
            </w:r>
          </w:p>
        </w:tc>
        <w:tc>
          <w:tcPr>
            <w:tcW w:w="2301"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left"/>
              <w:rPr>
                <w:rFonts w:eastAsiaTheme="minorEastAsia"/>
                <w:szCs w:val="21"/>
              </w:rPr>
            </w:pPr>
            <w:r>
              <w:rPr>
                <w:rFonts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345"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eastAsiaTheme="minorEastAsia"/>
                <w:szCs w:val="21"/>
              </w:rPr>
            </w:pPr>
            <w:r>
              <w:rPr>
                <w:rFonts w:eastAsiaTheme="minorEastAsia"/>
                <w:szCs w:val="21"/>
              </w:rPr>
              <w:t>固体废物</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ind w:left="-53" w:leftChars="-25" w:right="-53" w:rightChars="-25"/>
              <w:jc w:val="left"/>
              <w:rPr>
                <w:rFonts w:eastAsia="黑体"/>
                <w:bCs/>
                <w:szCs w:val="21"/>
              </w:rPr>
            </w:pPr>
            <w:r>
              <w:rPr>
                <w:rFonts w:eastAsia="黑体"/>
                <w:bCs/>
                <w:szCs w:val="21"/>
              </w:rPr>
              <w:t>1、施工期</w:t>
            </w:r>
          </w:p>
          <w:p>
            <w:pPr>
              <w:autoSpaceDE w:val="0"/>
              <w:autoSpaceDN w:val="0"/>
              <w:adjustRightInd w:val="0"/>
              <w:spacing w:line="360" w:lineRule="exact"/>
              <w:ind w:firstLine="422" w:firstLineChars="201"/>
              <w:jc w:val="left"/>
              <w:rPr>
                <w:kern w:val="0"/>
                <w:szCs w:val="21"/>
              </w:rPr>
            </w:pPr>
            <w:r>
              <w:rPr>
                <w:rFonts w:hint="eastAsia"/>
                <w:kern w:val="0"/>
                <w:szCs w:val="21"/>
              </w:rPr>
              <w:t>①对于可以回收利用的（如废钢铁、包装材料等）部分建筑垃圾应尽量集中收集，送到废品回收站回收利用。</w:t>
            </w:r>
          </w:p>
          <w:p>
            <w:pPr>
              <w:autoSpaceDE w:val="0"/>
              <w:autoSpaceDN w:val="0"/>
              <w:adjustRightInd w:val="0"/>
              <w:spacing w:line="360" w:lineRule="exact"/>
              <w:ind w:firstLine="422" w:firstLineChars="201"/>
              <w:jc w:val="left"/>
              <w:rPr>
                <w:kern w:val="0"/>
                <w:szCs w:val="21"/>
              </w:rPr>
            </w:pPr>
            <w:r>
              <w:rPr>
                <w:rFonts w:hint="eastAsia"/>
                <w:kern w:val="0"/>
                <w:szCs w:val="21"/>
              </w:rPr>
              <w:t>②场地平整和沉淀池开挖产生的少量弃土以及建设时的建筑垃圾，可及时在施工场地内低洼处回填，或留作营运期制砖原料。</w:t>
            </w:r>
          </w:p>
          <w:p>
            <w:pPr>
              <w:autoSpaceDE w:val="0"/>
              <w:autoSpaceDN w:val="0"/>
              <w:adjustRightInd w:val="0"/>
              <w:spacing w:line="360" w:lineRule="exact"/>
              <w:ind w:firstLine="422" w:firstLineChars="201"/>
              <w:jc w:val="left"/>
              <w:rPr>
                <w:kern w:val="0"/>
                <w:szCs w:val="21"/>
              </w:rPr>
            </w:pPr>
            <w:r>
              <w:rPr>
                <w:rFonts w:hint="eastAsia"/>
                <w:kern w:val="0"/>
                <w:szCs w:val="21"/>
              </w:rPr>
              <w:t>③严禁将弃土、建筑垃圾随意丢弃至附近山林、荒坡，更不得混入生活垃圾。</w:t>
            </w:r>
          </w:p>
          <w:p>
            <w:pPr>
              <w:autoSpaceDE w:val="0"/>
              <w:autoSpaceDN w:val="0"/>
              <w:adjustRightInd w:val="0"/>
              <w:spacing w:line="360" w:lineRule="exact"/>
              <w:ind w:firstLine="422" w:firstLineChars="201"/>
              <w:jc w:val="left"/>
              <w:rPr>
                <w:kern w:val="0"/>
                <w:szCs w:val="21"/>
              </w:rPr>
            </w:pPr>
            <w:r>
              <w:rPr>
                <w:rFonts w:hint="eastAsia"/>
                <w:kern w:val="0"/>
                <w:szCs w:val="21"/>
              </w:rPr>
              <w:t>④建设单位应加强施工现场的施工管理工作，施工前材料选购应精确计量，避免材料浪费，产生不必要的施工建筑垃圾。</w:t>
            </w:r>
          </w:p>
          <w:p>
            <w:pPr>
              <w:autoSpaceDE w:val="0"/>
              <w:autoSpaceDN w:val="0"/>
              <w:adjustRightInd w:val="0"/>
              <w:spacing w:line="360" w:lineRule="exact"/>
              <w:ind w:firstLine="422" w:firstLineChars="201"/>
              <w:jc w:val="left"/>
              <w:rPr>
                <w:szCs w:val="21"/>
              </w:rPr>
            </w:pPr>
            <w:r>
              <w:rPr>
                <w:rFonts w:hint="eastAsia"/>
                <w:kern w:val="0"/>
                <w:szCs w:val="21"/>
              </w:rPr>
              <w:t>⑤废弃建筑材料等可回收利用的，应及时外运出售。</w:t>
            </w:r>
          </w:p>
          <w:p>
            <w:pPr>
              <w:adjustRightInd w:val="0"/>
              <w:snapToGrid w:val="0"/>
              <w:spacing w:line="360" w:lineRule="exact"/>
              <w:ind w:left="-53" w:leftChars="-25" w:right="-53" w:rightChars="-25"/>
              <w:jc w:val="left"/>
              <w:rPr>
                <w:rFonts w:eastAsia="黑体"/>
                <w:bCs/>
                <w:szCs w:val="21"/>
              </w:rPr>
            </w:pPr>
            <w:r>
              <w:rPr>
                <w:rFonts w:eastAsia="黑体"/>
                <w:bCs/>
                <w:szCs w:val="21"/>
              </w:rPr>
              <w:t>2、营运期</w:t>
            </w:r>
          </w:p>
          <w:p>
            <w:pPr>
              <w:autoSpaceDE w:val="0"/>
              <w:autoSpaceDN w:val="0"/>
              <w:adjustRightInd w:val="0"/>
              <w:spacing w:line="360" w:lineRule="exact"/>
              <w:ind w:firstLine="422" w:firstLineChars="201"/>
              <w:jc w:val="left"/>
              <w:rPr>
                <w:kern w:val="0"/>
                <w:szCs w:val="21"/>
              </w:rPr>
            </w:pPr>
            <w:r>
              <w:rPr>
                <w:rFonts w:hint="eastAsia"/>
                <w:kern w:val="0"/>
                <w:szCs w:val="21"/>
              </w:rPr>
              <w:t>①不合格砖和破损砖、脱硫废渣、收集的除尘灰、煤渣等一般固废，收集后临时堆存，及时返回生产线做原料回用或外售建材企业以及由厂家回收处置。</w:t>
            </w:r>
          </w:p>
          <w:p>
            <w:pPr>
              <w:autoSpaceDE w:val="0"/>
              <w:autoSpaceDN w:val="0"/>
              <w:adjustRightInd w:val="0"/>
              <w:spacing w:line="360" w:lineRule="exact"/>
              <w:ind w:firstLine="422" w:firstLineChars="201"/>
              <w:jc w:val="left"/>
              <w:rPr>
                <w:kern w:val="0"/>
                <w:szCs w:val="21"/>
              </w:rPr>
            </w:pPr>
            <w:r>
              <w:rPr>
                <w:rFonts w:hint="eastAsia" w:ascii="宋体" w:hAnsi="宋体" w:cs="宋体"/>
                <w:kern w:val="0"/>
                <w:szCs w:val="21"/>
              </w:rPr>
              <w:t>②</w:t>
            </w:r>
            <w:r>
              <w:rPr>
                <w:kern w:val="0"/>
                <w:szCs w:val="21"/>
              </w:rPr>
              <w:t>废机油和废油桶等危废，设置规范的危废暂存间</w:t>
            </w:r>
            <w:r>
              <w:rPr>
                <w:rFonts w:hint="eastAsia"/>
                <w:kern w:val="0"/>
                <w:szCs w:val="21"/>
              </w:rPr>
              <w:t>1个，建筑面积约20m</w:t>
            </w:r>
            <w:r>
              <w:rPr>
                <w:rFonts w:hint="eastAsia"/>
                <w:kern w:val="0"/>
                <w:szCs w:val="21"/>
                <w:vertAlign w:val="superscript"/>
              </w:rPr>
              <w:t>2</w:t>
            </w:r>
            <w:r>
              <w:rPr>
                <w:rFonts w:hint="eastAsia"/>
                <w:kern w:val="0"/>
                <w:szCs w:val="21"/>
              </w:rPr>
              <w:t>，采取“四防”措施，严格执行转移联单制度，</w:t>
            </w:r>
            <w:r>
              <w:rPr>
                <w:kern w:val="0"/>
                <w:szCs w:val="21"/>
              </w:rPr>
              <w:t>委托资质的单位处置。</w:t>
            </w:r>
          </w:p>
          <w:p>
            <w:pPr>
              <w:autoSpaceDE w:val="0"/>
              <w:autoSpaceDN w:val="0"/>
              <w:adjustRightInd w:val="0"/>
              <w:spacing w:line="360" w:lineRule="exact"/>
              <w:ind w:firstLine="422" w:firstLineChars="201"/>
              <w:jc w:val="left"/>
              <w:rPr>
                <w:kern w:val="0"/>
                <w:szCs w:val="21"/>
              </w:rPr>
            </w:pPr>
            <w:r>
              <w:rPr>
                <w:rFonts w:hint="eastAsia" w:ascii="宋体" w:hAnsi="宋体" w:cs="宋体"/>
                <w:kern w:val="0"/>
                <w:szCs w:val="21"/>
              </w:rPr>
              <w:t>③</w:t>
            </w:r>
            <w:r>
              <w:rPr>
                <w:kern w:val="0"/>
                <w:szCs w:val="21"/>
              </w:rPr>
              <w:t>生活垃圾设垃圾桶收集，送至附近场镇生活垃圾集中收集点。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16"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360" w:lineRule="exact"/>
              <w:jc w:val="center"/>
              <w:rPr>
                <w:szCs w:val="21"/>
              </w:rPr>
            </w:pPr>
            <w:r>
              <w:rPr>
                <w:szCs w:val="21"/>
              </w:rPr>
              <w:t>土壤及地下水</w:t>
            </w:r>
          </w:p>
          <w:p>
            <w:pPr>
              <w:adjustRightInd w:val="0"/>
              <w:snapToGrid w:val="0"/>
              <w:spacing w:line="360" w:lineRule="exact"/>
              <w:jc w:val="center"/>
              <w:rPr>
                <w:szCs w:val="21"/>
              </w:rPr>
            </w:pPr>
            <w:r>
              <w:rPr>
                <w:szCs w:val="21"/>
              </w:rPr>
              <w:t>污染防治措施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napToGrid w:val="0"/>
              <w:spacing w:line="360" w:lineRule="exact"/>
              <w:ind w:firstLine="420" w:firstLineChars="200"/>
              <w:jc w:val="left"/>
              <w:rPr>
                <w:szCs w:val="21"/>
              </w:rPr>
            </w:pPr>
            <w:r>
              <w:rPr>
                <w:kern w:val="0"/>
                <w:szCs w:val="21"/>
              </w:rPr>
              <w:t>本项目生产车间为封闭式车间，地面已采取水泥硬化处理，危废间、污泥贮存车间划定为重点防渗区，原料堆场、脱硫废液处理设施等划定为一般防渗区，严格按照相应防渗要求进行防渗处理。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6"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zCs w:val="21"/>
              </w:rPr>
            </w:pPr>
            <w:r>
              <w:rPr>
                <w:szCs w:val="21"/>
              </w:rPr>
              <w:t>生态保护措施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ind w:left="-53" w:leftChars="-25" w:right="-53" w:rightChars="-25"/>
              <w:jc w:val="left"/>
              <w:rPr>
                <w:szCs w:val="21"/>
              </w:rPr>
            </w:pPr>
            <w:r>
              <w:rPr>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4"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pacing w:val="-8"/>
                <w:szCs w:val="21"/>
              </w:rPr>
            </w:pPr>
            <w:r>
              <w:rPr>
                <w:spacing w:val="-8"/>
                <w:szCs w:val="21"/>
              </w:rPr>
              <w:t>环境风险</w:t>
            </w:r>
          </w:p>
          <w:p>
            <w:pPr>
              <w:adjustRightInd w:val="0"/>
              <w:snapToGrid w:val="0"/>
              <w:jc w:val="center"/>
              <w:rPr>
                <w:spacing w:val="-8"/>
                <w:szCs w:val="21"/>
              </w:rPr>
            </w:pPr>
            <w:r>
              <w:rPr>
                <w:spacing w:val="-8"/>
                <w:szCs w:val="21"/>
              </w:rPr>
              <w:t>防范措施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pacing w:line="360" w:lineRule="exact"/>
              <w:ind w:firstLine="420" w:firstLineChars="200"/>
              <w:jc w:val="left"/>
              <w:rPr>
                <w:kern w:val="0"/>
              </w:rPr>
            </w:pPr>
            <w:r>
              <w:rPr>
                <w:rFonts w:hint="eastAsia" w:ascii="宋体" w:hAnsi="宋体" w:cs="宋体"/>
                <w:kern w:val="0"/>
              </w:rPr>
              <w:t>①</w:t>
            </w:r>
            <w:r>
              <w:rPr>
                <w:kern w:val="0"/>
              </w:rPr>
              <w:t>采取分区防渗措施，</w:t>
            </w:r>
            <w:r>
              <w:rPr>
                <w:kern w:val="0"/>
                <w:szCs w:val="21"/>
              </w:rPr>
              <w:t>危废间、污泥贮存车间</w:t>
            </w:r>
            <w:r>
              <w:rPr>
                <w:rFonts w:hint="eastAsia"/>
                <w:kern w:val="0"/>
                <w:szCs w:val="21"/>
              </w:rPr>
              <w:t>划分为</w:t>
            </w:r>
            <w:r>
              <w:rPr>
                <w:kern w:val="0"/>
              </w:rPr>
              <w:t>重点防渗区。重点防渗区严格按照相应防渗要求，采用粘土垫底+采用防渗混凝土硬化2mm厚HDPE膜进行防渗，渗透系数K≤1×10</w:t>
            </w:r>
            <w:r>
              <w:rPr>
                <w:kern w:val="0"/>
                <w:vertAlign w:val="superscript"/>
              </w:rPr>
              <w:t>-10</w:t>
            </w:r>
            <w:r>
              <w:rPr>
                <w:kern w:val="0"/>
              </w:rPr>
              <w:t>cm/s。</w:t>
            </w:r>
          </w:p>
          <w:p>
            <w:pPr>
              <w:autoSpaceDE w:val="0"/>
              <w:autoSpaceDN w:val="0"/>
              <w:adjustRightInd w:val="0"/>
              <w:spacing w:line="360" w:lineRule="exact"/>
              <w:ind w:firstLine="420" w:firstLineChars="200"/>
              <w:jc w:val="left"/>
              <w:rPr>
                <w:kern w:val="0"/>
              </w:rPr>
            </w:pPr>
            <w:r>
              <w:rPr>
                <w:rFonts w:hint="eastAsia" w:ascii="宋体" w:hAnsi="宋体" w:cs="宋体"/>
                <w:kern w:val="0"/>
              </w:rPr>
              <w:t>②氢氧化钠应储存于阴凉、干燥、通风良好的库房。应远离火种、热源。库温不超过35℃，相对湿度不超过80%。包装必须密封，切勿受潮。应与易（可）燃物、酸类等分开存放，切忌混储。储区应备有合适的材料收容泄漏物。</w:t>
            </w:r>
          </w:p>
          <w:p>
            <w:pPr>
              <w:autoSpaceDE w:val="0"/>
              <w:autoSpaceDN w:val="0"/>
              <w:adjustRightInd w:val="0"/>
              <w:spacing w:line="360" w:lineRule="exact"/>
              <w:ind w:firstLine="420" w:firstLineChars="200"/>
              <w:jc w:val="left"/>
              <w:rPr>
                <w:kern w:val="0"/>
              </w:rPr>
            </w:pPr>
            <w:r>
              <w:rPr>
                <w:rFonts w:hint="eastAsia" w:ascii="宋体" w:hAnsi="宋体" w:cs="宋体"/>
                <w:kern w:val="0"/>
              </w:rPr>
              <w:t>③危废间内部应</w:t>
            </w:r>
            <w:r>
              <w:rPr>
                <w:kern w:val="0"/>
              </w:rPr>
              <w:t>配备一定数量的消防器材，设置消防水池（容积约</w:t>
            </w:r>
            <w:r>
              <w:rPr>
                <w:rFonts w:hint="eastAsia"/>
                <w:kern w:val="0"/>
              </w:rPr>
              <w:t>200m</w:t>
            </w:r>
            <w:r>
              <w:rPr>
                <w:rFonts w:hint="eastAsia"/>
                <w:kern w:val="0"/>
                <w:vertAlign w:val="superscript"/>
              </w:rPr>
              <w:t>3</w:t>
            </w:r>
            <w:r>
              <w:rPr>
                <w:kern w:val="0"/>
              </w:rPr>
              <w:t>）预防火灾事故发生。各类物质分类分容器储存。储存与保管过程中严格加强管理，指定专人保管，设置明显的标识、标牌，严禁烟火等。</w:t>
            </w:r>
          </w:p>
          <w:p>
            <w:pPr>
              <w:autoSpaceDE w:val="0"/>
              <w:autoSpaceDN w:val="0"/>
              <w:adjustRightInd w:val="0"/>
              <w:spacing w:line="360" w:lineRule="exact"/>
              <w:ind w:firstLine="420" w:firstLineChars="200"/>
              <w:jc w:val="left"/>
              <w:rPr>
                <w:kern w:val="0"/>
              </w:rPr>
            </w:pPr>
            <w:r>
              <w:rPr>
                <w:rFonts w:hint="eastAsia" w:ascii="宋体" w:hAnsi="宋体" w:cs="宋体"/>
                <w:kern w:val="0"/>
              </w:rPr>
              <w:t>④建设单位应委托</w:t>
            </w:r>
            <w:r>
              <w:rPr>
                <w:kern w:val="0"/>
              </w:rPr>
              <w:t>有资质的单位定期回收危险废物处置，尽量避免长时间暂存。</w:t>
            </w:r>
          </w:p>
          <w:p>
            <w:pPr>
              <w:autoSpaceDE w:val="0"/>
              <w:autoSpaceDN w:val="0"/>
              <w:adjustRightInd w:val="0"/>
              <w:snapToGrid w:val="0"/>
              <w:spacing w:line="360" w:lineRule="exact"/>
              <w:ind w:firstLine="420" w:firstLineChars="200"/>
              <w:jc w:val="left"/>
              <w:rPr>
                <w:szCs w:val="21"/>
              </w:rPr>
            </w:pPr>
            <w:r>
              <w:rPr>
                <w:rFonts w:hint="eastAsia" w:ascii="宋体" w:hAnsi="宋体" w:cs="宋体"/>
                <w:kern w:val="0"/>
              </w:rPr>
              <w:t>⑤建设单位应</w:t>
            </w:r>
            <w:r>
              <w:rPr>
                <w:kern w:val="0"/>
              </w:rPr>
              <w:t>按照《国家突发环境事件应急预案》（国办函〔2014〕119号）、地方和相关部门的要求，制定符合项目实际需要的应急预案，一旦发生事故，迅速采取有效处理措施进行抢险修复，最大限度降低对周围环境和人民生命财产的危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22" w:hRule="atLeast"/>
          <w:jc w:val="center"/>
        </w:trPr>
        <w:tc>
          <w:tcPr>
            <w:tcW w:w="1778"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tc>
        <w:tc>
          <w:tcPr>
            <w:tcW w:w="7022" w:type="dxa"/>
            <w:gridSpan w:val="4"/>
            <w:tcBorders>
              <w:top w:val="single" w:color="auto" w:sz="4" w:space="0"/>
              <w:left w:val="single" w:color="auto" w:sz="4" w:space="0"/>
              <w:bottom w:val="single" w:color="auto" w:sz="8" w:space="0"/>
              <w:right w:val="single" w:color="auto" w:sz="8" w:space="0"/>
            </w:tcBorders>
            <w:vAlign w:val="center"/>
          </w:tcPr>
          <w:p>
            <w:pPr>
              <w:adjustRightInd w:val="0"/>
              <w:snapToGrid w:val="0"/>
              <w:ind w:left="-53" w:leftChars="-25" w:right="-53" w:rightChars="-25"/>
              <w:jc w:val="left"/>
              <w:rPr>
                <w:szCs w:val="21"/>
              </w:rPr>
            </w:pPr>
            <w:r>
              <w:rPr>
                <w:szCs w:val="21"/>
              </w:rPr>
              <w:t>无</w:t>
            </w:r>
          </w:p>
        </w:tc>
      </w:tr>
    </w:tbl>
    <w:p>
      <w:pPr>
        <w:pStyle w:val="18"/>
        <w:jc w:val="center"/>
        <w:outlineLvl w:val="0"/>
        <w:rPr>
          <w:rFonts w:ascii="Times New Roman" w:hAnsi="Times New Roman" w:eastAsia="黑体" w:cs="Times New Roman"/>
          <w:snapToGrid w:val="0"/>
          <w:kern w:val="0"/>
          <w:sz w:val="30"/>
          <w:szCs w:val="30"/>
        </w:rPr>
      </w:pPr>
      <w:r>
        <w:rPr>
          <w:rFonts w:ascii="Times New Roman" w:hAnsi="Times New Roman" w:cs="Times New Roman"/>
          <w:snapToGrid w:val="0"/>
          <w:kern w:val="0"/>
          <w:szCs w:val="20"/>
        </w:rPr>
        <w:br w:type="page"/>
      </w:r>
      <w:r>
        <w:rPr>
          <w:rFonts w:ascii="Times New Roman" w:hAnsi="Times New Roman" w:eastAsia="黑体" w:cs="Times New Roman"/>
          <w:snapToGrid w:val="0"/>
          <w:sz w:val="30"/>
          <w:szCs w:val="30"/>
        </w:rPr>
        <w:t>六、结论</w:t>
      </w:r>
    </w:p>
    <w:tbl>
      <w:tblPr>
        <w:tblStyle w:val="20"/>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tcPr>
          <w:p>
            <w:pPr>
              <w:autoSpaceDE w:val="0"/>
              <w:autoSpaceDN w:val="0"/>
              <w:adjustRightInd w:val="0"/>
              <w:snapToGrid w:val="0"/>
              <w:spacing w:before="120" w:beforeLines="50" w:line="360" w:lineRule="auto"/>
              <w:ind w:firstLine="482" w:firstLineChars="200"/>
              <w:jc w:val="left"/>
              <w:rPr>
                <w:b/>
                <w:kern w:val="0"/>
                <w:sz w:val="24"/>
              </w:rPr>
            </w:pPr>
            <w:r>
              <w:rPr>
                <w:rFonts w:hint="eastAsia"/>
                <w:b/>
                <w:kern w:val="0"/>
                <w:sz w:val="24"/>
              </w:rPr>
              <w:t>大竹县同兴矸石砖厂</w:t>
            </w:r>
            <w:r>
              <w:rPr>
                <w:b/>
                <w:kern w:val="0"/>
                <w:sz w:val="24"/>
              </w:rPr>
              <w:t>“</w:t>
            </w:r>
            <w:r>
              <w:rPr>
                <w:rFonts w:hint="eastAsia"/>
                <w:b/>
                <w:kern w:val="0"/>
                <w:sz w:val="24"/>
              </w:rPr>
              <w:t>大竹县同兴矸石砖厂新型烧结砖综合利用污泥技改项目</w:t>
            </w:r>
            <w:r>
              <w:rPr>
                <w:b/>
                <w:kern w:val="0"/>
                <w:sz w:val="24"/>
              </w:rPr>
              <w:t>”符合国家产业政策，平面布置合理可行。本项目拟采取的各项污染防治措施可使污染物达综合利用或达标排放。建设单位只要严格落实本环境影响报告表提出的环保措施，严格执行“三同时”制度，能够最大限度地减轻项目建设对周围环境造成的影响。从环保角度论证，本项目在所选地址建设是可行的。</w:t>
            </w: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p>
            <w:pPr>
              <w:pStyle w:val="14"/>
              <w:spacing w:after="0" w:line="100" w:lineRule="exact"/>
              <w:ind w:left="0" w:leftChars="0"/>
            </w:pPr>
          </w:p>
        </w:tc>
      </w:tr>
    </w:tbl>
    <w:p>
      <w:pPr>
        <w:widowControl/>
        <w:jc w:val="left"/>
        <w:sectPr>
          <w:pgSz w:w="11906" w:h="16838"/>
          <w:pgMar w:top="1701" w:right="1531" w:bottom="1701" w:left="1531" w:header="851" w:footer="1077" w:gutter="0"/>
          <w:pgNumType w:fmt="numberInDash"/>
          <w:cols w:space="720" w:num="1"/>
          <w:docGrid w:linePitch="286" w:charSpace="0"/>
        </w:sectPr>
      </w:pPr>
    </w:p>
    <w:p>
      <w:pPr>
        <w:pStyle w:val="18"/>
        <w:adjustRightInd w:val="0"/>
        <w:snapToGrid w:val="0"/>
        <w:spacing w:before="0" w:beforeAutospacing="0" w:after="0" w:afterAutospacing="0" w:line="480" w:lineRule="auto"/>
        <w:outlineLvl w:val="0"/>
        <w:rPr>
          <w:rFonts w:ascii="Times New Roman" w:hAnsi="Times New Roman" w:eastAsia="黑体" w:cs="Times New Roman"/>
          <w:snapToGrid w:val="0"/>
          <w:kern w:val="0"/>
          <w:sz w:val="32"/>
          <w:szCs w:val="32"/>
        </w:rPr>
      </w:pPr>
      <w:r>
        <w:rPr>
          <w:rFonts w:ascii="Times New Roman" w:hAnsi="Times New Roman" w:eastAsia="黑体" w:cs="Times New Roman"/>
          <w:snapToGrid w:val="0"/>
          <w:sz w:val="32"/>
          <w:szCs w:val="32"/>
        </w:rPr>
        <w:t>附表</w:t>
      </w:r>
    </w:p>
    <w:p>
      <w:pPr>
        <w:pStyle w:val="18"/>
        <w:adjustRightInd w:val="0"/>
        <w:snapToGrid w:val="0"/>
        <w:spacing w:before="0" w:beforeAutospacing="0" w:after="0" w:afterAutospacing="0" w:line="400" w:lineRule="exact"/>
        <w:jc w:val="center"/>
        <w:outlineLvl w:val="0"/>
        <w:rPr>
          <w:rFonts w:ascii="Times New Roman" w:hAnsi="Times New Roman" w:eastAsia="方正小标宋_GBK" w:cs="Times New Roman"/>
          <w:snapToGrid w:val="0"/>
          <w:sz w:val="38"/>
          <w:szCs w:val="38"/>
        </w:rPr>
      </w:pPr>
      <w:r>
        <w:rPr>
          <w:rFonts w:ascii="Times New Roman" w:hAnsi="Times New Roman" w:eastAsia="方正小标宋_GBK" w:cs="Times New Roman"/>
          <w:snapToGrid w:val="0"/>
          <w:sz w:val="38"/>
          <w:szCs w:val="38"/>
        </w:rPr>
        <w:t>建设项目污染物排放量汇总表</w:t>
      </w:r>
    </w:p>
    <w:tbl>
      <w:tblPr>
        <w:tblStyle w:val="20"/>
        <w:tblW w:w="1420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1416"/>
        <w:gridCol w:w="1699"/>
        <w:gridCol w:w="1275"/>
        <w:gridCol w:w="1699"/>
        <w:gridCol w:w="1557"/>
        <w:gridCol w:w="1759"/>
        <w:gridCol w:w="1653"/>
        <w:gridCol w:w="15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1586"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pPr>
              <w:pStyle w:val="32"/>
              <w:spacing w:before="31" w:line="250" w:lineRule="exact"/>
              <w:jc w:val="righ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项目</w:t>
            </w:r>
          </w:p>
          <w:p>
            <w:pPr>
              <w:pStyle w:val="32"/>
              <w:spacing w:before="31" w:line="250" w:lineRule="exact"/>
              <w:jc w:val="lef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分类</w:t>
            </w:r>
          </w:p>
        </w:tc>
        <w:tc>
          <w:tcPr>
            <w:tcW w:w="141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2"/>
              <w:spacing w:before="31" w:line="25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污染物名称</w:t>
            </w:r>
          </w:p>
        </w:tc>
        <w:tc>
          <w:tcPr>
            <w:tcW w:w="169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2"/>
              <w:spacing w:before="31" w:line="25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pPr>
              <w:pStyle w:val="32"/>
              <w:spacing w:before="31" w:line="25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1 \* GB3 \* MERGEFORMAT </w:instrText>
            </w:r>
            <w:r>
              <w:rPr>
                <w:rFonts w:ascii="Times New Roman" w:hAnsi="Times New Roman" w:eastAsia="黑体" w:cs="Times New Roman"/>
                <w:snapToGrid w:val="0"/>
                <w:spacing w:val="-6"/>
                <w:kern w:val="21"/>
                <w:szCs w:val="21"/>
              </w:rPr>
              <w:fldChar w:fldCharType="separate"/>
            </w:r>
            <w:r>
              <w:rPr>
                <w:rFonts w:hint="eastAsia" w:cs="宋体"/>
                <w:szCs w:val="21"/>
              </w:rPr>
              <w:t>①</w:t>
            </w:r>
            <w:r>
              <w:rPr>
                <w:rFonts w:ascii="Times New Roman" w:hAnsi="Times New Roman" w:eastAsia="黑体" w:cs="Times New Roman"/>
                <w:snapToGrid w:val="0"/>
                <w:spacing w:val="-6"/>
                <w:kern w:val="21"/>
                <w:szCs w:val="21"/>
              </w:rPr>
              <w:fldChar w:fldCharType="end"/>
            </w:r>
          </w:p>
        </w:tc>
        <w:tc>
          <w:tcPr>
            <w:tcW w:w="1275"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2"/>
              <w:spacing w:before="31" w:line="25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pPr>
              <w:pStyle w:val="32"/>
              <w:spacing w:before="31" w:line="25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许可排放量</w:t>
            </w:r>
          </w:p>
          <w:p>
            <w:pPr>
              <w:pStyle w:val="32"/>
              <w:spacing w:before="31" w:line="25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2 \* GB3 \* MERGEFORMAT </w:instrText>
            </w:r>
            <w:r>
              <w:rPr>
                <w:rFonts w:ascii="Times New Roman" w:hAnsi="Times New Roman" w:eastAsia="黑体" w:cs="Times New Roman"/>
                <w:snapToGrid w:val="0"/>
                <w:spacing w:val="-6"/>
                <w:kern w:val="21"/>
                <w:szCs w:val="21"/>
              </w:rPr>
              <w:fldChar w:fldCharType="separate"/>
            </w:r>
            <w:r>
              <w:rPr>
                <w:rFonts w:hint="eastAsia" w:cs="宋体"/>
                <w:snapToGrid w:val="0"/>
                <w:spacing w:val="-6"/>
                <w:kern w:val="21"/>
                <w:szCs w:val="21"/>
              </w:rPr>
              <w:t>②</w:t>
            </w:r>
            <w:r>
              <w:rPr>
                <w:rFonts w:ascii="Times New Roman" w:hAnsi="Times New Roman" w:eastAsia="黑体" w:cs="Times New Roman"/>
                <w:snapToGrid w:val="0"/>
                <w:spacing w:val="-6"/>
                <w:kern w:val="21"/>
                <w:szCs w:val="21"/>
              </w:rPr>
              <w:fldChar w:fldCharType="end"/>
            </w:r>
          </w:p>
        </w:tc>
        <w:tc>
          <w:tcPr>
            <w:tcW w:w="169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2"/>
              <w:spacing w:before="31" w:line="25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在建工程</w:t>
            </w:r>
          </w:p>
          <w:p>
            <w:pPr>
              <w:pStyle w:val="32"/>
              <w:spacing w:before="31" w:line="25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3 \* GB3 \* MERGEFORMAT </w:instrText>
            </w:r>
            <w:r>
              <w:rPr>
                <w:rFonts w:ascii="Times New Roman" w:hAnsi="Times New Roman" w:eastAsia="黑体" w:cs="Times New Roman"/>
                <w:snapToGrid w:val="0"/>
                <w:spacing w:val="-6"/>
                <w:kern w:val="21"/>
                <w:szCs w:val="21"/>
              </w:rPr>
              <w:fldChar w:fldCharType="separate"/>
            </w:r>
            <w:r>
              <w:rPr>
                <w:rFonts w:hint="eastAsia" w:cs="宋体"/>
                <w:szCs w:val="21"/>
              </w:rPr>
              <w:t>③</w:t>
            </w:r>
            <w:r>
              <w:rPr>
                <w:rFonts w:ascii="Times New Roman" w:hAnsi="Times New Roman" w:eastAsia="黑体" w:cs="Times New Roman"/>
                <w:snapToGrid w:val="0"/>
                <w:spacing w:val="-6"/>
                <w:kern w:val="21"/>
                <w:szCs w:val="21"/>
              </w:rPr>
              <w:fldChar w:fldCharType="end"/>
            </w:r>
          </w:p>
        </w:tc>
        <w:tc>
          <w:tcPr>
            <w:tcW w:w="1557"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2"/>
              <w:spacing w:before="31" w:line="25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本项目</w:t>
            </w:r>
          </w:p>
          <w:p>
            <w:pPr>
              <w:pStyle w:val="32"/>
              <w:spacing w:before="31" w:line="25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4 \* GB3 \* MERGEFORMAT </w:instrText>
            </w:r>
            <w:r>
              <w:rPr>
                <w:rFonts w:ascii="Times New Roman" w:hAnsi="Times New Roman" w:eastAsia="黑体" w:cs="Times New Roman"/>
                <w:snapToGrid w:val="0"/>
                <w:spacing w:val="-6"/>
                <w:kern w:val="21"/>
                <w:szCs w:val="21"/>
              </w:rPr>
              <w:fldChar w:fldCharType="separate"/>
            </w:r>
            <w:r>
              <w:rPr>
                <w:rFonts w:hint="eastAsia" w:cs="宋体"/>
                <w:szCs w:val="21"/>
              </w:rPr>
              <w:t>④</w:t>
            </w:r>
            <w:r>
              <w:rPr>
                <w:rFonts w:ascii="Times New Roman" w:hAnsi="Times New Roman" w:eastAsia="黑体" w:cs="Times New Roman"/>
                <w:snapToGrid w:val="0"/>
                <w:spacing w:val="-6"/>
                <w:kern w:val="21"/>
                <w:szCs w:val="21"/>
              </w:rPr>
              <w:fldChar w:fldCharType="end"/>
            </w:r>
          </w:p>
        </w:tc>
        <w:tc>
          <w:tcPr>
            <w:tcW w:w="175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2"/>
              <w:spacing w:before="31" w:line="250" w:lineRule="exact"/>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以新带老削减量</w:t>
            </w:r>
          </w:p>
          <w:p>
            <w:pPr>
              <w:pStyle w:val="32"/>
              <w:spacing w:before="31" w:line="250" w:lineRule="exact"/>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（新建项目不填）</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5 \* GB3 \* MERGEFORMAT </w:instrText>
            </w:r>
            <w:r>
              <w:rPr>
                <w:rFonts w:ascii="Times New Roman" w:hAnsi="Times New Roman" w:eastAsia="黑体" w:cs="Times New Roman"/>
                <w:snapToGrid w:val="0"/>
                <w:spacing w:val="-16"/>
                <w:kern w:val="21"/>
                <w:szCs w:val="21"/>
              </w:rPr>
              <w:fldChar w:fldCharType="separate"/>
            </w:r>
            <w:r>
              <w:rPr>
                <w:rFonts w:hint="eastAsia" w:cs="宋体"/>
                <w:szCs w:val="21"/>
              </w:rPr>
              <w:t>⑤</w:t>
            </w:r>
            <w:r>
              <w:rPr>
                <w:rFonts w:ascii="Times New Roman" w:hAnsi="Times New Roman" w:eastAsia="黑体" w:cs="Times New Roman"/>
                <w:snapToGrid w:val="0"/>
                <w:spacing w:val="-16"/>
                <w:kern w:val="21"/>
                <w:szCs w:val="21"/>
              </w:rPr>
              <w:fldChar w:fldCharType="end"/>
            </w:r>
          </w:p>
        </w:tc>
        <w:tc>
          <w:tcPr>
            <w:tcW w:w="1653"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2"/>
              <w:spacing w:before="31" w:line="250" w:lineRule="exact"/>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本项目建成后</w:t>
            </w:r>
          </w:p>
          <w:p>
            <w:pPr>
              <w:pStyle w:val="32"/>
              <w:spacing w:before="31" w:line="250" w:lineRule="exact"/>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全厂排放量（固体废物产生量）</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6 \* GB3 \* MERGEFORMAT </w:instrText>
            </w:r>
            <w:r>
              <w:rPr>
                <w:rFonts w:ascii="Times New Roman" w:hAnsi="Times New Roman" w:eastAsia="黑体" w:cs="Times New Roman"/>
                <w:snapToGrid w:val="0"/>
                <w:spacing w:val="-16"/>
                <w:kern w:val="21"/>
                <w:szCs w:val="21"/>
              </w:rPr>
              <w:fldChar w:fldCharType="separate"/>
            </w:r>
            <w:r>
              <w:rPr>
                <w:rFonts w:hint="eastAsia" w:cs="宋体"/>
                <w:szCs w:val="21"/>
              </w:rPr>
              <w:t>⑥</w:t>
            </w:r>
            <w:r>
              <w:rPr>
                <w:rFonts w:ascii="Times New Roman" w:hAnsi="Times New Roman" w:eastAsia="黑体" w:cs="Times New Roman"/>
                <w:snapToGrid w:val="0"/>
                <w:spacing w:val="-16"/>
                <w:kern w:val="21"/>
                <w:szCs w:val="21"/>
              </w:rPr>
              <w:fldChar w:fldCharType="end"/>
            </w:r>
          </w:p>
        </w:tc>
        <w:tc>
          <w:tcPr>
            <w:tcW w:w="1559"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pPr>
              <w:pStyle w:val="32"/>
              <w:spacing w:before="31" w:line="25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变化量</w:t>
            </w:r>
          </w:p>
          <w:p>
            <w:pPr>
              <w:pStyle w:val="32"/>
              <w:spacing w:before="31" w:line="25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7 \* GB3 \* MERGEFORMAT </w:instrText>
            </w:r>
            <w:r>
              <w:rPr>
                <w:rFonts w:ascii="Times New Roman" w:hAnsi="Times New Roman" w:eastAsia="黑体" w:cs="Times New Roman"/>
                <w:snapToGrid w:val="0"/>
                <w:spacing w:val="-6"/>
                <w:kern w:val="21"/>
                <w:szCs w:val="21"/>
              </w:rPr>
              <w:fldChar w:fldCharType="separate"/>
            </w:r>
            <w:r>
              <w:rPr>
                <w:rFonts w:hint="eastAsia" w:cs="宋体"/>
                <w:szCs w:val="21"/>
              </w:rPr>
              <w:t>⑦</w:t>
            </w:r>
            <w:r>
              <w:rPr>
                <w:rFonts w:ascii="Times New Roman" w:hAnsi="Times New Roman" w:eastAsia="黑体" w:cs="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586" w:type="dxa"/>
            <w:vMerge w:val="restart"/>
            <w:tcBorders>
              <w:top w:val="single" w:color="auto" w:sz="4" w:space="0"/>
              <w:left w:val="single" w:color="auto" w:sz="8"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r>
              <w:rPr>
                <w:rFonts w:ascii="Times New Roman" w:hAnsi="Times New Roman" w:cs="Times New Roman"/>
                <w:snapToGrid w:val="0"/>
                <w:kern w:val="21"/>
                <w:szCs w:val="21"/>
              </w:rPr>
              <w:t>废气</w:t>
            </w:r>
          </w:p>
        </w:tc>
        <w:tc>
          <w:tcPr>
            <w:tcW w:w="1416"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r>
              <w:rPr>
                <w:rFonts w:ascii="Times New Roman" w:hAnsi="Times New Roman" w:cs="Times New Roman"/>
                <w:snapToGrid w:val="0"/>
                <w:kern w:val="21"/>
                <w:sz w:val="18"/>
                <w:szCs w:val="18"/>
              </w:rPr>
              <w:t>颗粒物</w:t>
            </w:r>
          </w:p>
        </w:tc>
        <w:tc>
          <w:tcPr>
            <w:tcW w:w="1699"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3.1t/a</w:t>
            </w:r>
          </w:p>
        </w:tc>
        <w:tc>
          <w:tcPr>
            <w:tcW w:w="1275"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557"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napToGrid w:val="0"/>
                <w:kern w:val="21"/>
                <w:sz w:val="18"/>
                <w:szCs w:val="18"/>
              </w:rPr>
              <w:t>0.5t/a</w:t>
            </w:r>
          </w:p>
        </w:tc>
        <w:tc>
          <w:tcPr>
            <w:tcW w:w="1759"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0.478t/a</w:t>
            </w:r>
          </w:p>
        </w:tc>
        <w:tc>
          <w:tcPr>
            <w:tcW w:w="1653"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3.122t/a</w:t>
            </w:r>
          </w:p>
        </w:tc>
        <w:tc>
          <w:tcPr>
            <w:tcW w:w="1559"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sz w:val="18"/>
                <w:szCs w:val="18"/>
              </w:rPr>
            </w:pPr>
            <w:r>
              <w:rPr>
                <w:rFonts w:hint="eastAsia"/>
                <w:sz w:val="18"/>
                <w:szCs w:val="18"/>
              </w:rPr>
              <w:t>+0.022t/a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586" w:type="dxa"/>
            <w:vMerge w:val="continue"/>
            <w:tcBorders>
              <w:top w:val="single" w:color="auto" w:sz="4" w:space="0"/>
              <w:left w:val="single" w:color="auto" w:sz="8"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416"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vertAlign w:val="subscript"/>
              </w:rPr>
            </w:pPr>
            <w:r>
              <w:rPr>
                <w:rFonts w:hint="eastAsia" w:ascii="Times New Roman" w:hAnsi="Times New Roman" w:cs="Times New Roman"/>
                <w:snapToGrid w:val="0"/>
                <w:kern w:val="21"/>
                <w:sz w:val="18"/>
                <w:szCs w:val="18"/>
              </w:rPr>
              <w:t>SO</w:t>
            </w:r>
            <w:r>
              <w:rPr>
                <w:rFonts w:hint="eastAsia" w:ascii="Times New Roman" w:hAnsi="Times New Roman" w:cs="Times New Roman"/>
                <w:snapToGrid w:val="0"/>
                <w:kern w:val="21"/>
                <w:sz w:val="18"/>
                <w:szCs w:val="18"/>
                <w:vertAlign w:val="subscript"/>
              </w:rPr>
              <w:t>2</w:t>
            </w:r>
          </w:p>
        </w:tc>
        <w:tc>
          <w:tcPr>
            <w:tcW w:w="1699"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7.834t/a</w:t>
            </w:r>
          </w:p>
        </w:tc>
        <w:tc>
          <w:tcPr>
            <w:tcW w:w="1275"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557"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0.068t/a</w:t>
            </w:r>
          </w:p>
        </w:tc>
        <w:tc>
          <w:tcPr>
            <w:tcW w:w="1759"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1.064t/a</w:t>
            </w:r>
          </w:p>
        </w:tc>
        <w:tc>
          <w:tcPr>
            <w:tcW w:w="1653"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6.838t/a</w:t>
            </w:r>
          </w:p>
        </w:tc>
        <w:tc>
          <w:tcPr>
            <w:tcW w:w="1559"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sz w:val="18"/>
                <w:szCs w:val="18"/>
              </w:rPr>
            </w:pPr>
            <w:r>
              <w:rPr>
                <w:rFonts w:hint="eastAsia"/>
                <w:sz w:val="18"/>
                <w:szCs w:val="18"/>
              </w:rPr>
              <w:t>-0.996t/a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586" w:type="dxa"/>
            <w:vMerge w:val="continue"/>
            <w:tcBorders>
              <w:top w:val="single" w:color="auto" w:sz="4" w:space="0"/>
              <w:left w:val="single" w:color="auto" w:sz="8"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416"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vertAlign w:val="subscript"/>
              </w:rPr>
            </w:pPr>
            <w:r>
              <w:rPr>
                <w:rFonts w:hint="eastAsia" w:ascii="Times New Roman" w:hAnsi="Times New Roman" w:cs="Times New Roman"/>
                <w:snapToGrid w:val="0"/>
                <w:kern w:val="21"/>
                <w:sz w:val="18"/>
                <w:szCs w:val="18"/>
              </w:rPr>
              <w:t>NO</w:t>
            </w:r>
            <w:r>
              <w:rPr>
                <w:rFonts w:hint="eastAsia" w:ascii="Times New Roman" w:hAnsi="Times New Roman" w:cs="Times New Roman"/>
                <w:snapToGrid w:val="0"/>
                <w:kern w:val="21"/>
                <w:sz w:val="18"/>
                <w:szCs w:val="18"/>
                <w:vertAlign w:val="subscript"/>
              </w:rPr>
              <w:t>x</w:t>
            </w:r>
          </w:p>
        </w:tc>
        <w:tc>
          <w:tcPr>
            <w:tcW w:w="1699"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9.78t/a</w:t>
            </w:r>
          </w:p>
        </w:tc>
        <w:tc>
          <w:tcPr>
            <w:tcW w:w="1275"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557"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0.29t/a</w:t>
            </w:r>
          </w:p>
        </w:tc>
        <w:tc>
          <w:tcPr>
            <w:tcW w:w="1759"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w:t>
            </w:r>
          </w:p>
        </w:tc>
        <w:tc>
          <w:tcPr>
            <w:tcW w:w="1653"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10.07t/a</w:t>
            </w:r>
          </w:p>
        </w:tc>
        <w:tc>
          <w:tcPr>
            <w:tcW w:w="1559"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sz w:val="18"/>
                <w:szCs w:val="18"/>
              </w:rPr>
            </w:pPr>
            <w:r>
              <w:rPr>
                <w:rFonts w:hint="eastAsia"/>
                <w:sz w:val="18"/>
                <w:szCs w:val="18"/>
              </w:rPr>
              <w:t>+0.29t/a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586" w:type="dxa"/>
            <w:vMerge w:val="continue"/>
            <w:tcBorders>
              <w:top w:val="single" w:color="auto" w:sz="4" w:space="0"/>
              <w:left w:val="single" w:color="auto" w:sz="8"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416"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r>
              <w:rPr>
                <w:rFonts w:ascii="Times New Roman" w:hAnsi="Times New Roman" w:cs="Times New Roman"/>
                <w:snapToGrid w:val="0"/>
                <w:kern w:val="21"/>
                <w:sz w:val="18"/>
                <w:szCs w:val="18"/>
              </w:rPr>
              <w:t>氟化物</w:t>
            </w:r>
          </w:p>
        </w:tc>
        <w:tc>
          <w:tcPr>
            <w:tcW w:w="1699"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0.045t/a</w:t>
            </w:r>
          </w:p>
        </w:tc>
        <w:tc>
          <w:tcPr>
            <w:tcW w:w="1275"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557"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0.006t/a</w:t>
            </w:r>
          </w:p>
        </w:tc>
        <w:tc>
          <w:tcPr>
            <w:tcW w:w="1759"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w:t>
            </w:r>
          </w:p>
        </w:tc>
        <w:tc>
          <w:tcPr>
            <w:tcW w:w="1653"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0.051t/a</w:t>
            </w:r>
          </w:p>
        </w:tc>
        <w:tc>
          <w:tcPr>
            <w:tcW w:w="1559"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sz w:val="18"/>
                <w:szCs w:val="18"/>
              </w:rPr>
            </w:pPr>
            <w:r>
              <w:rPr>
                <w:rFonts w:hint="eastAsia"/>
                <w:sz w:val="18"/>
                <w:szCs w:val="18"/>
              </w:rPr>
              <w:t>+0.006t/a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586" w:type="dxa"/>
            <w:vMerge w:val="continue"/>
            <w:tcBorders>
              <w:top w:val="single" w:color="auto" w:sz="4" w:space="0"/>
              <w:left w:val="single" w:color="auto" w:sz="8"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416"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氯化氢</w:t>
            </w: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0</w:t>
            </w:r>
          </w:p>
        </w:tc>
        <w:tc>
          <w:tcPr>
            <w:tcW w:w="1275"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557"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0.0046t/a</w:t>
            </w:r>
          </w:p>
        </w:tc>
        <w:tc>
          <w:tcPr>
            <w:tcW w:w="1759"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w:t>
            </w:r>
          </w:p>
        </w:tc>
        <w:tc>
          <w:tcPr>
            <w:tcW w:w="1653"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0.0046t/a</w:t>
            </w:r>
          </w:p>
        </w:tc>
        <w:tc>
          <w:tcPr>
            <w:tcW w:w="1559"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sz w:val="18"/>
                <w:szCs w:val="18"/>
              </w:rPr>
            </w:pPr>
            <w:r>
              <w:rPr>
                <w:rFonts w:hint="eastAsia"/>
                <w:sz w:val="18"/>
                <w:szCs w:val="18"/>
              </w:rPr>
              <w:t>+0.0046t/a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586" w:type="dxa"/>
            <w:vMerge w:val="continue"/>
            <w:tcBorders>
              <w:top w:val="single" w:color="auto" w:sz="4" w:space="0"/>
              <w:left w:val="single" w:color="auto" w:sz="8"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416"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重金属</w:t>
            </w: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0</w:t>
            </w:r>
          </w:p>
        </w:tc>
        <w:tc>
          <w:tcPr>
            <w:tcW w:w="1275"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557"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0.01626t/a</w:t>
            </w:r>
          </w:p>
        </w:tc>
        <w:tc>
          <w:tcPr>
            <w:tcW w:w="1759"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w:t>
            </w:r>
          </w:p>
        </w:tc>
        <w:tc>
          <w:tcPr>
            <w:tcW w:w="1653"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0.01626t/a</w:t>
            </w:r>
          </w:p>
        </w:tc>
        <w:tc>
          <w:tcPr>
            <w:tcW w:w="1559"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sz w:val="18"/>
                <w:szCs w:val="18"/>
              </w:rPr>
            </w:pPr>
            <w:r>
              <w:rPr>
                <w:rFonts w:hint="eastAsia"/>
                <w:sz w:val="18"/>
                <w:szCs w:val="18"/>
              </w:rPr>
              <w:t>+0.01626t/a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586" w:type="dxa"/>
            <w:vMerge w:val="continue"/>
            <w:tcBorders>
              <w:top w:val="single" w:color="auto" w:sz="4" w:space="0"/>
              <w:left w:val="single" w:color="auto" w:sz="8"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416"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r>
              <w:rPr>
                <w:rFonts w:ascii="Times New Roman" w:hAnsi="Times New Roman" w:cs="Times New Roman"/>
                <w:snapToGrid w:val="0"/>
                <w:kern w:val="21"/>
                <w:sz w:val="18"/>
                <w:szCs w:val="18"/>
              </w:rPr>
              <w:t>二噁英</w:t>
            </w: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0</w:t>
            </w:r>
          </w:p>
        </w:tc>
        <w:tc>
          <w:tcPr>
            <w:tcW w:w="1275"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557"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pacing w:val="-6"/>
                <w:sz w:val="18"/>
                <w:szCs w:val="18"/>
              </w:rPr>
            </w:pPr>
            <w:r>
              <w:rPr>
                <w:rFonts w:hint="eastAsia"/>
                <w:sz w:val="18"/>
                <w:szCs w:val="18"/>
              </w:rPr>
              <w:t>3.11x10</w:t>
            </w:r>
            <w:r>
              <w:rPr>
                <w:rFonts w:hint="eastAsia"/>
                <w:sz w:val="18"/>
                <w:szCs w:val="18"/>
                <w:vertAlign w:val="superscript"/>
              </w:rPr>
              <w:t>-8</w:t>
            </w:r>
            <w:r>
              <w:rPr>
                <w:rFonts w:hint="eastAsia"/>
                <w:sz w:val="18"/>
                <w:szCs w:val="18"/>
              </w:rPr>
              <w:t>tTEQ/a</w:t>
            </w:r>
          </w:p>
        </w:tc>
        <w:tc>
          <w:tcPr>
            <w:tcW w:w="1759"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w:t>
            </w:r>
          </w:p>
        </w:tc>
        <w:tc>
          <w:tcPr>
            <w:tcW w:w="1653"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pacing w:val="-6"/>
                <w:sz w:val="18"/>
                <w:szCs w:val="18"/>
              </w:rPr>
            </w:pPr>
            <w:r>
              <w:rPr>
                <w:rFonts w:hint="eastAsia"/>
                <w:sz w:val="18"/>
                <w:szCs w:val="18"/>
              </w:rPr>
              <w:t>3.11x10</w:t>
            </w:r>
            <w:r>
              <w:rPr>
                <w:rFonts w:hint="eastAsia"/>
                <w:sz w:val="18"/>
                <w:szCs w:val="18"/>
                <w:vertAlign w:val="superscript"/>
              </w:rPr>
              <w:t>-8</w:t>
            </w:r>
            <w:r>
              <w:rPr>
                <w:rFonts w:hint="eastAsia"/>
                <w:sz w:val="18"/>
                <w:szCs w:val="18"/>
              </w:rPr>
              <w:t>tTEQ/a</w:t>
            </w:r>
          </w:p>
        </w:tc>
        <w:tc>
          <w:tcPr>
            <w:tcW w:w="1559"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spacing w:val="-17"/>
                <w:sz w:val="18"/>
                <w:szCs w:val="18"/>
              </w:rPr>
            </w:pPr>
            <w:r>
              <w:rPr>
                <w:rFonts w:hint="eastAsia"/>
                <w:spacing w:val="-17"/>
                <w:sz w:val="18"/>
                <w:szCs w:val="18"/>
              </w:rPr>
              <w:t>+</w:t>
            </w:r>
            <w:r>
              <w:rPr>
                <w:rFonts w:hint="eastAsia"/>
                <w:sz w:val="18"/>
                <w:szCs w:val="18"/>
              </w:rPr>
              <w:t>3.11x10</w:t>
            </w:r>
            <w:r>
              <w:rPr>
                <w:rFonts w:hint="eastAsia"/>
                <w:sz w:val="18"/>
                <w:szCs w:val="18"/>
                <w:vertAlign w:val="superscript"/>
              </w:rPr>
              <w:t>-8</w:t>
            </w:r>
            <w:r>
              <w:rPr>
                <w:rFonts w:hint="eastAsia"/>
                <w:sz w:val="18"/>
                <w:szCs w:val="18"/>
              </w:rPr>
              <w:t>tTEQ/a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586" w:type="dxa"/>
            <w:vMerge w:val="continue"/>
            <w:tcBorders>
              <w:top w:val="single" w:color="auto" w:sz="4" w:space="0"/>
              <w:left w:val="single" w:color="auto" w:sz="8"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416"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rFonts w:ascii="宋体" w:hAnsi="宋体" w:cs="宋体"/>
                <w:sz w:val="18"/>
                <w:szCs w:val="18"/>
              </w:rPr>
            </w:pPr>
            <w:r>
              <w:rPr>
                <w:rFonts w:hint="eastAsia"/>
                <w:sz w:val="18"/>
                <w:szCs w:val="18"/>
              </w:rPr>
              <w:t>硫化氢</w:t>
            </w: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0</w:t>
            </w:r>
          </w:p>
        </w:tc>
        <w:tc>
          <w:tcPr>
            <w:tcW w:w="1275"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557"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0.0028t/a</w:t>
            </w:r>
          </w:p>
        </w:tc>
        <w:tc>
          <w:tcPr>
            <w:tcW w:w="1759"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w:t>
            </w:r>
          </w:p>
        </w:tc>
        <w:tc>
          <w:tcPr>
            <w:tcW w:w="1653"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0.0028t/a</w:t>
            </w:r>
          </w:p>
        </w:tc>
        <w:tc>
          <w:tcPr>
            <w:tcW w:w="1559"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sz w:val="18"/>
                <w:szCs w:val="18"/>
              </w:rPr>
            </w:pPr>
            <w:r>
              <w:rPr>
                <w:rFonts w:hint="eastAsia"/>
                <w:sz w:val="18"/>
                <w:szCs w:val="18"/>
              </w:rPr>
              <w:t>+0.0028t/a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586" w:type="dxa"/>
            <w:vMerge w:val="continue"/>
            <w:tcBorders>
              <w:top w:val="single" w:color="auto" w:sz="4" w:space="0"/>
              <w:left w:val="single" w:color="auto" w:sz="8"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416"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rFonts w:ascii="宋体" w:hAnsi="宋体" w:cs="宋体"/>
                <w:sz w:val="18"/>
                <w:szCs w:val="18"/>
              </w:rPr>
            </w:pPr>
            <w:r>
              <w:rPr>
                <w:rFonts w:hint="eastAsia"/>
                <w:sz w:val="18"/>
                <w:szCs w:val="18"/>
              </w:rPr>
              <w:t>氨</w:t>
            </w: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0</w:t>
            </w:r>
          </w:p>
        </w:tc>
        <w:tc>
          <w:tcPr>
            <w:tcW w:w="1275"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557"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0.0498t/a</w:t>
            </w:r>
          </w:p>
        </w:tc>
        <w:tc>
          <w:tcPr>
            <w:tcW w:w="1759"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w:t>
            </w:r>
          </w:p>
        </w:tc>
        <w:tc>
          <w:tcPr>
            <w:tcW w:w="1653"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0.0498t/a</w:t>
            </w:r>
          </w:p>
        </w:tc>
        <w:tc>
          <w:tcPr>
            <w:tcW w:w="1559"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sz w:val="18"/>
                <w:szCs w:val="18"/>
              </w:rPr>
            </w:pPr>
            <w:r>
              <w:rPr>
                <w:rFonts w:hint="eastAsia"/>
                <w:sz w:val="18"/>
                <w:szCs w:val="18"/>
              </w:rPr>
              <w:t>+0.0498t/a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586" w:type="dxa"/>
            <w:tcBorders>
              <w:top w:val="single" w:color="auto" w:sz="4" w:space="0"/>
              <w:left w:val="single" w:color="auto" w:sz="8"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r>
              <w:rPr>
                <w:rFonts w:ascii="Times New Roman" w:hAnsi="Times New Roman" w:cs="Times New Roman"/>
                <w:snapToGrid w:val="0"/>
                <w:kern w:val="21"/>
                <w:szCs w:val="21"/>
              </w:rPr>
              <w:t>废水</w:t>
            </w:r>
          </w:p>
        </w:tc>
        <w:tc>
          <w:tcPr>
            <w:tcW w:w="1416"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vertAlign w:val="subscript"/>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p>
        </w:tc>
        <w:tc>
          <w:tcPr>
            <w:tcW w:w="1557" w:type="dxa"/>
            <w:tcBorders>
              <w:top w:val="single" w:color="auto" w:sz="4" w:space="0"/>
              <w:left w:val="single" w:color="auto" w:sz="4" w:space="0"/>
              <w:bottom w:val="single" w:color="auto" w:sz="4" w:space="0"/>
              <w:right w:val="single" w:color="auto" w:sz="4" w:space="0"/>
            </w:tcBorders>
            <w:vAlign w:val="center"/>
          </w:tcPr>
          <w:p>
            <w:pPr>
              <w:spacing w:line="250" w:lineRule="exact"/>
              <w:ind w:left="-105" w:leftChars="-50" w:right="-105" w:rightChars="-50"/>
              <w:jc w:val="center"/>
              <w:rPr>
                <w:sz w:val="18"/>
                <w:szCs w:val="18"/>
              </w:rPr>
            </w:pPr>
          </w:p>
        </w:tc>
        <w:tc>
          <w:tcPr>
            <w:tcW w:w="1759" w:type="dxa"/>
            <w:tcBorders>
              <w:top w:val="single" w:color="auto" w:sz="4" w:space="0"/>
              <w:left w:val="single" w:color="auto" w:sz="4" w:space="0"/>
              <w:bottom w:val="single" w:color="auto" w:sz="4" w:space="0"/>
              <w:right w:val="single" w:color="auto" w:sz="4" w:space="0"/>
            </w:tcBorders>
            <w:vAlign w:val="center"/>
          </w:tcPr>
          <w:p>
            <w:pPr>
              <w:spacing w:line="250" w:lineRule="exact"/>
              <w:ind w:left="-105" w:leftChars="-50" w:right="-105" w:rightChars="-50"/>
              <w:jc w:val="center"/>
              <w:rPr>
                <w:sz w:val="18"/>
                <w:szCs w:val="18"/>
              </w:rPr>
            </w:pPr>
          </w:p>
        </w:tc>
        <w:tc>
          <w:tcPr>
            <w:tcW w:w="1653" w:type="dxa"/>
            <w:tcBorders>
              <w:top w:val="single" w:color="auto" w:sz="4" w:space="0"/>
              <w:left w:val="single" w:color="auto" w:sz="4" w:space="0"/>
              <w:bottom w:val="single" w:color="auto" w:sz="4" w:space="0"/>
              <w:right w:val="single" w:color="auto" w:sz="4" w:space="0"/>
            </w:tcBorders>
            <w:vAlign w:val="center"/>
          </w:tcPr>
          <w:p>
            <w:pPr>
              <w:spacing w:line="250" w:lineRule="exact"/>
              <w:ind w:left="-105" w:leftChars="-50" w:right="-105" w:rightChars="-50"/>
              <w:jc w:val="center"/>
              <w:rPr>
                <w:sz w:val="18"/>
                <w:szCs w:val="18"/>
              </w:rPr>
            </w:pPr>
          </w:p>
        </w:tc>
        <w:tc>
          <w:tcPr>
            <w:tcW w:w="1559" w:type="dxa"/>
            <w:tcBorders>
              <w:top w:val="single" w:color="auto" w:sz="4" w:space="0"/>
              <w:left w:val="single" w:color="auto" w:sz="4" w:space="0"/>
              <w:bottom w:val="single" w:color="auto" w:sz="4" w:space="0"/>
              <w:right w:val="single" w:color="auto" w:sz="8" w:space="0"/>
            </w:tcBorders>
            <w:vAlign w:val="center"/>
          </w:tcPr>
          <w:p>
            <w:pPr>
              <w:pStyle w:val="32"/>
              <w:spacing w:before="31" w:line="250" w:lineRule="exact"/>
              <w:rPr>
                <w:rFonts w:ascii="Times New Roman" w:hAnsi="Times New Roman" w:cs="Times New Roman"/>
                <w:snapToGrid w:val="0"/>
                <w:kern w:val="21"/>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586" w:type="dxa"/>
            <w:vMerge w:val="restart"/>
            <w:tcBorders>
              <w:top w:val="single" w:color="auto" w:sz="4" w:space="0"/>
              <w:left w:val="single" w:color="auto" w:sz="8"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r>
              <w:rPr>
                <w:rFonts w:ascii="Times New Roman" w:hAnsi="Times New Roman" w:cs="Times New Roman"/>
                <w:snapToGrid w:val="0"/>
                <w:kern w:val="21"/>
                <w:szCs w:val="21"/>
              </w:rPr>
              <w:t>一般工业</w:t>
            </w:r>
          </w:p>
          <w:p>
            <w:pPr>
              <w:pStyle w:val="32"/>
              <w:spacing w:before="31" w:line="250" w:lineRule="exact"/>
              <w:rPr>
                <w:rFonts w:ascii="Times New Roman" w:hAnsi="Times New Roman" w:cs="Times New Roman"/>
                <w:snapToGrid w:val="0"/>
                <w:kern w:val="21"/>
                <w:szCs w:val="21"/>
              </w:rPr>
            </w:pPr>
            <w:r>
              <w:rPr>
                <w:rFonts w:ascii="Times New Roman" w:hAnsi="Times New Roman" w:cs="Times New Roman"/>
                <w:snapToGrid w:val="0"/>
                <w:kern w:val="21"/>
                <w:szCs w:val="21"/>
              </w:rPr>
              <w:t>固体废物</w:t>
            </w:r>
          </w:p>
        </w:tc>
        <w:tc>
          <w:tcPr>
            <w:tcW w:w="14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sz w:val="18"/>
                <w:szCs w:val="18"/>
              </w:rPr>
            </w:pPr>
            <w:r>
              <w:rPr>
                <w:rFonts w:hint="eastAsia"/>
                <w:sz w:val="18"/>
                <w:szCs w:val="18"/>
              </w:rPr>
              <w:t>不合格砖</w:t>
            </w: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Lines="0" w:line="300" w:lineRule="exact"/>
              <w:rPr>
                <w:sz w:val="18"/>
                <w:szCs w:val="18"/>
              </w:rPr>
            </w:pPr>
            <w:r>
              <w:rPr>
                <w:rFonts w:hint="eastAsia" w:ascii="Times New Roman" w:hAnsi="Times New Roman" w:cs="Times New Roman"/>
                <w:snapToGrid w:val="0"/>
                <w:kern w:val="21"/>
                <w:sz w:val="18"/>
                <w:szCs w:val="18"/>
              </w:rPr>
              <w:t>375t/a</w:t>
            </w:r>
          </w:p>
        </w:tc>
        <w:tc>
          <w:tcPr>
            <w:tcW w:w="1275"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5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375t/a</w:t>
            </w:r>
          </w:p>
        </w:tc>
        <w:tc>
          <w:tcPr>
            <w:tcW w:w="1759"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w:t>
            </w:r>
          </w:p>
        </w:tc>
        <w:tc>
          <w:tcPr>
            <w:tcW w:w="16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375t/a</w:t>
            </w:r>
          </w:p>
        </w:tc>
        <w:tc>
          <w:tcPr>
            <w:tcW w:w="1559" w:type="dxa"/>
            <w:tcBorders>
              <w:top w:val="single" w:color="auto" w:sz="4" w:space="0"/>
              <w:left w:val="single" w:color="auto" w:sz="4" w:space="0"/>
              <w:bottom w:val="single" w:color="auto" w:sz="4" w:space="0"/>
              <w:right w:val="single" w:color="auto" w:sz="8" w:space="0"/>
            </w:tcBorders>
            <w:vAlign w:val="center"/>
          </w:tcPr>
          <w:p>
            <w:pPr>
              <w:pStyle w:val="32"/>
              <w:spacing w:before="31" w:line="25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586" w:type="dxa"/>
            <w:vMerge w:val="continue"/>
            <w:tcBorders>
              <w:top w:val="single" w:color="auto" w:sz="4" w:space="0"/>
              <w:left w:val="single" w:color="auto" w:sz="8"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4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sz w:val="18"/>
                <w:szCs w:val="18"/>
              </w:rPr>
            </w:pPr>
            <w:r>
              <w:rPr>
                <w:rFonts w:hint="eastAsia"/>
                <w:sz w:val="18"/>
                <w:szCs w:val="18"/>
              </w:rPr>
              <w:t>脱硫废渣</w:t>
            </w: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Lines="0" w:line="300" w:lineRule="exact"/>
              <w:rPr>
                <w:sz w:val="18"/>
                <w:szCs w:val="18"/>
              </w:rPr>
            </w:pPr>
            <w:r>
              <w:rPr>
                <w:rFonts w:hint="eastAsia" w:ascii="Times New Roman" w:hAnsi="Times New Roman" w:cs="Times New Roman"/>
                <w:snapToGrid w:val="0"/>
                <w:kern w:val="21"/>
                <w:sz w:val="18"/>
                <w:szCs w:val="18"/>
              </w:rPr>
              <w:t>3.1t/a</w:t>
            </w:r>
          </w:p>
        </w:tc>
        <w:tc>
          <w:tcPr>
            <w:tcW w:w="1275"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5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4.2t/a</w:t>
            </w:r>
          </w:p>
        </w:tc>
        <w:tc>
          <w:tcPr>
            <w:tcW w:w="1759" w:type="dxa"/>
            <w:tcBorders>
              <w:top w:val="single" w:color="auto" w:sz="4" w:space="0"/>
              <w:left w:val="single" w:color="auto" w:sz="4" w:space="0"/>
              <w:bottom w:val="single" w:color="auto" w:sz="4" w:space="0"/>
              <w:right w:val="single" w:color="auto" w:sz="4" w:space="0"/>
            </w:tcBorders>
            <w:vAlign w:val="center"/>
          </w:tcPr>
          <w:p>
            <w:pPr>
              <w:spacing w:line="250" w:lineRule="exact"/>
              <w:jc w:val="center"/>
              <w:rPr>
                <w:sz w:val="18"/>
                <w:szCs w:val="18"/>
              </w:rPr>
            </w:pPr>
            <w:r>
              <w:rPr>
                <w:rFonts w:hint="eastAsia"/>
                <w:sz w:val="18"/>
                <w:szCs w:val="18"/>
              </w:rPr>
              <w:t>0</w:t>
            </w:r>
          </w:p>
        </w:tc>
        <w:tc>
          <w:tcPr>
            <w:tcW w:w="16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4.2t/a</w:t>
            </w:r>
          </w:p>
        </w:tc>
        <w:tc>
          <w:tcPr>
            <w:tcW w:w="1559" w:type="dxa"/>
            <w:tcBorders>
              <w:top w:val="single" w:color="auto" w:sz="4" w:space="0"/>
              <w:left w:val="single" w:color="auto" w:sz="4" w:space="0"/>
              <w:bottom w:val="single" w:color="auto" w:sz="4" w:space="0"/>
              <w:right w:val="single" w:color="auto" w:sz="8" w:space="0"/>
            </w:tcBorders>
            <w:vAlign w:val="center"/>
          </w:tcPr>
          <w:p>
            <w:pPr>
              <w:pStyle w:val="32"/>
              <w:spacing w:before="31" w:line="25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+1.1</w:t>
            </w:r>
            <w:r>
              <w:rPr>
                <w:rFonts w:hint="eastAsia"/>
                <w:sz w:val="18"/>
                <w:szCs w:val="18"/>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586" w:type="dxa"/>
            <w:vMerge w:val="continue"/>
            <w:tcBorders>
              <w:top w:val="single" w:color="auto" w:sz="4" w:space="0"/>
              <w:left w:val="single" w:color="auto" w:sz="8"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4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sz w:val="18"/>
                <w:szCs w:val="18"/>
              </w:rPr>
            </w:pPr>
            <w:r>
              <w:rPr>
                <w:rFonts w:hint="eastAsia"/>
                <w:sz w:val="18"/>
                <w:szCs w:val="18"/>
              </w:rPr>
              <w:t>收尘灰</w:t>
            </w: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Lines="0" w:line="300" w:lineRule="exact"/>
              <w:rPr>
                <w:sz w:val="18"/>
                <w:szCs w:val="18"/>
              </w:rPr>
            </w:pPr>
            <w:r>
              <w:rPr>
                <w:rFonts w:hint="eastAsia" w:ascii="Times New Roman" w:hAnsi="Times New Roman" w:cs="Times New Roman"/>
                <w:snapToGrid w:val="0"/>
                <w:kern w:val="21"/>
                <w:sz w:val="18"/>
                <w:szCs w:val="18"/>
              </w:rPr>
              <w:t>3.56</w:t>
            </w:r>
          </w:p>
        </w:tc>
        <w:tc>
          <w:tcPr>
            <w:tcW w:w="1275"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5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3.56t/a</w:t>
            </w:r>
          </w:p>
        </w:tc>
        <w:tc>
          <w:tcPr>
            <w:tcW w:w="175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0</w:t>
            </w:r>
          </w:p>
        </w:tc>
        <w:tc>
          <w:tcPr>
            <w:tcW w:w="16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3.56t/a</w:t>
            </w:r>
          </w:p>
        </w:tc>
        <w:tc>
          <w:tcPr>
            <w:tcW w:w="1559"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sz w:val="18"/>
                <w:szCs w:val="18"/>
              </w:rPr>
            </w:pPr>
            <w:r>
              <w:rPr>
                <w:rFonts w:hint="eastAsia"/>
                <w:sz w:val="18"/>
                <w:szCs w:val="1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586" w:type="dxa"/>
            <w:vMerge w:val="continue"/>
            <w:tcBorders>
              <w:top w:val="single" w:color="auto" w:sz="4" w:space="0"/>
              <w:left w:val="single" w:color="auto" w:sz="8"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4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sz w:val="18"/>
                <w:szCs w:val="18"/>
              </w:rPr>
            </w:pPr>
            <w:r>
              <w:rPr>
                <w:rFonts w:hint="eastAsia"/>
                <w:sz w:val="18"/>
                <w:szCs w:val="18"/>
              </w:rPr>
              <w:t>煤渣</w:t>
            </w: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Lines="0" w:line="300" w:lineRule="exact"/>
              <w:rPr>
                <w:sz w:val="18"/>
                <w:szCs w:val="18"/>
              </w:rPr>
            </w:pPr>
            <w:r>
              <w:rPr>
                <w:rFonts w:hint="eastAsia"/>
                <w:sz w:val="18"/>
                <w:szCs w:val="18"/>
              </w:rPr>
              <w:t>0</w:t>
            </w:r>
          </w:p>
        </w:tc>
        <w:tc>
          <w:tcPr>
            <w:tcW w:w="1275"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5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1.0t/a</w:t>
            </w:r>
          </w:p>
        </w:tc>
        <w:tc>
          <w:tcPr>
            <w:tcW w:w="175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0</w:t>
            </w:r>
          </w:p>
        </w:tc>
        <w:tc>
          <w:tcPr>
            <w:tcW w:w="16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1.0t/a</w:t>
            </w:r>
          </w:p>
        </w:tc>
        <w:tc>
          <w:tcPr>
            <w:tcW w:w="1559"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sz w:val="18"/>
                <w:szCs w:val="18"/>
              </w:rPr>
            </w:pPr>
            <w:r>
              <w:rPr>
                <w:rFonts w:hint="eastAsia"/>
                <w:sz w:val="18"/>
                <w:szCs w:val="18"/>
              </w:rPr>
              <w:t>+1.0t/a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586" w:type="dxa"/>
            <w:vMerge w:val="restart"/>
            <w:tcBorders>
              <w:top w:val="single" w:color="auto" w:sz="4" w:space="0"/>
              <w:left w:val="single" w:color="auto" w:sz="8"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r>
              <w:rPr>
                <w:rFonts w:ascii="Times New Roman" w:hAnsi="Times New Roman" w:cs="Times New Roman"/>
                <w:snapToGrid w:val="0"/>
                <w:kern w:val="21"/>
                <w:szCs w:val="21"/>
              </w:rPr>
              <w:t>危险废物</w:t>
            </w:r>
          </w:p>
        </w:tc>
        <w:tc>
          <w:tcPr>
            <w:tcW w:w="1416" w:type="dxa"/>
            <w:tcBorders>
              <w:top w:val="single" w:color="auto" w:sz="4" w:space="0"/>
              <w:left w:val="single" w:color="auto" w:sz="4" w:space="0"/>
              <w:bottom w:val="single" w:color="auto" w:sz="4" w:space="0"/>
              <w:right w:val="single" w:color="auto" w:sz="4" w:space="0"/>
            </w:tcBorders>
          </w:tcPr>
          <w:p>
            <w:pPr>
              <w:spacing w:line="250" w:lineRule="exact"/>
              <w:ind w:left="-105" w:leftChars="-50" w:right="-105" w:rightChars="-50"/>
              <w:jc w:val="center"/>
              <w:rPr>
                <w:sz w:val="18"/>
                <w:szCs w:val="18"/>
              </w:rPr>
            </w:pPr>
            <w:r>
              <w:rPr>
                <w:sz w:val="18"/>
                <w:szCs w:val="18"/>
              </w:rPr>
              <w:t>废油桶</w:t>
            </w: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21"/>
              </w:rPr>
            </w:pPr>
            <w:r>
              <w:rPr>
                <w:rFonts w:hint="eastAsia" w:ascii="Times New Roman" w:hAnsi="Times New Roman" w:cs="Times New Roman"/>
                <w:snapToGrid w:val="0"/>
                <w:kern w:val="21"/>
                <w:sz w:val="18"/>
                <w:szCs w:val="21"/>
              </w:rPr>
              <w:t>0.5t/a</w:t>
            </w:r>
          </w:p>
        </w:tc>
        <w:tc>
          <w:tcPr>
            <w:tcW w:w="1275"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21"/>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21"/>
              </w:rPr>
            </w:pPr>
          </w:p>
        </w:tc>
        <w:tc>
          <w:tcPr>
            <w:tcW w:w="1557"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21"/>
              </w:rPr>
            </w:pPr>
            <w:r>
              <w:rPr>
                <w:rFonts w:hint="eastAsia" w:ascii="Times New Roman" w:hAnsi="Times New Roman" w:cs="Times New Roman"/>
                <w:snapToGrid w:val="0"/>
                <w:kern w:val="21"/>
                <w:sz w:val="18"/>
                <w:szCs w:val="21"/>
              </w:rPr>
              <w:t>0.5t/a</w:t>
            </w:r>
          </w:p>
        </w:tc>
        <w:tc>
          <w:tcPr>
            <w:tcW w:w="175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0</w:t>
            </w:r>
          </w:p>
        </w:tc>
        <w:tc>
          <w:tcPr>
            <w:tcW w:w="1653"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21"/>
              </w:rPr>
            </w:pPr>
            <w:r>
              <w:rPr>
                <w:rFonts w:hint="eastAsia" w:ascii="Times New Roman" w:hAnsi="Times New Roman" w:cs="Times New Roman"/>
                <w:snapToGrid w:val="0"/>
                <w:kern w:val="21"/>
                <w:sz w:val="18"/>
                <w:szCs w:val="21"/>
              </w:rPr>
              <w:t>0.5t/a</w:t>
            </w:r>
          </w:p>
        </w:tc>
        <w:tc>
          <w:tcPr>
            <w:tcW w:w="1559" w:type="dxa"/>
            <w:tcBorders>
              <w:top w:val="single" w:color="auto" w:sz="4" w:space="0"/>
              <w:left w:val="single" w:color="auto" w:sz="4" w:space="0"/>
              <w:bottom w:val="single" w:color="auto" w:sz="4" w:space="0"/>
              <w:right w:val="single" w:color="auto" w:sz="8" w:space="0"/>
            </w:tcBorders>
            <w:vAlign w:val="center"/>
          </w:tcPr>
          <w:p>
            <w:pPr>
              <w:pStyle w:val="32"/>
              <w:spacing w:before="31" w:line="25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586" w:type="dxa"/>
            <w:vMerge w:val="continue"/>
            <w:tcBorders>
              <w:left w:val="single" w:color="auto" w:sz="8" w:space="0"/>
              <w:bottom w:val="single" w:color="auto" w:sz="8" w:space="0"/>
              <w:right w:val="single" w:color="auto" w:sz="4" w:space="0"/>
            </w:tcBorders>
            <w:vAlign w:val="center"/>
          </w:tcPr>
          <w:p>
            <w:pPr>
              <w:pStyle w:val="32"/>
              <w:spacing w:before="31" w:line="250" w:lineRule="exact"/>
              <w:rPr>
                <w:rFonts w:ascii="Times New Roman" w:hAnsi="Times New Roman" w:cs="Times New Roman"/>
                <w:snapToGrid w:val="0"/>
                <w:kern w:val="21"/>
                <w:szCs w:val="21"/>
              </w:rPr>
            </w:pPr>
          </w:p>
        </w:tc>
        <w:tc>
          <w:tcPr>
            <w:tcW w:w="1416" w:type="dxa"/>
            <w:tcBorders>
              <w:top w:val="single" w:color="auto" w:sz="4" w:space="0"/>
              <w:left w:val="single" w:color="auto" w:sz="4" w:space="0"/>
              <w:bottom w:val="single" w:color="auto" w:sz="4" w:space="0"/>
              <w:right w:val="single" w:color="auto" w:sz="4" w:space="0"/>
            </w:tcBorders>
          </w:tcPr>
          <w:p>
            <w:pPr>
              <w:spacing w:line="250" w:lineRule="exact"/>
              <w:ind w:left="-105" w:leftChars="-50" w:right="-105" w:rightChars="-50"/>
              <w:jc w:val="center"/>
              <w:rPr>
                <w:sz w:val="18"/>
                <w:szCs w:val="18"/>
              </w:rPr>
            </w:pPr>
            <w:r>
              <w:rPr>
                <w:sz w:val="18"/>
                <w:szCs w:val="18"/>
              </w:rPr>
              <w:t>废矿物油</w:t>
            </w: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21"/>
              </w:rPr>
            </w:pPr>
            <w:r>
              <w:rPr>
                <w:rFonts w:hint="eastAsia" w:ascii="Times New Roman" w:hAnsi="Times New Roman" w:cs="Times New Roman"/>
                <w:snapToGrid w:val="0"/>
                <w:kern w:val="21"/>
                <w:sz w:val="18"/>
                <w:szCs w:val="21"/>
              </w:rPr>
              <w:t>0.1t/a</w:t>
            </w:r>
          </w:p>
        </w:tc>
        <w:tc>
          <w:tcPr>
            <w:tcW w:w="1275"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21"/>
              </w:rPr>
            </w:pPr>
          </w:p>
        </w:tc>
        <w:tc>
          <w:tcPr>
            <w:tcW w:w="169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21"/>
              </w:rPr>
            </w:pPr>
          </w:p>
        </w:tc>
        <w:tc>
          <w:tcPr>
            <w:tcW w:w="1557"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21"/>
              </w:rPr>
            </w:pPr>
            <w:r>
              <w:rPr>
                <w:rFonts w:hint="eastAsia" w:ascii="Times New Roman" w:hAnsi="Times New Roman" w:cs="Times New Roman"/>
                <w:snapToGrid w:val="0"/>
                <w:kern w:val="21"/>
                <w:sz w:val="18"/>
                <w:szCs w:val="21"/>
              </w:rPr>
              <w:t>0.1t/a</w:t>
            </w:r>
          </w:p>
        </w:tc>
        <w:tc>
          <w:tcPr>
            <w:tcW w:w="1759"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0</w:t>
            </w:r>
          </w:p>
        </w:tc>
        <w:tc>
          <w:tcPr>
            <w:tcW w:w="1653" w:type="dxa"/>
            <w:tcBorders>
              <w:top w:val="single" w:color="auto" w:sz="4" w:space="0"/>
              <w:left w:val="single" w:color="auto" w:sz="4" w:space="0"/>
              <w:bottom w:val="single" w:color="auto" w:sz="4" w:space="0"/>
              <w:right w:val="single" w:color="auto" w:sz="4" w:space="0"/>
            </w:tcBorders>
            <w:vAlign w:val="center"/>
          </w:tcPr>
          <w:p>
            <w:pPr>
              <w:pStyle w:val="32"/>
              <w:spacing w:before="31" w:line="250" w:lineRule="exact"/>
              <w:rPr>
                <w:rFonts w:ascii="Times New Roman" w:hAnsi="Times New Roman" w:cs="Times New Roman"/>
                <w:snapToGrid w:val="0"/>
                <w:kern w:val="21"/>
                <w:sz w:val="18"/>
                <w:szCs w:val="21"/>
              </w:rPr>
            </w:pPr>
            <w:r>
              <w:rPr>
                <w:rFonts w:hint="eastAsia" w:ascii="Times New Roman" w:hAnsi="Times New Roman" w:cs="Times New Roman"/>
                <w:snapToGrid w:val="0"/>
                <w:kern w:val="21"/>
                <w:sz w:val="18"/>
                <w:szCs w:val="21"/>
              </w:rPr>
              <w:t>0.1t/a</w:t>
            </w:r>
          </w:p>
        </w:tc>
        <w:tc>
          <w:tcPr>
            <w:tcW w:w="1559" w:type="dxa"/>
            <w:tcBorders>
              <w:top w:val="single" w:color="auto" w:sz="4" w:space="0"/>
              <w:left w:val="single" w:color="auto" w:sz="4" w:space="0"/>
              <w:bottom w:val="single" w:color="auto" w:sz="4" w:space="0"/>
              <w:right w:val="single" w:color="auto" w:sz="8" w:space="0"/>
            </w:tcBorders>
            <w:vAlign w:val="center"/>
          </w:tcPr>
          <w:p>
            <w:pPr>
              <w:pStyle w:val="32"/>
              <w:spacing w:before="31" w:line="25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0</w:t>
            </w:r>
          </w:p>
        </w:tc>
      </w:tr>
    </w:tbl>
    <w:p>
      <w:pPr>
        <w:pStyle w:val="32"/>
        <w:spacing w:before="249" w:beforeLines="80" w:after="24"/>
        <w:jc w:val="left"/>
      </w:pPr>
      <w:r>
        <w:rPr>
          <w:rFonts w:ascii="Times New Roman" w:hAnsi="Times New Roman" w:cs="Times New Roman"/>
          <w:snapToGrid w:val="0"/>
          <w:kern w:val="21"/>
          <w:szCs w:val="21"/>
        </w:rPr>
        <w:t>注：</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6 \* GB3 \* MERGEFORMAT </w:instrText>
      </w:r>
      <w:r>
        <w:rPr>
          <w:rFonts w:ascii="Times New Roman" w:hAnsi="Times New Roman" w:cs="Times New Roman"/>
          <w:snapToGrid w:val="0"/>
          <w:spacing w:val="-16"/>
          <w:kern w:val="21"/>
          <w:szCs w:val="21"/>
        </w:rPr>
        <w:fldChar w:fldCharType="separate"/>
      </w:r>
      <w:r>
        <w:rPr>
          <w:rFonts w:hint="eastAsia" w:cs="宋体"/>
          <w:szCs w:val="21"/>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1 \* GB3 \* MERGEFORMAT </w:instrText>
      </w:r>
      <w:r>
        <w:rPr>
          <w:rFonts w:ascii="Times New Roman" w:hAnsi="Times New Roman" w:cs="Times New Roman"/>
          <w:snapToGrid w:val="0"/>
          <w:spacing w:val="-6"/>
          <w:kern w:val="21"/>
          <w:szCs w:val="21"/>
        </w:rPr>
        <w:fldChar w:fldCharType="separate"/>
      </w:r>
      <w:r>
        <w:rPr>
          <w:rFonts w:hint="eastAsia" w:cs="宋体"/>
          <w:szCs w:val="21"/>
        </w:rPr>
        <w:t>①</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3 \* GB3 \* MERGEFORMAT </w:instrText>
      </w:r>
      <w:r>
        <w:rPr>
          <w:rFonts w:ascii="Times New Roman" w:hAnsi="Times New Roman" w:cs="Times New Roman"/>
          <w:snapToGrid w:val="0"/>
          <w:spacing w:val="-6"/>
          <w:kern w:val="21"/>
          <w:szCs w:val="21"/>
        </w:rPr>
        <w:fldChar w:fldCharType="separate"/>
      </w:r>
      <w:r>
        <w:rPr>
          <w:rFonts w:hint="eastAsia" w:cs="宋体"/>
          <w:szCs w:val="21"/>
        </w:rPr>
        <w:t>③</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4 \* GB3 \* MERGEFORMAT </w:instrText>
      </w:r>
      <w:r>
        <w:rPr>
          <w:rFonts w:ascii="Times New Roman" w:hAnsi="Times New Roman" w:cs="Times New Roman"/>
          <w:snapToGrid w:val="0"/>
          <w:spacing w:val="-6"/>
          <w:kern w:val="21"/>
          <w:szCs w:val="21"/>
        </w:rPr>
        <w:fldChar w:fldCharType="separate"/>
      </w:r>
      <w:r>
        <w:rPr>
          <w:rFonts w:hint="eastAsia" w:cs="宋体"/>
          <w:szCs w:val="21"/>
        </w:rPr>
        <w:t>④</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5 \* GB3 \* MERGEFORMAT </w:instrText>
      </w:r>
      <w:r>
        <w:rPr>
          <w:rFonts w:ascii="Times New Roman" w:hAnsi="Times New Roman" w:cs="Times New Roman"/>
          <w:snapToGrid w:val="0"/>
          <w:spacing w:val="-16"/>
          <w:kern w:val="21"/>
          <w:szCs w:val="21"/>
        </w:rPr>
        <w:fldChar w:fldCharType="separate"/>
      </w:r>
      <w:r>
        <w:rPr>
          <w:rFonts w:hint="eastAsia" w:cs="宋体"/>
          <w:szCs w:val="21"/>
        </w:rPr>
        <w:t>⑤</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7 \* GB3 \* MERGEFORMAT </w:instrText>
      </w:r>
      <w:r>
        <w:rPr>
          <w:rFonts w:ascii="Times New Roman" w:hAnsi="Times New Roman" w:cs="Times New Roman"/>
          <w:snapToGrid w:val="0"/>
          <w:spacing w:val="-6"/>
          <w:kern w:val="21"/>
          <w:szCs w:val="21"/>
        </w:rPr>
        <w:fldChar w:fldCharType="separate"/>
      </w:r>
      <w:r>
        <w:rPr>
          <w:rFonts w:hint="eastAsia" w:cs="宋体"/>
          <w:szCs w:val="21"/>
        </w:rPr>
        <w:t>⑦</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6 \* GB3 \* MERGEFORMAT </w:instrText>
      </w:r>
      <w:r>
        <w:rPr>
          <w:rFonts w:ascii="Times New Roman" w:hAnsi="Times New Roman" w:cs="Times New Roman"/>
          <w:snapToGrid w:val="0"/>
          <w:spacing w:val="-16"/>
          <w:kern w:val="21"/>
          <w:szCs w:val="21"/>
        </w:rPr>
        <w:fldChar w:fldCharType="separate"/>
      </w:r>
      <w:r>
        <w:rPr>
          <w:rFonts w:hint="eastAsia" w:cs="宋体"/>
          <w:szCs w:val="21"/>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1 \* GB3 \* MERGEFORMAT </w:instrText>
      </w:r>
      <w:r>
        <w:rPr>
          <w:rFonts w:ascii="Times New Roman" w:hAnsi="Times New Roman" w:cs="Times New Roman"/>
          <w:snapToGrid w:val="0"/>
          <w:spacing w:val="-6"/>
          <w:kern w:val="21"/>
          <w:szCs w:val="21"/>
        </w:rPr>
        <w:fldChar w:fldCharType="separate"/>
      </w:r>
      <w:r>
        <w:rPr>
          <w:rFonts w:hint="eastAsia" w:cs="宋体"/>
          <w:szCs w:val="21"/>
        </w:rPr>
        <w:t>①</w:t>
      </w:r>
      <w:r>
        <w:rPr>
          <w:rFonts w:ascii="Times New Roman" w:hAnsi="Times New Roman" w:cs="Times New Roman"/>
          <w:snapToGrid w:val="0"/>
          <w:spacing w:val="-6"/>
          <w:kern w:val="21"/>
          <w:szCs w:val="21"/>
        </w:rPr>
        <w:fldChar w:fldCharType="end"/>
      </w:r>
    </w:p>
    <w:sectPr>
      <w:pgSz w:w="16838" w:h="11906" w:orient="landscape"/>
      <w:pgMar w:top="1800" w:right="1440" w:bottom="1800" w:left="1440" w:header="851" w:footer="107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魏碑">
    <w:altName w:val="黑体"/>
    <w:panose1 w:val="00000000000000000000"/>
    <w:charset w:val="86"/>
    <w:family w:val="modern"/>
    <w:pitch w:val="default"/>
    <w:sig w:usb0="00000000" w:usb1="00000000" w:usb2="00000010" w:usb3="00000000" w:csb0="00040000" w:csb1="00000000"/>
  </w:font>
  <w:font w:name="长城楷体">
    <w:altName w:val="宋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422"/>
        <w:tab w:val="right" w:pos="8844"/>
      </w:tabs>
      <w:rPr>
        <w:sz w:val="20"/>
        <w:szCs w:val="20"/>
      </w:rPr>
    </w:pPr>
    <w:r>
      <w:rPr>
        <w:sz w:val="20"/>
        <w:szCs w:val="20"/>
      </w:rPr>
      <w:tab/>
    </w:r>
    <w:r>
      <w:rPr>
        <w:sz w:val="20"/>
        <w:szCs w:val="20"/>
      </w:rPr>
      <w:tab/>
    </w:r>
    <w:r>
      <w:rPr>
        <w:sz w:val="20"/>
      </w:rPr>
      <w:pict>
        <v:shape id="_x0000_s2049" o:spid="_x0000_s2049" o:spt="202" type="#_x0000_t202" style="position:absolute;left:0pt;margin-top:0pt;height:144pt;width:144pt;mso-position-horizontal:outside;mso-position-horizontal-relative:margin;mso-wrap-style:none;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v:path/>
          <v:fill on="f" focussize="0,0"/>
          <v:stroke on="f" weight="0.5pt" joinstyle="miter"/>
          <v:imagedata o:title=""/>
          <o:lock v:ext="edit"/>
          <v:textbox inset="0mm,0mm,0mm,0mm" style="mso-fit-shape-to-text:t;">
            <w:txbxContent>
              <w:p>
                <w:pPr>
                  <w:pStyle w:val="16"/>
                  <w:jc w:val="cente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w:t>
                </w:r>
                <w:r>
                  <w:rPr>
                    <w:sz w:val="20"/>
                    <w:szCs w:val="20"/>
                  </w:rPr>
                  <w:t xml:space="preserve"> 6 -</w:t>
                </w:r>
                <w:r>
                  <w:rPr>
                    <w:sz w:val="20"/>
                    <w:szCs w:val="20"/>
                  </w:rPr>
                  <w:fldChar w:fldCharType="end"/>
                </w:r>
              </w:p>
            </w:txbxContent>
          </v:textbox>
        </v:shape>
      </w:pict>
    </w:r>
    <w:r>
      <w:rPr>
        <w:sz w:val="20"/>
        <w:szCs w:val="20"/>
      </w:rPr>
      <w:tab/>
    </w:r>
    <w:r>
      <w:rPr>
        <w:sz w:val="20"/>
        <w:szCs w:val="20"/>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0">
      <w:start w:val="1"/>
      <w:numFmt w:val="decimal"/>
      <w:pStyle w:val="2"/>
      <w:lvlText w:val="%1."/>
      <w:legacy w:legacy="1" w:legacySpace="144" w:legacyIndent="0"/>
      <w:lvlJc w:val="left"/>
      <w:rPr>
        <w:rFonts w:hint="eastAsia" w:ascii="宋体" w:eastAsia="宋体"/>
        <w:b/>
        <w:i w:val="0"/>
        <w:sz w:val="30"/>
      </w:rPr>
    </w:lvl>
    <w:lvl w:ilvl="1" w:tentative="0">
      <w:start w:val="1"/>
      <w:numFmt w:val="decimal"/>
      <w:pStyle w:val="3"/>
      <w:lvlText w:val="%1.%2."/>
      <w:legacy w:legacy="1" w:legacySpace="144" w:legacyIndent="0"/>
      <w:lvlJc w:val="left"/>
      <w:rPr>
        <w:rFonts w:hint="default" w:ascii="Times New Roman" w:hAnsi="Times New Roman"/>
        <w:b w:val="0"/>
        <w:i w:val="0"/>
        <w:sz w:val="28"/>
      </w:rPr>
    </w:lvl>
    <w:lvl w:ilvl="2" w:tentative="0">
      <w:start w:val="1"/>
      <w:numFmt w:val="decimal"/>
      <w:pStyle w:val="4"/>
      <w:lvlText w:val="%1.%2.%3."/>
      <w:legacy w:legacy="1" w:legacySpace="144" w:legacyIndent="0"/>
      <w:lvlJc w:val="left"/>
      <w:rPr>
        <w:rFonts w:hint="default" w:ascii="Times New Roman" w:hAnsi="Times New Roman"/>
        <w:b w:val="0"/>
        <w:i w:val="0"/>
        <w:sz w:val="28"/>
      </w:rPr>
    </w:lvl>
    <w:lvl w:ilvl="3" w:tentative="0">
      <w:start w:val="1"/>
      <w:numFmt w:val="decimal"/>
      <w:pStyle w:val="5"/>
      <w:lvlText w:val="%1.%2.%3.%4."/>
      <w:legacy w:legacy="1" w:legacySpace="144" w:legacyIndent="0"/>
      <w:lvlJc w:val="left"/>
      <w:rPr>
        <w:rFonts w:hint="default" w:ascii="Times New Roman" w:hAnsi="Times New Roman"/>
        <w:b w:val="0"/>
        <w:i w:val="0"/>
        <w:sz w:val="28"/>
      </w:rPr>
    </w:lvl>
    <w:lvl w:ilvl="4" w:tentative="0">
      <w:start w:val="1"/>
      <w:numFmt w:val="decimal"/>
      <w:pStyle w:val="6"/>
      <w:lvlText w:val="%1.%2.%3.%4.%5."/>
      <w:legacy w:legacy="1" w:legacySpace="144" w:legacyIndent="0"/>
      <w:lvlJc w:val="left"/>
      <w:rPr>
        <w:rFonts w:hint="default" w:ascii="Times New Roman" w:hAnsi="Times New Roman"/>
        <w:b w:val="0"/>
        <w:i w:val="0"/>
        <w:sz w:val="24"/>
      </w:rPr>
    </w:lvl>
    <w:lvl w:ilvl="5" w:tentative="0">
      <w:start w:val="1"/>
      <w:numFmt w:val="decimal"/>
      <w:pStyle w:val="7"/>
      <w:lvlText w:val="%1.%2.%3.%4.%5..%6"/>
      <w:legacy w:legacy="1" w:legacySpace="144" w:legacyIndent="0"/>
      <w:lvlJc w:val="left"/>
    </w:lvl>
    <w:lvl w:ilvl="6" w:tentative="0">
      <w:start w:val="1"/>
      <w:numFmt w:val="decimal"/>
      <w:pStyle w:val="8"/>
      <w:lvlText w:val="%1.%2.%3.%4.%5..%6.%7"/>
      <w:legacy w:legacy="1" w:legacySpace="144" w:legacyIndent="0"/>
      <w:lvlJc w:val="left"/>
    </w:lvl>
    <w:lvl w:ilvl="7" w:tentative="0">
      <w:start w:val="1"/>
      <w:numFmt w:val="decimal"/>
      <w:pStyle w:val="9"/>
      <w:lvlText w:val="%1.%2.%3.%4.%5..%6.%7.%8"/>
      <w:legacy w:legacy="1" w:legacySpace="144" w:legacyIndent="0"/>
      <w:lvlJc w:val="left"/>
    </w:lvl>
    <w:lvl w:ilvl="8" w:tentative="0">
      <w:start w:val="1"/>
      <w:numFmt w:val="decimal"/>
      <w:pStyle w:val="10"/>
      <w:lvlText w:val="%1.%2.%3.%4.%5..%6.%7.%8.%9"/>
      <w:legacy w:legacy="1" w:legacySpace="144" w:legacyIndent="0"/>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mMzY2ZkZWE3N2YxYzJhMjhjYmJlMGJhNWEwY2I0YjAifQ=="/>
  </w:docVars>
  <w:rsids>
    <w:rsidRoot w:val="00124917"/>
    <w:rsid w:val="000005F3"/>
    <w:rsid w:val="00001239"/>
    <w:rsid w:val="00001F41"/>
    <w:rsid w:val="00002A77"/>
    <w:rsid w:val="00005F0D"/>
    <w:rsid w:val="0000642D"/>
    <w:rsid w:val="0000680E"/>
    <w:rsid w:val="00006B41"/>
    <w:rsid w:val="00007F9E"/>
    <w:rsid w:val="00010700"/>
    <w:rsid w:val="00010B2C"/>
    <w:rsid w:val="00014A80"/>
    <w:rsid w:val="0001603E"/>
    <w:rsid w:val="00022465"/>
    <w:rsid w:val="00022682"/>
    <w:rsid w:val="00023963"/>
    <w:rsid w:val="00023A67"/>
    <w:rsid w:val="00024637"/>
    <w:rsid w:val="00024DC9"/>
    <w:rsid w:val="000255A9"/>
    <w:rsid w:val="00025928"/>
    <w:rsid w:val="00027898"/>
    <w:rsid w:val="00030C5B"/>
    <w:rsid w:val="00030F9E"/>
    <w:rsid w:val="0003172F"/>
    <w:rsid w:val="0003221D"/>
    <w:rsid w:val="00032627"/>
    <w:rsid w:val="000348C4"/>
    <w:rsid w:val="000365C5"/>
    <w:rsid w:val="000371E0"/>
    <w:rsid w:val="00037E7D"/>
    <w:rsid w:val="00041F33"/>
    <w:rsid w:val="00044D7A"/>
    <w:rsid w:val="00044D7B"/>
    <w:rsid w:val="00047869"/>
    <w:rsid w:val="000478A5"/>
    <w:rsid w:val="00050FF2"/>
    <w:rsid w:val="00055037"/>
    <w:rsid w:val="0005647D"/>
    <w:rsid w:val="00057D5A"/>
    <w:rsid w:val="0006166B"/>
    <w:rsid w:val="00062A03"/>
    <w:rsid w:val="000637A7"/>
    <w:rsid w:val="00065EC7"/>
    <w:rsid w:val="00066FFA"/>
    <w:rsid w:val="000676E2"/>
    <w:rsid w:val="0007022A"/>
    <w:rsid w:val="00071BE4"/>
    <w:rsid w:val="00071FB3"/>
    <w:rsid w:val="00072621"/>
    <w:rsid w:val="00072FFD"/>
    <w:rsid w:val="000745AA"/>
    <w:rsid w:val="00075C5A"/>
    <w:rsid w:val="00075E37"/>
    <w:rsid w:val="00075FC8"/>
    <w:rsid w:val="000815B2"/>
    <w:rsid w:val="00081E16"/>
    <w:rsid w:val="00082AF2"/>
    <w:rsid w:val="00083E53"/>
    <w:rsid w:val="00085453"/>
    <w:rsid w:val="000930D6"/>
    <w:rsid w:val="00093AB3"/>
    <w:rsid w:val="0009434B"/>
    <w:rsid w:val="00097359"/>
    <w:rsid w:val="00097629"/>
    <w:rsid w:val="00097888"/>
    <w:rsid w:val="000A099F"/>
    <w:rsid w:val="000A116E"/>
    <w:rsid w:val="000A2BEF"/>
    <w:rsid w:val="000A2EA5"/>
    <w:rsid w:val="000A3102"/>
    <w:rsid w:val="000A61E3"/>
    <w:rsid w:val="000A6B16"/>
    <w:rsid w:val="000A79EF"/>
    <w:rsid w:val="000A7E9F"/>
    <w:rsid w:val="000B0A3A"/>
    <w:rsid w:val="000B0C9E"/>
    <w:rsid w:val="000B0E05"/>
    <w:rsid w:val="000B0FCD"/>
    <w:rsid w:val="000B374F"/>
    <w:rsid w:val="000B3963"/>
    <w:rsid w:val="000B3FAA"/>
    <w:rsid w:val="000B5906"/>
    <w:rsid w:val="000B5D3D"/>
    <w:rsid w:val="000B63E0"/>
    <w:rsid w:val="000B64F2"/>
    <w:rsid w:val="000C0BCF"/>
    <w:rsid w:val="000C13EA"/>
    <w:rsid w:val="000C1CBF"/>
    <w:rsid w:val="000C2296"/>
    <w:rsid w:val="000C2E01"/>
    <w:rsid w:val="000C3621"/>
    <w:rsid w:val="000C450A"/>
    <w:rsid w:val="000C51C5"/>
    <w:rsid w:val="000C52E5"/>
    <w:rsid w:val="000C6A60"/>
    <w:rsid w:val="000D13D9"/>
    <w:rsid w:val="000D2859"/>
    <w:rsid w:val="000D57E4"/>
    <w:rsid w:val="000E02A2"/>
    <w:rsid w:val="000E1C97"/>
    <w:rsid w:val="000E2B35"/>
    <w:rsid w:val="000E39A2"/>
    <w:rsid w:val="000E3FD4"/>
    <w:rsid w:val="000E5251"/>
    <w:rsid w:val="000E5A8E"/>
    <w:rsid w:val="000F039C"/>
    <w:rsid w:val="000F1AE4"/>
    <w:rsid w:val="000F1BB8"/>
    <w:rsid w:val="000F2AC5"/>
    <w:rsid w:val="000F2C3E"/>
    <w:rsid w:val="000F31B6"/>
    <w:rsid w:val="000F3543"/>
    <w:rsid w:val="000F60C4"/>
    <w:rsid w:val="000F6553"/>
    <w:rsid w:val="000F75A0"/>
    <w:rsid w:val="000F7799"/>
    <w:rsid w:val="00100179"/>
    <w:rsid w:val="001003CB"/>
    <w:rsid w:val="00100900"/>
    <w:rsid w:val="0010104E"/>
    <w:rsid w:val="00101564"/>
    <w:rsid w:val="001019FB"/>
    <w:rsid w:val="0010232D"/>
    <w:rsid w:val="00102EC0"/>
    <w:rsid w:val="00103BD3"/>
    <w:rsid w:val="00107B8A"/>
    <w:rsid w:val="00107D9D"/>
    <w:rsid w:val="0011282D"/>
    <w:rsid w:val="00115B94"/>
    <w:rsid w:val="00117B82"/>
    <w:rsid w:val="00120CFF"/>
    <w:rsid w:val="0012131F"/>
    <w:rsid w:val="00122A19"/>
    <w:rsid w:val="00122CA2"/>
    <w:rsid w:val="00123727"/>
    <w:rsid w:val="00124917"/>
    <w:rsid w:val="0012538F"/>
    <w:rsid w:val="00125F1D"/>
    <w:rsid w:val="00130C25"/>
    <w:rsid w:val="00131880"/>
    <w:rsid w:val="00132DE1"/>
    <w:rsid w:val="001337D8"/>
    <w:rsid w:val="0013756F"/>
    <w:rsid w:val="00140B22"/>
    <w:rsid w:val="001424B7"/>
    <w:rsid w:val="00144BBB"/>
    <w:rsid w:val="00145175"/>
    <w:rsid w:val="0014674F"/>
    <w:rsid w:val="00146D8A"/>
    <w:rsid w:val="00150BFB"/>
    <w:rsid w:val="00151881"/>
    <w:rsid w:val="001521F0"/>
    <w:rsid w:val="00152477"/>
    <w:rsid w:val="00153D9E"/>
    <w:rsid w:val="0015689C"/>
    <w:rsid w:val="00156A9F"/>
    <w:rsid w:val="00160BD5"/>
    <w:rsid w:val="00161B2C"/>
    <w:rsid w:val="001634C4"/>
    <w:rsid w:val="001635E9"/>
    <w:rsid w:val="00164F56"/>
    <w:rsid w:val="00165BCB"/>
    <w:rsid w:val="001677AC"/>
    <w:rsid w:val="001740DB"/>
    <w:rsid w:val="00174983"/>
    <w:rsid w:val="00175F5B"/>
    <w:rsid w:val="001768EA"/>
    <w:rsid w:val="0018123E"/>
    <w:rsid w:val="001815AA"/>
    <w:rsid w:val="001819B0"/>
    <w:rsid w:val="001832FF"/>
    <w:rsid w:val="00183EB0"/>
    <w:rsid w:val="001912A3"/>
    <w:rsid w:val="00191651"/>
    <w:rsid w:val="00192906"/>
    <w:rsid w:val="0019391C"/>
    <w:rsid w:val="0019652F"/>
    <w:rsid w:val="00197ACF"/>
    <w:rsid w:val="00197F25"/>
    <w:rsid w:val="001A0302"/>
    <w:rsid w:val="001A2D7C"/>
    <w:rsid w:val="001A5EED"/>
    <w:rsid w:val="001A62B1"/>
    <w:rsid w:val="001B061E"/>
    <w:rsid w:val="001B0B3F"/>
    <w:rsid w:val="001B251A"/>
    <w:rsid w:val="001B4C5D"/>
    <w:rsid w:val="001B5451"/>
    <w:rsid w:val="001B7230"/>
    <w:rsid w:val="001C115F"/>
    <w:rsid w:val="001C3B15"/>
    <w:rsid w:val="001C3E28"/>
    <w:rsid w:val="001C45E5"/>
    <w:rsid w:val="001C4915"/>
    <w:rsid w:val="001C51CB"/>
    <w:rsid w:val="001C53AB"/>
    <w:rsid w:val="001C75E2"/>
    <w:rsid w:val="001C7682"/>
    <w:rsid w:val="001D02B5"/>
    <w:rsid w:val="001D1982"/>
    <w:rsid w:val="001D1CA8"/>
    <w:rsid w:val="001D2001"/>
    <w:rsid w:val="001D2323"/>
    <w:rsid w:val="001D2C44"/>
    <w:rsid w:val="001D4268"/>
    <w:rsid w:val="001D4CE6"/>
    <w:rsid w:val="001D7DAD"/>
    <w:rsid w:val="001E0A02"/>
    <w:rsid w:val="001E1C41"/>
    <w:rsid w:val="001E2389"/>
    <w:rsid w:val="001E2D00"/>
    <w:rsid w:val="001E35F0"/>
    <w:rsid w:val="001E414C"/>
    <w:rsid w:val="001E5733"/>
    <w:rsid w:val="001E7677"/>
    <w:rsid w:val="001E7EA6"/>
    <w:rsid w:val="001E7ECF"/>
    <w:rsid w:val="001F227A"/>
    <w:rsid w:val="001F2FA9"/>
    <w:rsid w:val="001F3187"/>
    <w:rsid w:val="001F5DAB"/>
    <w:rsid w:val="001F6B12"/>
    <w:rsid w:val="001F75C9"/>
    <w:rsid w:val="001F7E61"/>
    <w:rsid w:val="0020073A"/>
    <w:rsid w:val="00202939"/>
    <w:rsid w:val="0020323D"/>
    <w:rsid w:val="00204527"/>
    <w:rsid w:val="00204DD3"/>
    <w:rsid w:val="00204ECB"/>
    <w:rsid w:val="0020576B"/>
    <w:rsid w:val="00206613"/>
    <w:rsid w:val="00206E83"/>
    <w:rsid w:val="00206EEF"/>
    <w:rsid w:val="0020761A"/>
    <w:rsid w:val="002078DA"/>
    <w:rsid w:val="00210C67"/>
    <w:rsid w:val="00210E68"/>
    <w:rsid w:val="002134E4"/>
    <w:rsid w:val="002152D7"/>
    <w:rsid w:val="002165BD"/>
    <w:rsid w:val="00217211"/>
    <w:rsid w:val="00220645"/>
    <w:rsid w:val="0022121F"/>
    <w:rsid w:val="00221BEE"/>
    <w:rsid w:val="0022228A"/>
    <w:rsid w:val="002244A7"/>
    <w:rsid w:val="00225FE1"/>
    <w:rsid w:val="00226DA1"/>
    <w:rsid w:val="00227F8A"/>
    <w:rsid w:val="00232F41"/>
    <w:rsid w:val="00234FD9"/>
    <w:rsid w:val="00235482"/>
    <w:rsid w:val="002373FD"/>
    <w:rsid w:val="00240282"/>
    <w:rsid w:val="002420F2"/>
    <w:rsid w:val="002434E7"/>
    <w:rsid w:val="00243667"/>
    <w:rsid w:val="002444B6"/>
    <w:rsid w:val="00244B32"/>
    <w:rsid w:val="00247167"/>
    <w:rsid w:val="00252EAD"/>
    <w:rsid w:val="00254466"/>
    <w:rsid w:val="00257161"/>
    <w:rsid w:val="0025736C"/>
    <w:rsid w:val="00257D24"/>
    <w:rsid w:val="00260661"/>
    <w:rsid w:val="0026087F"/>
    <w:rsid w:val="00260A36"/>
    <w:rsid w:val="00260C56"/>
    <w:rsid w:val="00260E2B"/>
    <w:rsid w:val="002611E5"/>
    <w:rsid w:val="002615C6"/>
    <w:rsid w:val="0026231C"/>
    <w:rsid w:val="00263420"/>
    <w:rsid w:val="0026688B"/>
    <w:rsid w:val="002720C9"/>
    <w:rsid w:val="00273536"/>
    <w:rsid w:val="002741DB"/>
    <w:rsid w:val="00274933"/>
    <w:rsid w:val="00275846"/>
    <w:rsid w:val="0028352C"/>
    <w:rsid w:val="002842CE"/>
    <w:rsid w:val="002844ED"/>
    <w:rsid w:val="00284CA2"/>
    <w:rsid w:val="002867BD"/>
    <w:rsid w:val="00287C17"/>
    <w:rsid w:val="0029051C"/>
    <w:rsid w:val="002906F9"/>
    <w:rsid w:val="0029167F"/>
    <w:rsid w:val="002928BE"/>
    <w:rsid w:val="00295658"/>
    <w:rsid w:val="002957C8"/>
    <w:rsid w:val="00296511"/>
    <w:rsid w:val="002969DB"/>
    <w:rsid w:val="002973C8"/>
    <w:rsid w:val="00297934"/>
    <w:rsid w:val="002A35A5"/>
    <w:rsid w:val="002A3EDA"/>
    <w:rsid w:val="002A7716"/>
    <w:rsid w:val="002A79D3"/>
    <w:rsid w:val="002B0231"/>
    <w:rsid w:val="002B1767"/>
    <w:rsid w:val="002B18EE"/>
    <w:rsid w:val="002B1EBE"/>
    <w:rsid w:val="002B48EE"/>
    <w:rsid w:val="002B63D3"/>
    <w:rsid w:val="002B6579"/>
    <w:rsid w:val="002C2237"/>
    <w:rsid w:val="002C4F6D"/>
    <w:rsid w:val="002C5777"/>
    <w:rsid w:val="002C5A08"/>
    <w:rsid w:val="002D0915"/>
    <w:rsid w:val="002D14AE"/>
    <w:rsid w:val="002D231F"/>
    <w:rsid w:val="002D2FA6"/>
    <w:rsid w:val="002D5076"/>
    <w:rsid w:val="002D509C"/>
    <w:rsid w:val="002E21C5"/>
    <w:rsid w:val="002E3583"/>
    <w:rsid w:val="002E3D95"/>
    <w:rsid w:val="002E4531"/>
    <w:rsid w:val="002E4AE1"/>
    <w:rsid w:val="002E79E2"/>
    <w:rsid w:val="002F18C2"/>
    <w:rsid w:val="002F18FB"/>
    <w:rsid w:val="002F2184"/>
    <w:rsid w:val="002F3541"/>
    <w:rsid w:val="002F445B"/>
    <w:rsid w:val="002F4567"/>
    <w:rsid w:val="002F4E5D"/>
    <w:rsid w:val="002F6540"/>
    <w:rsid w:val="002F6572"/>
    <w:rsid w:val="002F7E27"/>
    <w:rsid w:val="00304655"/>
    <w:rsid w:val="00306B33"/>
    <w:rsid w:val="00306C4C"/>
    <w:rsid w:val="003112B6"/>
    <w:rsid w:val="003118D4"/>
    <w:rsid w:val="00312A65"/>
    <w:rsid w:val="003134A6"/>
    <w:rsid w:val="003137BB"/>
    <w:rsid w:val="00315B5E"/>
    <w:rsid w:val="003160D1"/>
    <w:rsid w:val="00316EA8"/>
    <w:rsid w:val="003205AD"/>
    <w:rsid w:val="00320F7B"/>
    <w:rsid w:val="00321869"/>
    <w:rsid w:val="003232FA"/>
    <w:rsid w:val="00323DB3"/>
    <w:rsid w:val="00324B87"/>
    <w:rsid w:val="00325363"/>
    <w:rsid w:val="00325681"/>
    <w:rsid w:val="0032599B"/>
    <w:rsid w:val="00327A6D"/>
    <w:rsid w:val="00327F71"/>
    <w:rsid w:val="00330EC9"/>
    <w:rsid w:val="0033186F"/>
    <w:rsid w:val="00332276"/>
    <w:rsid w:val="00332808"/>
    <w:rsid w:val="00333DAA"/>
    <w:rsid w:val="00333FDE"/>
    <w:rsid w:val="00337247"/>
    <w:rsid w:val="00337ED3"/>
    <w:rsid w:val="00340120"/>
    <w:rsid w:val="00340917"/>
    <w:rsid w:val="003415C0"/>
    <w:rsid w:val="00346CA3"/>
    <w:rsid w:val="00350173"/>
    <w:rsid w:val="00350327"/>
    <w:rsid w:val="00353757"/>
    <w:rsid w:val="00353D58"/>
    <w:rsid w:val="00353FBA"/>
    <w:rsid w:val="00353FC6"/>
    <w:rsid w:val="00354477"/>
    <w:rsid w:val="00356342"/>
    <w:rsid w:val="00356FCA"/>
    <w:rsid w:val="00357823"/>
    <w:rsid w:val="003601E1"/>
    <w:rsid w:val="003616B1"/>
    <w:rsid w:val="00363B97"/>
    <w:rsid w:val="00366E84"/>
    <w:rsid w:val="00367389"/>
    <w:rsid w:val="00367708"/>
    <w:rsid w:val="00367E81"/>
    <w:rsid w:val="00371AD8"/>
    <w:rsid w:val="00371BE1"/>
    <w:rsid w:val="003734C6"/>
    <w:rsid w:val="003738FD"/>
    <w:rsid w:val="00373E48"/>
    <w:rsid w:val="00373FB6"/>
    <w:rsid w:val="00375C2C"/>
    <w:rsid w:val="0038087D"/>
    <w:rsid w:val="00385B19"/>
    <w:rsid w:val="00387AF9"/>
    <w:rsid w:val="00387C19"/>
    <w:rsid w:val="00387DA2"/>
    <w:rsid w:val="003928AB"/>
    <w:rsid w:val="0039317E"/>
    <w:rsid w:val="003932F0"/>
    <w:rsid w:val="00393693"/>
    <w:rsid w:val="003949C8"/>
    <w:rsid w:val="0039638D"/>
    <w:rsid w:val="00397690"/>
    <w:rsid w:val="00397E25"/>
    <w:rsid w:val="003A029A"/>
    <w:rsid w:val="003A072D"/>
    <w:rsid w:val="003A10F0"/>
    <w:rsid w:val="003A1F19"/>
    <w:rsid w:val="003A2DEA"/>
    <w:rsid w:val="003A51DD"/>
    <w:rsid w:val="003A6BA5"/>
    <w:rsid w:val="003A6DBB"/>
    <w:rsid w:val="003A7D3B"/>
    <w:rsid w:val="003B032D"/>
    <w:rsid w:val="003B2CBD"/>
    <w:rsid w:val="003B415D"/>
    <w:rsid w:val="003B77C5"/>
    <w:rsid w:val="003C3011"/>
    <w:rsid w:val="003C442C"/>
    <w:rsid w:val="003C6789"/>
    <w:rsid w:val="003D087A"/>
    <w:rsid w:val="003D1483"/>
    <w:rsid w:val="003D23AC"/>
    <w:rsid w:val="003D262E"/>
    <w:rsid w:val="003D33AD"/>
    <w:rsid w:val="003D51B8"/>
    <w:rsid w:val="003D62BA"/>
    <w:rsid w:val="003D646C"/>
    <w:rsid w:val="003E1D1A"/>
    <w:rsid w:val="003E2106"/>
    <w:rsid w:val="003E379B"/>
    <w:rsid w:val="003E3F51"/>
    <w:rsid w:val="003E5D90"/>
    <w:rsid w:val="003E64EA"/>
    <w:rsid w:val="003F1307"/>
    <w:rsid w:val="003F24F5"/>
    <w:rsid w:val="003F3108"/>
    <w:rsid w:val="003F38DA"/>
    <w:rsid w:val="003F4DC5"/>
    <w:rsid w:val="00400A62"/>
    <w:rsid w:val="00400DF6"/>
    <w:rsid w:val="004015D8"/>
    <w:rsid w:val="00402B2A"/>
    <w:rsid w:val="00403184"/>
    <w:rsid w:val="00404166"/>
    <w:rsid w:val="004066F4"/>
    <w:rsid w:val="00410B48"/>
    <w:rsid w:val="00410EF9"/>
    <w:rsid w:val="004156C5"/>
    <w:rsid w:val="0042273E"/>
    <w:rsid w:val="004228A4"/>
    <w:rsid w:val="00422E6A"/>
    <w:rsid w:val="00423A1D"/>
    <w:rsid w:val="00423E8C"/>
    <w:rsid w:val="00424C13"/>
    <w:rsid w:val="00425E64"/>
    <w:rsid w:val="00426D9B"/>
    <w:rsid w:val="004271F6"/>
    <w:rsid w:val="00430777"/>
    <w:rsid w:val="004312C4"/>
    <w:rsid w:val="00431530"/>
    <w:rsid w:val="00432956"/>
    <w:rsid w:val="0043634D"/>
    <w:rsid w:val="0043769D"/>
    <w:rsid w:val="00442016"/>
    <w:rsid w:val="00442227"/>
    <w:rsid w:val="0044285E"/>
    <w:rsid w:val="004428E5"/>
    <w:rsid w:val="00442E72"/>
    <w:rsid w:val="00443602"/>
    <w:rsid w:val="00447912"/>
    <w:rsid w:val="00450054"/>
    <w:rsid w:val="004516EE"/>
    <w:rsid w:val="00451FAE"/>
    <w:rsid w:val="00453DF8"/>
    <w:rsid w:val="00454AF7"/>
    <w:rsid w:val="0045502E"/>
    <w:rsid w:val="00456944"/>
    <w:rsid w:val="00456CEF"/>
    <w:rsid w:val="00456ECD"/>
    <w:rsid w:val="00457ACD"/>
    <w:rsid w:val="004603A5"/>
    <w:rsid w:val="00460BA3"/>
    <w:rsid w:val="00462F62"/>
    <w:rsid w:val="00463C46"/>
    <w:rsid w:val="0046684B"/>
    <w:rsid w:val="0046786E"/>
    <w:rsid w:val="00472053"/>
    <w:rsid w:val="00472A79"/>
    <w:rsid w:val="00472E68"/>
    <w:rsid w:val="00473343"/>
    <w:rsid w:val="004741FE"/>
    <w:rsid w:val="00475221"/>
    <w:rsid w:val="0047638A"/>
    <w:rsid w:val="00476CEE"/>
    <w:rsid w:val="00482859"/>
    <w:rsid w:val="0048327C"/>
    <w:rsid w:val="00483414"/>
    <w:rsid w:val="00485CEA"/>
    <w:rsid w:val="00485D20"/>
    <w:rsid w:val="00486584"/>
    <w:rsid w:val="00487C3C"/>
    <w:rsid w:val="0049304E"/>
    <w:rsid w:val="00494656"/>
    <w:rsid w:val="004949AE"/>
    <w:rsid w:val="00496C50"/>
    <w:rsid w:val="0049748F"/>
    <w:rsid w:val="004A0EE6"/>
    <w:rsid w:val="004A7111"/>
    <w:rsid w:val="004A7701"/>
    <w:rsid w:val="004A7763"/>
    <w:rsid w:val="004A7A14"/>
    <w:rsid w:val="004B2DF0"/>
    <w:rsid w:val="004B4ACF"/>
    <w:rsid w:val="004B54D4"/>
    <w:rsid w:val="004B7E78"/>
    <w:rsid w:val="004C31E9"/>
    <w:rsid w:val="004C69CE"/>
    <w:rsid w:val="004D0DD4"/>
    <w:rsid w:val="004D1C19"/>
    <w:rsid w:val="004D391A"/>
    <w:rsid w:val="004D40A8"/>
    <w:rsid w:val="004D4616"/>
    <w:rsid w:val="004D74F1"/>
    <w:rsid w:val="004D77BC"/>
    <w:rsid w:val="004D7CE5"/>
    <w:rsid w:val="004E077A"/>
    <w:rsid w:val="004E2BBE"/>
    <w:rsid w:val="004E5821"/>
    <w:rsid w:val="004E5970"/>
    <w:rsid w:val="004E5DED"/>
    <w:rsid w:val="004E640E"/>
    <w:rsid w:val="004E66A0"/>
    <w:rsid w:val="004E7E3C"/>
    <w:rsid w:val="004F1EC1"/>
    <w:rsid w:val="004F20C8"/>
    <w:rsid w:val="004F2CD6"/>
    <w:rsid w:val="004F51C5"/>
    <w:rsid w:val="004F5206"/>
    <w:rsid w:val="004F5443"/>
    <w:rsid w:val="004F60E8"/>
    <w:rsid w:val="004F6113"/>
    <w:rsid w:val="004F6F35"/>
    <w:rsid w:val="004F6FC1"/>
    <w:rsid w:val="004F72CF"/>
    <w:rsid w:val="004F7CBD"/>
    <w:rsid w:val="005028D8"/>
    <w:rsid w:val="005041C0"/>
    <w:rsid w:val="0050485C"/>
    <w:rsid w:val="00505E19"/>
    <w:rsid w:val="00506CC7"/>
    <w:rsid w:val="005074DF"/>
    <w:rsid w:val="00511DE5"/>
    <w:rsid w:val="00512AB3"/>
    <w:rsid w:val="00513A6E"/>
    <w:rsid w:val="00513A90"/>
    <w:rsid w:val="0051529A"/>
    <w:rsid w:val="0051587C"/>
    <w:rsid w:val="00516392"/>
    <w:rsid w:val="0051712B"/>
    <w:rsid w:val="005219E5"/>
    <w:rsid w:val="0052218B"/>
    <w:rsid w:val="00523A68"/>
    <w:rsid w:val="00525606"/>
    <w:rsid w:val="00526CBE"/>
    <w:rsid w:val="00526D3A"/>
    <w:rsid w:val="00530046"/>
    <w:rsid w:val="00531332"/>
    <w:rsid w:val="0053364B"/>
    <w:rsid w:val="00536220"/>
    <w:rsid w:val="005364F5"/>
    <w:rsid w:val="00536B8D"/>
    <w:rsid w:val="00541812"/>
    <w:rsid w:val="00544830"/>
    <w:rsid w:val="00546224"/>
    <w:rsid w:val="00547163"/>
    <w:rsid w:val="00550A15"/>
    <w:rsid w:val="00550F76"/>
    <w:rsid w:val="00554228"/>
    <w:rsid w:val="0055451C"/>
    <w:rsid w:val="005612F9"/>
    <w:rsid w:val="0056141F"/>
    <w:rsid w:val="00562554"/>
    <w:rsid w:val="005640D3"/>
    <w:rsid w:val="00565E9A"/>
    <w:rsid w:val="00565F08"/>
    <w:rsid w:val="005660A1"/>
    <w:rsid w:val="005671ED"/>
    <w:rsid w:val="00567D1B"/>
    <w:rsid w:val="00567D5F"/>
    <w:rsid w:val="00573556"/>
    <w:rsid w:val="00574B24"/>
    <w:rsid w:val="0057554B"/>
    <w:rsid w:val="005755F8"/>
    <w:rsid w:val="00575B98"/>
    <w:rsid w:val="005767DE"/>
    <w:rsid w:val="00576EA0"/>
    <w:rsid w:val="00580FC9"/>
    <w:rsid w:val="0058109C"/>
    <w:rsid w:val="00583A41"/>
    <w:rsid w:val="00583EA8"/>
    <w:rsid w:val="005846A2"/>
    <w:rsid w:val="00584AF5"/>
    <w:rsid w:val="00585614"/>
    <w:rsid w:val="00585D24"/>
    <w:rsid w:val="00590DE7"/>
    <w:rsid w:val="00594757"/>
    <w:rsid w:val="0059697D"/>
    <w:rsid w:val="005A263A"/>
    <w:rsid w:val="005A4BE7"/>
    <w:rsid w:val="005A6118"/>
    <w:rsid w:val="005A6D3D"/>
    <w:rsid w:val="005A7841"/>
    <w:rsid w:val="005A7DCE"/>
    <w:rsid w:val="005B0F83"/>
    <w:rsid w:val="005B176F"/>
    <w:rsid w:val="005B187F"/>
    <w:rsid w:val="005B3404"/>
    <w:rsid w:val="005B4BD9"/>
    <w:rsid w:val="005B6CDF"/>
    <w:rsid w:val="005C2D8B"/>
    <w:rsid w:val="005C3F4D"/>
    <w:rsid w:val="005C517A"/>
    <w:rsid w:val="005C5536"/>
    <w:rsid w:val="005C6468"/>
    <w:rsid w:val="005C7A43"/>
    <w:rsid w:val="005C7DB7"/>
    <w:rsid w:val="005D036C"/>
    <w:rsid w:val="005D347B"/>
    <w:rsid w:val="005D44DC"/>
    <w:rsid w:val="005D6383"/>
    <w:rsid w:val="005D6BEB"/>
    <w:rsid w:val="005D7129"/>
    <w:rsid w:val="005D7D62"/>
    <w:rsid w:val="005E1830"/>
    <w:rsid w:val="005E4A8E"/>
    <w:rsid w:val="005E6A85"/>
    <w:rsid w:val="005E7197"/>
    <w:rsid w:val="005F0F3C"/>
    <w:rsid w:val="005F104F"/>
    <w:rsid w:val="005F201E"/>
    <w:rsid w:val="005F49A7"/>
    <w:rsid w:val="005F50D5"/>
    <w:rsid w:val="005F6344"/>
    <w:rsid w:val="005F6B3D"/>
    <w:rsid w:val="005F7B3D"/>
    <w:rsid w:val="005F7E59"/>
    <w:rsid w:val="005F7F4E"/>
    <w:rsid w:val="0060122B"/>
    <w:rsid w:val="006013B3"/>
    <w:rsid w:val="006069A0"/>
    <w:rsid w:val="00606DF6"/>
    <w:rsid w:val="00607158"/>
    <w:rsid w:val="00607793"/>
    <w:rsid w:val="00607C30"/>
    <w:rsid w:val="006100B5"/>
    <w:rsid w:val="006108BA"/>
    <w:rsid w:val="0061130C"/>
    <w:rsid w:val="00612DA3"/>
    <w:rsid w:val="00613619"/>
    <w:rsid w:val="0061399A"/>
    <w:rsid w:val="00613C21"/>
    <w:rsid w:val="00614B95"/>
    <w:rsid w:val="00615A9D"/>
    <w:rsid w:val="006163BE"/>
    <w:rsid w:val="00616829"/>
    <w:rsid w:val="00616FAC"/>
    <w:rsid w:val="006171B6"/>
    <w:rsid w:val="00617D95"/>
    <w:rsid w:val="00620AEF"/>
    <w:rsid w:val="00625EDA"/>
    <w:rsid w:val="00626C46"/>
    <w:rsid w:val="006272A2"/>
    <w:rsid w:val="00627AB9"/>
    <w:rsid w:val="00627E12"/>
    <w:rsid w:val="00632509"/>
    <w:rsid w:val="00633234"/>
    <w:rsid w:val="00633ABF"/>
    <w:rsid w:val="00633CBB"/>
    <w:rsid w:val="00636715"/>
    <w:rsid w:val="006370AD"/>
    <w:rsid w:val="006408BF"/>
    <w:rsid w:val="00640DAE"/>
    <w:rsid w:val="006414AF"/>
    <w:rsid w:val="00641EE5"/>
    <w:rsid w:val="0064304D"/>
    <w:rsid w:val="00645ED4"/>
    <w:rsid w:val="00653BE4"/>
    <w:rsid w:val="00654308"/>
    <w:rsid w:val="00654563"/>
    <w:rsid w:val="00656BE5"/>
    <w:rsid w:val="006602B2"/>
    <w:rsid w:val="0066053A"/>
    <w:rsid w:val="00660BC3"/>
    <w:rsid w:val="00662F4A"/>
    <w:rsid w:val="006644E0"/>
    <w:rsid w:val="006671AA"/>
    <w:rsid w:val="006678A6"/>
    <w:rsid w:val="0067318A"/>
    <w:rsid w:val="006731BD"/>
    <w:rsid w:val="0067537C"/>
    <w:rsid w:val="00676590"/>
    <w:rsid w:val="00680B13"/>
    <w:rsid w:val="00680C9F"/>
    <w:rsid w:val="00681B2B"/>
    <w:rsid w:val="00681E72"/>
    <w:rsid w:val="006820AB"/>
    <w:rsid w:val="00683A33"/>
    <w:rsid w:val="00684641"/>
    <w:rsid w:val="00684944"/>
    <w:rsid w:val="006857E3"/>
    <w:rsid w:val="0068595D"/>
    <w:rsid w:val="00685DA4"/>
    <w:rsid w:val="00686362"/>
    <w:rsid w:val="00686F7F"/>
    <w:rsid w:val="0068712C"/>
    <w:rsid w:val="0068780A"/>
    <w:rsid w:val="0068798E"/>
    <w:rsid w:val="006904FF"/>
    <w:rsid w:val="0069157C"/>
    <w:rsid w:val="00691FC3"/>
    <w:rsid w:val="0069244F"/>
    <w:rsid w:val="0069395D"/>
    <w:rsid w:val="00696DF7"/>
    <w:rsid w:val="00697636"/>
    <w:rsid w:val="006A18B4"/>
    <w:rsid w:val="006A3EA9"/>
    <w:rsid w:val="006A5C89"/>
    <w:rsid w:val="006B0460"/>
    <w:rsid w:val="006B1CF5"/>
    <w:rsid w:val="006B1FD0"/>
    <w:rsid w:val="006B2918"/>
    <w:rsid w:val="006B2AEF"/>
    <w:rsid w:val="006B6650"/>
    <w:rsid w:val="006B665D"/>
    <w:rsid w:val="006B7D68"/>
    <w:rsid w:val="006C3661"/>
    <w:rsid w:val="006C48AC"/>
    <w:rsid w:val="006C48BF"/>
    <w:rsid w:val="006C48F7"/>
    <w:rsid w:val="006C5CFA"/>
    <w:rsid w:val="006C7F55"/>
    <w:rsid w:val="006D0953"/>
    <w:rsid w:val="006D12B8"/>
    <w:rsid w:val="006D1A0E"/>
    <w:rsid w:val="006D3727"/>
    <w:rsid w:val="006D400E"/>
    <w:rsid w:val="006D62F5"/>
    <w:rsid w:val="006D6368"/>
    <w:rsid w:val="006E02D0"/>
    <w:rsid w:val="006E19E0"/>
    <w:rsid w:val="006E28E5"/>
    <w:rsid w:val="006E32B3"/>
    <w:rsid w:val="006E58D9"/>
    <w:rsid w:val="006E7244"/>
    <w:rsid w:val="006E7905"/>
    <w:rsid w:val="006E7FBA"/>
    <w:rsid w:val="006F0EE9"/>
    <w:rsid w:val="006F1B96"/>
    <w:rsid w:val="006F2977"/>
    <w:rsid w:val="006F2B30"/>
    <w:rsid w:val="006F382D"/>
    <w:rsid w:val="006F391D"/>
    <w:rsid w:val="006F39F0"/>
    <w:rsid w:val="006F7BC3"/>
    <w:rsid w:val="00702303"/>
    <w:rsid w:val="00703198"/>
    <w:rsid w:val="007054FC"/>
    <w:rsid w:val="00705CB5"/>
    <w:rsid w:val="00705DF6"/>
    <w:rsid w:val="007060E0"/>
    <w:rsid w:val="007062A3"/>
    <w:rsid w:val="007066E4"/>
    <w:rsid w:val="0070739B"/>
    <w:rsid w:val="00707AC7"/>
    <w:rsid w:val="00710569"/>
    <w:rsid w:val="0071068A"/>
    <w:rsid w:val="00712209"/>
    <w:rsid w:val="007135F3"/>
    <w:rsid w:val="007141D1"/>
    <w:rsid w:val="007166E5"/>
    <w:rsid w:val="00716764"/>
    <w:rsid w:val="007168B9"/>
    <w:rsid w:val="007169F0"/>
    <w:rsid w:val="0071707A"/>
    <w:rsid w:val="0071790F"/>
    <w:rsid w:val="00717C1A"/>
    <w:rsid w:val="00721051"/>
    <w:rsid w:val="00721E78"/>
    <w:rsid w:val="0072382C"/>
    <w:rsid w:val="007241F6"/>
    <w:rsid w:val="00725C3E"/>
    <w:rsid w:val="007277ED"/>
    <w:rsid w:val="00727CD8"/>
    <w:rsid w:val="00733F56"/>
    <w:rsid w:val="0073458C"/>
    <w:rsid w:val="00737840"/>
    <w:rsid w:val="00737B78"/>
    <w:rsid w:val="0074085C"/>
    <w:rsid w:val="00742632"/>
    <w:rsid w:val="00743FF6"/>
    <w:rsid w:val="00746438"/>
    <w:rsid w:val="007468A8"/>
    <w:rsid w:val="0074758D"/>
    <w:rsid w:val="00751993"/>
    <w:rsid w:val="00751FAB"/>
    <w:rsid w:val="00753B7C"/>
    <w:rsid w:val="00754806"/>
    <w:rsid w:val="00756490"/>
    <w:rsid w:val="007574EA"/>
    <w:rsid w:val="007603A7"/>
    <w:rsid w:val="00760E2B"/>
    <w:rsid w:val="00762CBA"/>
    <w:rsid w:val="00763A13"/>
    <w:rsid w:val="007652DE"/>
    <w:rsid w:val="0076535A"/>
    <w:rsid w:val="00767302"/>
    <w:rsid w:val="0076753C"/>
    <w:rsid w:val="00767C84"/>
    <w:rsid w:val="00770F26"/>
    <w:rsid w:val="007725C4"/>
    <w:rsid w:val="00773783"/>
    <w:rsid w:val="00774B2A"/>
    <w:rsid w:val="0077506C"/>
    <w:rsid w:val="00775A07"/>
    <w:rsid w:val="00776512"/>
    <w:rsid w:val="007775DF"/>
    <w:rsid w:val="007834B3"/>
    <w:rsid w:val="0078590C"/>
    <w:rsid w:val="00787515"/>
    <w:rsid w:val="00787DFC"/>
    <w:rsid w:val="007906CF"/>
    <w:rsid w:val="00790DD0"/>
    <w:rsid w:val="00791588"/>
    <w:rsid w:val="00791896"/>
    <w:rsid w:val="0079286A"/>
    <w:rsid w:val="00795FB5"/>
    <w:rsid w:val="00796824"/>
    <w:rsid w:val="007A173F"/>
    <w:rsid w:val="007A2185"/>
    <w:rsid w:val="007A24BF"/>
    <w:rsid w:val="007A2ECE"/>
    <w:rsid w:val="007A2F7E"/>
    <w:rsid w:val="007A3BCA"/>
    <w:rsid w:val="007A41FB"/>
    <w:rsid w:val="007A4717"/>
    <w:rsid w:val="007A4D2B"/>
    <w:rsid w:val="007A4EE2"/>
    <w:rsid w:val="007A7668"/>
    <w:rsid w:val="007B1728"/>
    <w:rsid w:val="007B1912"/>
    <w:rsid w:val="007B222C"/>
    <w:rsid w:val="007B38D5"/>
    <w:rsid w:val="007B3FE9"/>
    <w:rsid w:val="007B49A4"/>
    <w:rsid w:val="007B7522"/>
    <w:rsid w:val="007B7CD0"/>
    <w:rsid w:val="007C05CC"/>
    <w:rsid w:val="007C22A2"/>
    <w:rsid w:val="007C27B2"/>
    <w:rsid w:val="007C2CDA"/>
    <w:rsid w:val="007C2EEA"/>
    <w:rsid w:val="007C5531"/>
    <w:rsid w:val="007C7A45"/>
    <w:rsid w:val="007C7AA9"/>
    <w:rsid w:val="007D067B"/>
    <w:rsid w:val="007D0F1C"/>
    <w:rsid w:val="007D1033"/>
    <w:rsid w:val="007D12D3"/>
    <w:rsid w:val="007D201B"/>
    <w:rsid w:val="007D411C"/>
    <w:rsid w:val="007D6AF1"/>
    <w:rsid w:val="007E0BC0"/>
    <w:rsid w:val="007E25C2"/>
    <w:rsid w:val="007E304C"/>
    <w:rsid w:val="007E371B"/>
    <w:rsid w:val="007E4D2E"/>
    <w:rsid w:val="007E624D"/>
    <w:rsid w:val="007E7504"/>
    <w:rsid w:val="007F0393"/>
    <w:rsid w:val="007F1065"/>
    <w:rsid w:val="007F1696"/>
    <w:rsid w:val="007F36A4"/>
    <w:rsid w:val="007F5A73"/>
    <w:rsid w:val="007F6774"/>
    <w:rsid w:val="007F6D97"/>
    <w:rsid w:val="007F7463"/>
    <w:rsid w:val="007F7762"/>
    <w:rsid w:val="00801AA7"/>
    <w:rsid w:val="008023B4"/>
    <w:rsid w:val="00806367"/>
    <w:rsid w:val="00806740"/>
    <w:rsid w:val="0081067F"/>
    <w:rsid w:val="008130CC"/>
    <w:rsid w:val="008139E9"/>
    <w:rsid w:val="008154A0"/>
    <w:rsid w:val="00820D43"/>
    <w:rsid w:val="00820FA4"/>
    <w:rsid w:val="00822249"/>
    <w:rsid w:val="0082273F"/>
    <w:rsid w:val="008239D0"/>
    <w:rsid w:val="00823C81"/>
    <w:rsid w:val="00823CA2"/>
    <w:rsid w:val="0082412F"/>
    <w:rsid w:val="00830EC4"/>
    <w:rsid w:val="00832F3F"/>
    <w:rsid w:val="00833800"/>
    <w:rsid w:val="0084052F"/>
    <w:rsid w:val="00841E6B"/>
    <w:rsid w:val="0084356E"/>
    <w:rsid w:val="008438C4"/>
    <w:rsid w:val="00847F67"/>
    <w:rsid w:val="00852180"/>
    <w:rsid w:val="008549C2"/>
    <w:rsid w:val="00856260"/>
    <w:rsid w:val="00860ABF"/>
    <w:rsid w:val="008615DF"/>
    <w:rsid w:val="00862A64"/>
    <w:rsid w:val="00862B15"/>
    <w:rsid w:val="00863A5F"/>
    <w:rsid w:val="00863F8D"/>
    <w:rsid w:val="0086524A"/>
    <w:rsid w:val="00866B39"/>
    <w:rsid w:val="00866C80"/>
    <w:rsid w:val="00866F9A"/>
    <w:rsid w:val="008704FA"/>
    <w:rsid w:val="0087251C"/>
    <w:rsid w:val="00873FBA"/>
    <w:rsid w:val="008758F9"/>
    <w:rsid w:val="00876257"/>
    <w:rsid w:val="0087733B"/>
    <w:rsid w:val="00877777"/>
    <w:rsid w:val="008778E9"/>
    <w:rsid w:val="00880A19"/>
    <w:rsid w:val="00881D5D"/>
    <w:rsid w:val="008846DC"/>
    <w:rsid w:val="00886897"/>
    <w:rsid w:val="00886F05"/>
    <w:rsid w:val="00890E08"/>
    <w:rsid w:val="00891204"/>
    <w:rsid w:val="0089226F"/>
    <w:rsid w:val="00893D06"/>
    <w:rsid w:val="00895879"/>
    <w:rsid w:val="00895E48"/>
    <w:rsid w:val="0089730C"/>
    <w:rsid w:val="008A1037"/>
    <w:rsid w:val="008A1D01"/>
    <w:rsid w:val="008A3A2D"/>
    <w:rsid w:val="008A511D"/>
    <w:rsid w:val="008A54CE"/>
    <w:rsid w:val="008A5792"/>
    <w:rsid w:val="008A5A8A"/>
    <w:rsid w:val="008A7AC0"/>
    <w:rsid w:val="008A7B69"/>
    <w:rsid w:val="008A7D58"/>
    <w:rsid w:val="008B0537"/>
    <w:rsid w:val="008B1B45"/>
    <w:rsid w:val="008B1E4D"/>
    <w:rsid w:val="008B35D8"/>
    <w:rsid w:val="008B4BF0"/>
    <w:rsid w:val="008B583E"/>
    <w:rsid w:val="008C04D7"/>
    <w:rsid w:val="008C1523"/>
    <w:rsid w:val="008C31FD"/>
    <w:rsid w:val="008C33D6"/>
    <w:rsid w:val="008C4803"/>
    <w:rsid w:val="008C5425"/>
    <w:rsid w:val="008C66B3"/>
    <w:rsid w:val="008C7811"/>
    <w:rsid w:val="008D0309"/>
    <w:rsid w:val="008D2FB5"/>
    <w:rsid w:val="008E18CC"/>
    <w:rsid w:val="008E1BE9"/>
    <w:rsid w:val="008E233E"/>
    <w:rsid w:val="008E2924"/>
    <w:rsid w:val="008E342E"/>
    <w:rsid w:val="008E3E46"/>
    <w:rsid w:val="008E442B"/>
    <w:rsid w:val="008E5013"/>
    <w:rsid w:val="008E5FA6"/>
    <w:rsid w:val="008F050A"/>
    <w:rsid w:val="008F10AA"/>
    <w:rsid w:val="008F2506"/>
    <w:rsid w:val="008F25C9"/>
    <w:rsid w:val="008F3534"/>
    <w:rsid w:val="008F3A66"/>
    <w:rsid w:val="008F5FA0"/>
    <w:rsid w:val="00900862"/>
    <w:rsid w:val="00900C9D"/>
    <w:rsid w:val="00901AE1"/>
    <w:rsid w:val="0090304A"/>
    <w:rsid w:val="009042FF"/>
    <w:rsid w:val="00906649"/>
    <w:rsid w:val="0090690F"/>
    <w:rsid w:val="00906E48"/>
    <w:rsid w:val="00907A73"/>
    <w:rsid w:val="00912BEF"/>
    <w:rsid w:val="00913A89"/>
    <w:rsid w:val="0091447B"/>
    <w:rsid w:val="00916B18"/>
    <w:rsid w:val="00916C60"/>
    <w:rsid w:val="00921ED6"/>
    <w:rsid w:val="0092271C"/>
    <w:rsid w:val="0092277E"/>
    <w:rsid w:val="00922B9E"/>
    <w:rsid w:val="00922D99"/>
    <w:rsid w:val="009232DF"/>
    <w:rsid w:val="00923701"/>
    <w:rsid w:val="00923ADE"/>
    <w:rsid w:val="00925AB2"/>
    <w:rsid w:val="009261AE"/>
    <w:rsid w:val="00926ABA"/>
    <w:rsid w:val="009278D0"/>
    <w:rsid w:val="00927BB6"/>
    <w:rsid w:val="00934B0F"/>
    <w:rsid w:val="00935DCC"/>
    <w:rsid w:val="00936D31"/>
    <w:rsid w:val="00942314"/>
    <w:rsid w:val="009429FF"/>
    <w:rsid w:val="00955DC3"/>
    <w:rsid w:val="00962A30"/>
    <w:rsid w:val="00963BAA"/>
    <w:rsid w:val="00963BC7"/>
    <w:rsid w:val="00965044"/>
    <w:rsid w:val="00966272"/>
    <w:rsid w:val="0097226E"/>
    <w:rsid w:val="0097467D"/>
    <w:rsid w:val="009758FF"/>
    <w:rsid w:val="00975B2E"/>
    <w:rsid w:val="009775A0"/>
    <w:rsid w:val="00977F81"/>
    <w:rsid w:val="0098186D"/>
    <w:rsid w:val="009840BD"/>
    <w:rsid w:val="009840DF"/>
    <w:rsid w:val="009852D8"/>
    <w:rsid w:val="00985A45"/>
    <w:rsid w:val="009860A1"/>
    <w:rsid w:val="00987862"/>
    <w:rsid w:val="00987F8E"/>
    <w:rsid w:val="00990184"/>
    <w:rsid w:val="00990580"/>
    <w:rsid w:val="00992CB5"/>
    <w:rsid w:val="00995C8C"/>
    <w:rsid w:val="00995DD2"/>
    <w:rsid w:val="009969C8"/>
    <w:rsid w:val="00996B71"/>
    <w:rsid w:val="00997768"/>
    <w:rsid w:val="00997986"/>
    <w:rsid w:val="009A07D2"/>
    <w:rsid w:val="009A08B7"/>
    <w:rsid w:val="009A1728"/>
    <w:rsid w:val="009A2974"/>
    <w:rsid w:val="009A4A3C"/>
    <w:rsid w:val="009A5255"/>
    <w:rsid w:val="009A7F18"/>
    <w:rsid w:val="009B3D9F"/>
    <w:rsid w:val="009B4D8B"/>
    <w:rsid w:val="009B564B"/>
    <w:rsid w:val="009B5AEF"/>
    <w:rsid w:val="009B61A7"/>
    <w:rsid w:val="009C0778"/>
    <w:rsid w:val="009C082B"/>
    <w:rsid w:val="009C23C7"/>
    <w:rsid w:val="009C2439"/>
    <w:rsid w:val="009C4264"/>
    <w:rsid w:val="009C5045"/>
    <w:rsid w:val="009D0067"/>
    <w:rsid w:val="009D0728"/>
    <w:rsid w:val="009D0CF4"/>
    <w:rsid w:val="009D2265"/>
    <w:rsid w:val="009D3DA8"/>
    <w:rsid w:val="009D48FA"/>
    <w:rsid w:val="009D6184"/>
    <w:rsid w:val="009D6CEC"/>
    <w:rsid w:val="009D76BF"/>
    <w:rsid w:val="009E334C"/>
    <w:rsid w:val="009E3CF9"/>
    <w:rsid w:val="009E4D1B"/>
    <w:rsid w:val="009E4DE8"/>
    <w:rsid w:val="009E4DE9"/>
    <w:rsid w:val="009E75C7"/>
    <w:rsid w:val="009F2295"/>
    <w:rsid w:val="009F3947"/>
    <w:rsid w:val="009F4211"/>
    <w:rsid w:val="009F435B"/>
    <w:rsid w:val="009F4680"/>
    <w:rsid w:val="009F4A21"/>
    <w:rsid w:val="009F786C"/>
    <w:rsid w:val="009F78A8"/>
    <w:rsid w:val="009F7EAF"/>
    <w:rsid w:val="00A02EF6"/>
    <w:rsid w:val="00A0463C"/>
    <w:rsid w:val="00A0513E"/>
    <w:rsid w:val="00A057DE"/>
    <w:rsid w:val="00A06AA8"/>
    <w:rsid w:val="00A06E42"/>
    <w:rsid w:val="00A10BB7"/>
    <w:rsid w:val="00A1204E"/>
    <w:rsid w:val="00A132D7"/>
    <w:rsid w:val="00A13E7F"/>
    <w:rsid w:val="00A14579"/>
    <w:rsid w:val="00A16359"/>
    <w:rsid w:val="00A1722D"/>
    <w:rsid w:val="00A2014A"/>
    <w:rsid w:val="00A20789"/>
    <w:rsid w:val="00A2124B"/>
    <w:rsid w:val="00A22BEC"/>
    <w:rsid w:val="00A22E44"/>
    <w:rsid w:val="00A234CE"/>
    <w:rsid w:val="00A24369"/>
    <w:rsid w:val="00A25D79"/>
    <w:rsid w:val="00A2613F"/>
    <w:rsid w:val="00A276FB"/>
    <w:rsid w:val="00A27B9C"/>
    <w:rsid w:val="00A305A8"/>
    <w:rsid w:val="00A321E4"/>
    <w:rsid w:val="00A329C4"/>
    <w:rsid w:val="00A3331B"/>
    <w:rsid w:val="00A35391"/>
    <w:rsid w:val="00A3720E"/>
    <w:rsid w:val="00A40C09"/>
    <w:rsid w:val="00A42C5B"/>
    <w:rsid w:val="00A4388C"/>
    <w:rsid w:val="00A4424A"/>
    <w:rsid w:val="00A44877"/>
    <w:rsid w:val="00A45501"/>
    <w:rsid w:val="00A458E7"/>
    <w:rsid w:val="00A459F3"/>
    <w:rsid w:val="00A52719"/>
    <w:rsid w:val="00A544B6"/>
    <w:rsid w:val="00A5453A"/>
    <w:rsid w:val="00A56B91"/>
    <w:rsid w:val="00A577E8"/>
    <w:rsid w:val="00A61313"/>
    <w:rsid w:val="00A61DC6"/>
    <w:rsid w:val="00A62634"/>
    <w:rsid w:val="00A626C3"/>
    <w:rsid w:val="00A62BB7"/>
    <w:rsid w:val="00A639AE"/>
    <w:rsid w:val="00A6449E"/>
    <w:rsid w:val="00A66B1C"/>
    <w:rsid w:val="00A67103"/>
    <w:rsid w:val="00A67C47"/>
    <w:rsid w:val="00A702E8"/>
    <w:rsid w:val="00A70A4B"/>
    <w:rsid w:val="00A71AC3"/>
    <w:rsid w:val="00A72D23"/>
    <w:rsid w:val="00A73431"/>
    <w:rsid w:val="00A73DD9"/>
    <w:rsid w:val="00A7434D"/>
    <w:rsid w:val="00A749A2"/>
    <w:rsid w:val="00A756F6"/>
    <w:rsid w:val="00A767B0"/>
    <w:rsid w:val="00A76A3A"/>
    <w:rsid w:val="00A7783E"/>
    <w:rsid w:val="00A81610"/>
    <w:rsid w:val="00A81FE0"/>
    <w:rsid w:val="00A82B03"/>
    <w:rsid w:val="00A83F4F"/>
    <w:rsid w:val="00A84346"/>
    <w:rsid w:val="00A84FC3"/>
    <w:rsid w:val="00A95C54"/>
    <w:rsid w:val="00A974E7"/>
    <w:rsid w:val="00AA093F"/>
    <w:rsid w:val="00AA1D46"/>
    <w:rsid w:val="00AA1DFC"/>
    <w:rsid w:val="00AA33E0"/>
    <w:rsid w:val="00AA3806"/>
    <w:rsid w:val="00AA4887"/>
    <w:rsid w:val="00AA4E54"/>
    <w:rsid w:val="00AA7DBF"/>
    <w:rsid w:val="00AB1B06"/>
    <w:rsid w:val="00AB1D56"/>
    <w:rsid w:val="00AB31BC"/>
    <w:rsid w:val="00AB5B9F"/>
    <w:rsid w:val="00AB62AD"/>
    <w:rsid w:val="00AB6566"/>
    <w:rsid w:val="00AB7512"/>
    <w:rsid w:val="00AB764E"/>
    <w:rsid w:val="00AC17C0"/>
    <w:rsid w:val="00AC3006"/>
    <w:rsid w:val="00AC37CE"/>
    <w:rsid w:val="00AC6948"/>
    <w:rsid w:val="00AD4B1E"/>
    <w:rsid w:val="00AD6064"/>
    <w:rsid w:val="00AD7E9E"/>
    <w:rsid w:val="00AE17DB"/>
    <w:rsid w:val="00AE1AF8"/>
    <w:rsid w:val="00AE1D29"/>
    <w:rsid w:val="00AE2A9D"/>
    <w:rsid w:val="00AE3042"/>
    <w:rsid w:val="00AE398F"/>
    <w:rsid w:val="00AE41F4"/>
    <w:rsid w:val="00AE44D5"/>
    <w:rsid w:val="00AE46AC"/>
    <w:rsid w:val="00AE475D"/>
    <w:rsid w:val="00AE4B98"/>
    <w:rsid w:val="00AE5742"/>
    <w:rsid w:val="00AE69DD"/>
    <w:rsid w:val="00AE77AD"/>
    <w:rsid w:val="00AE77B3"/>
    <w:rsid w:val="00AF00D5"/>
    <w:rsid w:val="00AF17D7"/>
    <w:rsid w:val="00AF1949"/>
    <w:rsid w:val="00AF315D"/>
    <w:rsid w:val="00AF373A"/>
    <w:rsid w:val="00AF4319"/>
    <w:rsid w:val="00AF591E"/>
    <w:rsid w:val="00AF757D"/>
    <w:rsid w:val="00B00227"/>
    <w:rsid w:val="00B00AE8"/>
    <w:rsid w:val="00B019AE"/>
    <w:rsid w:val="00B020B3"/>
    <w:rsid w:val="00B02D5E"/>
    <w:rsid w:val="00B0380E"/>
    <w:rsid w:val="00B05531"/>
    <w:rsid w:val="00B0788D"/>
    <w:rsid w:val="00B07CE7"/>
    <w:rsid w:val="00B13324"/>
    <w:rsid w:val="00B14A6E"/>
    <w:rsid w:val="00B15D36"/>
    <w:rsid w:val="00B212D0"/>
    <w:rsid w:val="00B21EA6"/>
    <w:rsid w:val="00B22AEB"/>
    <w:rsid w:val="00B2535C"/>
    <w:rsid w:val="00B25AA1"/>
    <w:rsid w:val="00B26B70"/>
    <w:rsid w:val="00B31149"/>
    <w:rsid w:val="00B32C24"/>
    <w:rsid w:val="00B340C1"/>
    <w:rsid w:val="00B36984"/>
    <w:rsid w:val="00B36B45"/>
    <w:rsid w:val="00B37F69"/>
    <w:rsid w:val="00B40F85"/>
    <w:rsid w:val="00B41477"/>
    <w:rsid w:val="00B417AB"/>
    <w:rsid w:val="00B4318C"/>
    <w:rsid w:val="00B439EE"/>
    <w:rsid w:val="00B508FE"/>
    <w:rsid w:val="00B52AD1"/>
    <w:rsid w:val="00B52BDD"/>
    <w:rsid w:val="00B5650C"/>
    <w:rsid w:val="00B567B3"/>
    <w:rsid w:val="00B57241"/>
    <w:rsid w:val="00B615F8"/>
    <w:rsid w:val="00B629C3"/>
    <w:rsid w:val="00B62BA3"/>
    <w:rsid w:val="00B62E7B"/>
    <w:rsid w:val="00B63C4C"/>
    <w:rsid w:val="00B6466C"/>
    <w:rsid w:val="00B66244"/>
    <w:rsid w:val="00B66A1B"/>
    <w:rsid w:val="00B67C21"/>
    <w:rsid w:val="00B67C9C"/>
    <w:rsid w:val="00B7096F"/>
    <w:rsid w:val="00B71ED2"/>
    <w:rsid w:val="00B732A4"/>
    <w:rsid w:val="00B74FCC"/>
    <w:rsid w:val="00B8118F"/>
    <w:rsid w:val="00B820F9"/>
    <w:rsid w:val="00B82517"/>
    <w:rsid w:val="00B826AC"/>
    <w:rsid w:val="00B902F9"/>
    <w:rsid w:val="00B908F9"/>
    <w:rsid w:val="00B90B18"/>
    <w:rsid w:val="00B91797"/>
    <w:rsid w:val="00BA02F4"/>
    <w:rsid w:val="00BA20CF"/>
    <w:rsid w:val="00BA3EE4"/>
    <w:rsid w:val="00BA416C"/>
    <w:rsid w:val="00BA477F"/>
    <w:rsid w:val="00BA6279"/>
    <w:rsid w:val="00BA7AD1"/>
    <w:rsid w:val="00BA7CC0"/>
    <w:rsid w:val="00BB0177"/>
    <w:rsid w:val="00BB08DC"/>
    <w:rsid w:val="00BB0D36"/>
    <w:rsid w:val="00BB20B8"/>
    <w:rsid w:val="00BB2E52"/>
    <w:rsid w:val="00BB372E"/>
    <w:rsid w:val="00BB3BF6"/>
    <w:rsid w:val="00BB6D26"/>
    <w:rsid w:val="00BB7D88"/>
    <w:rsid w:val="00BC3BE5"/>
    <w:rsid w:val="00BC3E7E"/>
    <w:rsid w:val="00BC60CD"/>
    <w:rsid w:val="00BC6BAA"/>
    <w:rsid w:val="00BC6F54"/>
    <w:rsid w:val="00BC7206"/>
    <w:rsid w:val="00BD0A77"/>
    <w:rsid w:val="00BD0F18"/>
    <w:rsid w:val="00BD5572"/>
    <w:rsid w:val="00BD5795"/>
    <w:rsid w:val="00BE065F"/>
    <w:rsid w:val="00BE16E4"/>
    <w:rsid w:val="00BE24B1"/>
    <w:rsid w:val="00BE2CC4"/>
    <w:rsid w:val="00BE2E2D"/>
    <w:rsid w:val="00BE4875"/>
    <w:rsid w:val="00BE4A51"/>
    <w:rsid w:val="00BE6194"/>
    <w:rsid w:val="00BE6BE6"/>
    <w:rsid w:val="00BF03A6"/>
    <w:rsid w:val="00BF1828"/>
    <w:rsid w:val="00BF2506"/>
    <w:rsid w:val="00BF260E"/>
    <w:rsid w:val="00BF42CD"/>
    <w:rsid w:val="00BF5CB3"/>
    <w:rsid w:val="00BF71D9"/>
    <w:rsid w:val="00BF7941"/>
    <w:rsid w:val="00C0057D"/>
    <w:rsid w:val="00C017F6"/>
    <w:rsid w:val="00C03D54"/>
    <w:rsid w:val="00C101F8"/>
    <w:rsid w:val="00C104AF"/>
    <w:rsid w:val="00C1189B"/>
    <w:rsid w:val="00C12A08"/>
    <w:rsid w:val="00C15386"/>
    <w:rsid w:val="00C17637"/>
    <w:rsid w:val="00C20B40"/>
    <w:rsid w:val="00C22D5D"/>
    <w:rsid w:val="00C2319A"/>
    <w:rsid w:val="00C240DD"/>
    <w:rsid w:val="00C31085"/>
    <w:rsid w:val="00C322C0"/>
    <w:rsid w:val="00C333EC"/>
    <w:rsid w:val="00C33892"/>
    <w:rsid w:val="00C362E3"/>
    <w:rsid w:val="00C405F3"/>
    <w:rsid w:val="00C4177F"/>
    <w:rsid w:val="00C44EB1"/>
    <w:rsid w:val="00C468E9"/>
    <w:rsid w:val="00C4787B"/>
    <w:rsid w:val="00C525C9"/>
    <w:rsid w:val="00C54343"/>
    <w:rsid w:val="00C54E42"/>
    <w:rsid w:val="00C5644C"/>
    <w:rsid w:val="00C56D67"/>
    <w:rsid w:val="00C60F43"/>
    <w:rsid w:val="00C61423"/>
    <w:rsid w:val="00C61519"/>
    <w:rsid w:val="00C61EEB"/>
    <w:rsid w:val="00C62050"/>
    <w:rsid w:val="00C6323E"/>
    <w:rsid w:val="00C633E5"/>
    <w:rsid w:val="00C63724"/>
    <w:rsid w:val="00C7410B"/>
    <w:rsid w:val="00C757E4"/>
    <w:rsid w:val="00C80D8A"/>
    <w:rsid w:val="00C80F78"/>
    <w:rsid w:val="00C83E5B"/>
    <w:rsid w:val="00C879BF"/>
    <w:rsid w:val="00C87AF1"/>
    <w:rsid w:val="00C87EC8"/>
    <w:rsid w:val="00C906BF"/>
    <w:rsid w:val="00C90723"/>
    <w:rsid w:val="00C90A72"/>
    <w:rsid w:val="00C9100C"/>
    <w:rsid w:val="00C9116E"/>
    <w:rsid w:val="00C91CED"/>
    <w:rsid w:val="00C9200B"/>
    <w:rsid w:val="00C926B2"/>
    <w:rsid w:val="00C93998"/>
    <w:rsid w:val="00C93BEE"/>
    <w:rsid w:val="00C956D0"/>
    <w:rsid w:val="00CA0446"/>
    <w:rsid w:val="00CA0706"/>
    <w:rsid w:val="00CA15D5"/>
    <w:rsid w:val="00CA4B25"/>
    <w:rsid w:val="00CA4D84"/>
    <w:rsid w:val="00CA5654"/>
    <w:rsid w:val="00CA5DF6"/>
    <w:rsid w:val="00CA73E2"/>
    <w:rsid w:val="00CB2ADF"/>
    <w:rsid w:val="00CB401A"/>
    <w:rsid w:val="00CB40CF"/>
    <w:rsid w:val="00CB4F04"/>
    <w:rsid w:val="00CB534F"/>
    <w:rsid w:val="00CB54D9"/>
    <w:rsid w:val="00CB6CCB"/>
    <w:rsid w:val="00CC059B"/>
    <w:rsid w:val="00CC3780"/>
    <w:rsid w:val="00CC3898"/>
    <w:rsid w:val="00CC60F6"/>
    <w:rsid w:val="00CC6122"/>
    <w:rsid w:val="00CD03F2"/>
    <w:rsid w:val="00CD2113"/>
    <w:rsid w:val="00CD287E"/>
    <w:rsid w:val="00CD39C5"/>
    <w:rsid w:val="00CD60AE"/>
    <w:rsid w:val="00CD6E38"/>
    <w:rsid w:val="00CD6F53"/>
    <w:rsid w:val="00CD727A"/>
    <w:rsid w:val="00CD790C"/>
    <w:rsid w:val="00CE15F7"/>
    <w:rsid w:val="00CE42A8"/>
    <w:rsid w:val="00CE5364"/>
    <w:rsid w:val="00CE6030"/>
    <w:rsid w:val="00CE6C48"/>
    <w:rsid w:val="00CF6405"/>
    <w:rsid w:val="00CF6515"/>
    <w:rsid w:val="00D00906"/>
    <w:rsid w:val="00D039CB"/>
    <w:rsid w:val="00D05AF2"/>
    <w:rsid w:val="00D0703A"/>
    <w:rsid w:val="00D074B6"/>
    <w:rsid w:val="00D108F3"/>
    <w:rsid w:val="00D10A73"/>
    <w:rsid w:val="00D10FAF"/>
    <w:rsid w:val="00D11924"/>
    <w:rsid w:val="00D13559"/>
    <w:rsid w:val="00D14B85"/>
    <w:rsid w:val="00D14FCF"/>
    <w:rsid w:val="00D200BE"/>
    <w:rsid w:val="00D202E0"/>
    <w:rsid w:val="00D2036E"/>
    <w:rsid w:val="00D2222D"/>
    <w:rsid w:val="00D22DBD"/>
    <w:rsid w:val="00D248CC"/>
    <w:rsid w:val="00D249CB"/>
    <w:rsid w:val="00D25EC5"/>
    <w:rsid w:val="00D264D5"/>
    <w:rsid w:val="00D27D60"/>
    <w:rsid w:val="00D30F9E"/>
    <w:rsid w:val="00D31838"/>
    <w:rsid w:val="00D33BEC"/>
    <w:rsid w:val="00D33F60"/>
    <w:rsid w:val="00D4045C"/>
    <w:rsid w:val="00D418B4"/>
    <w:rsid w:val="00D42F91"/>
    <w:rsid w:val="00D447A3"/>
    <w:rsid w:val="00D45479"/>
    <w:rsid w:val="00D45B56"/>
    <w:rsid w:val="00D463D0"/>
    <w:rsid w:val="00D47A82"/>
    <w:rsid w:val="00D50869"/>
    <w:rsid w:val="00D51942"/>
    <w:rsid w:val="00D51BCA"/>
    <w:rsid w:val="00D53863"/>
    <w:rsid w:val="00D5403C"/>
    <w:rsid w:val="00D54340"/>
    <w:rsid w:val="00D55598"/>
    <w:rsid w:val="00D55E08"/>
    <w:rsid w:val="00D577E9"/>
    <w:rsid w:val="00D60A30"/>
    <w:rsid w:val="00D61F0B"/>
    <w:rsid w:val="00D6238E"/>
    <w:rsid w:val="00D62A21"/>
    <w:rsid w:val="00D639BE"/>
    <w:rsid w:val="00D64F42"/>
    <w:rsid w:val="00D705AD"/>
    <w:rsid w:val="00D72094"/>
    <w:rsid w:val="00D72D02"/>
    <w:rsid w:val="00D741DD"/>
    <w:rsid w:val="00D75264"/>
    <w:rsid w:val="00D77850"/>
    <w:rsid w:val="00D81510"/>
    <w:rsid w:val="00D828E9"/>
    <w:rsid w:val="00D84414"/>
    <w:rsid w:val="00D84541"/>
    <w:rsid w:val="00D84543"/>
    <w:rsid w:val="00D86441"/>
    <w:rsid w:val="00D878E6"/>
    <w:rsid w:val="00D90037"/>
    <w:rsid w:val="00D92283"/>
    <w:rsid w:val="00D92D20"/>
    <w:rsid w:val="00D932AD"/>
    <w:rsid w:val="00D93C72"/>
    <w:rsid w:val="00D94835"/>
    <w:rsid w:val="00D97EFE"/>
    <w:rsid w:val="00DA066D"/>
    <w:rsid w:val="00DA0CE8"/>
    <w:rsid w:val="00DA125D"/>
    <w:rsid w:val="00DA4E17"/>
    <w:rsid w:val="00DA5C62"/>
    <w:rsid w:val="00DA5D10"/>
    <w:rsid w:val="00DB189F"/>
    <w:rsid w:val="00DB25CF"/>
    <w:rsid w:val="00DB476D"/>
    <w:rsid w:val="00DB5240"/>
    <w:rsid w:val="00DB77DA"/>
    <w:rsid w:val="00DC04BE"/>
    <w:rsid w:val="00DC1072"/>
    <w:rsid w:val="00DC108D"/>
    <w:rsid w:val="00DC14F7"/>
    <w:rsid w:val="00DC269B"/>
    <w:rsid w:val="00DC42CD"/>
    <w:rsid w:val="00DC4504"/>
    <w:rsid w:val="00DC4AA5"/>
    <w:rsid w:val="00DC4E26"/>
    <w:rsid w:val="00DC7318"/>
    <w:rsid w:val="00DD042E"/>
    <w:rsid w:val="00DD339F"/>
    <w:rsid w:val="00DD462B"/>
    <w:rsid w:val="00DD4D10"/>
    <w:rsid w:val="00DE003B"/>
    <w:rsid w:val="00DE34DF"/>
    <w:rsid w:val="00DE547E"/>
    <w:rsid w:val="00DE6363"/>
    <w:rsid w:val="00DE69E3"/>
    <w:rsid w:val="00DF1E52"/>
    <w:rsid w:val="00DF4260"/>
    <w:rsid w:val="00DF44AF"/>
    <w:rsid w:val="00DF57EC"/>
    <w:rsid w:val="00DF5FF2"/>
    <w:rsid w:val="00DF656F"/>
    <w:rsid w:val="00DF6C79"/>
    <w:rsid w:val="00E011E1"/>
    <w:rsid w:val="00E013B0"/>
    <w:rsid w:val="00E03773"/>
    <w:rsid w:val="00E03A1B"/>
    <w:rsid w:val="00E04268"/>
    <w:rsid w:val="00E07588"/>
    <w:rsid w:val="00E11171"/>
    <w:rsid w:val="00E127B0"/>
    <w:rsid w:val="00E13083"/>
    <w:rsid w:val="00E13C36"/>
    <w:rsid w:val="00E16918"/>
    <w:rsid w:val="00E16DAF"/>
    <w:rsid w:val="00E16EDF"/>
    <w:rsid w:val="00E173A8"/>
    <w:rsid w:val="00E20016"/>
    <w:rsid w:val="00E20D93"/>
    <w:rsid w:val="00E20DD5"/>
    <w:rsid w:val="00E21CB1"/>
    <w:rsid w:val="00E22267"/>
    <w:rsid w:val="00E23175"/>
    <w:rsid w:val="00E24268"/>
    <w:rsid w:val="00E24962"/>
    <w:rsid w:val="00E24DB5"/>
    <w:rsid w:val="00E26B40"/>
    <w:rsid w:val="00E26DBE"/>
    <w:rsid w:val="00E271E3"/>
    <w:rsid w:val="00E304A6"/>
    <w:rsid w:val="00E30783"/>
    <w:rsid w:val="00E313ED"/>
    <w:rsid w:val="00E31988"/>
    <w:rsid w:val="00E325AF"/>
    <w:rsid w:val="00E32988"/>
    <w:rsid w:val="00E3329B"/>
    <w:rsid w:val="00E33637"/>
    <w:rsid w:val="00E33EA5"/>
    <w:rsid w:val="00E368D4"/>
    <w:rsid w:val="00E3799E"/>
    <w:rsid w:val="00E400E7"/>
    <w:rsid w:val="00E42B0F"/>
    <w:rsid w:val="00E439CD"/>
    <w:rsid w:val="00E43B3E"/>
    <w:rsid w:val="00E44C93"/>
    <w:rsid w:val="00E45638"/>
    <w:rsid w:val="00E50630"/>
    <w:rsid w:val="00E5097E"/>
    <w:rsid w:val="00E51CBE"/>
    <w:rsid w:val="00E52019"/>
    <w:rsid w:val="00E52D6A"/>
    <w:rsid w:val="00E53BE8"/>
    <w:rsid w:val="00E53F76"/>
    <w:rsid w:val="00E55774"/>
    <w:rsid w:val="00E55C45"/>
    <w:rsid w:val="00E63838"/>
    <w:rsid w:val="00E63C24"/>
    <w:rsid w:val="00E64297"/>
    <w:rsid w:val="00E65B66"/>
    <w:rsid w:val="00E750A0"/>
    <w:rsid w:val="00E76E96"/>
    <w:rsid w:val="00E76F9A"/>
    <w:rsid w:val="00E80385"/>
    <w:rsid w:val="00E81B4E"/>
    <w:rsid w:val="00E82D88"/>
    <w:rsid w:val="00E85FBD"/>
    <w:rsid w:val="00E8699A"/>
    <w:rsid w:val="00E87C85"/>
    <w:rsid w:val="00E91068"/>
    <w:rsid w:val="00E923C7"/>
    <w:rsid w:val="00E93195"/>
    <w:rsid w:val="00E949A8"/>
    <w:rsid w:val="00E97561"/>
    <w:rsid w:val="00EA0413"/>
    <w:rsid w:val="00EA300E"/>
    <w:rsid w:val="00EA4DA7"/>
    <w:rsid w:val="00EA5023"/>
    <w:rsid w:val="00EA5479"/>
    <w:rsid w:val="00EA6A11"/>
    <w:rsid w:val="00EA7962"/>
    <w:rsid w:val="00EA79E2"/>
    <w:rsid w:val="00EB0BB3"/>
    <w:rsid w:val="00EB3C2E"/>
    <w:rsid w:val="00EB5FD8"/>
    <w:rsid w:val="00EB6197"/>
    <w:rsid w:val="00EB691F"/>
    <w:rsid w:val="00EB6C3C"/>
    <w:rsid w:val="00EC06BD"/>
    <w:rsid w:val="00EC1866"/>
    <w:rsid w:val="00EC2118"/>
    <w:rsid w:val="00EC3787"/>
    <w:rsid w:val="00EC3B7F"/>
    <w:rsid w:val="00EC4CE1"/>
    <w:rsid w:val="00EC5984"/>
    <w:rsid w:val="00EC5FE6"/>
    <w:rsid w:val="00EC79A2"/>
    <w:rsid w:val="00ED08B6"/>
    <w:rsid w:val="00ED23C3"/>
    <w:rsid w:val="00ED2A05"/>
    <w:rsid w:val="00ED61C1"/>
    <w:rsid w:val="00ED788D"/>
    <w:rsid w:val="00EE05F9"/>
    <w:rsid w:val="00EE1108"/>
    <w:rsid w:val="00EE1F65"/>
    <w:rsid w:val="00EE21D3"/>
    <w:rsid w:val="00EE23BB"/>
    <w:rsid w:val="00EE2B19"/>
    <w:rsid w:val="00EE3EDD"/>
    <w:rsid w:val="00EE4019"/>
    <w:rsid w:val="00EE487E"/>
    <w:rsid w:val="00EE52D1"/>
    <w:rsid w:val="00EE566F"/>
    <w:rsid w:val="00EE63AC"/>
    <w:rsid w:val="00EE71FD"/>
    <w:rsid w:val="00EE7B36"/>
    <w:rsid w:val="00EF14A3"/>
    <w:rsid w:val="00EF1603"/>
    <w:rsid w:val="00EF336C"/>
    <w:rsid w:val="00EF6CF5"/>
    <w:rsid w:val="00F02528"/>
    <w:rsid w:val="00F03DC4"/>
    <w:rsid w:val="00F0519B"/>
    <w:rsid w:val="00F066AE"/>
    <w:rsid w:val="00F155C8"/>
    <w:rsid w:val="00F16E44"/>
    <w:rsid w:val="00F213B4"/>
    <w:rsid w:val="00F22528"/>
    <w:rsid w:val="00F241BA"/>
    <w:rsid w:val="00F24A87"/>
    <w:rsid w:val="00F26398"/>
    <w:rsid w:val="00F2644E"/>
    <w:rsid w:val="00F30CC1"/>
    <w:rsid w:val="00F3226D"/>
    <w:rsid w:val="00F328EB"/>
    <w:rsid w:val="00F33420"/>
    <w:rsid w:val="00F36367"/>
    <w:rsid w:val="00F36A27"/>
    <w:rsid w:val="00F36B29"/>
    <w:rsid w:val="00F37F3E"/>
    <w:rsid w:val="00F4117D"/>
    <w:rsid w:val="00F413DB"/>
    <w:rsid w:val="00F41446"/>
    <w:rsid w:val="00F42309"/>
    <w:rsid w:val="00F43F83"/>
    <w:rsid w:val="00F515B7"/>
    <w:rsid w:val="00F56281"/>
    <w:rsid w:val="00F56726"/>
    <w:rsid w:val="00F60D8F"/>
    <w:rsid w:val="00F60E5A"/>
    <w:rsid w:val="00F61446"/>
    <w:rsid w:val="00F61DC1"/>
    <w:rsid w:val="00F6270F"/>
    <w:rsid w:val="00F6281B"/>
    <w:rsid w:val="00F63874"/>
    <w:rsid w:val="00F650D5"/>
    <w:rsid w:val="00F65DF4"/>
    <w:rsid w:val="00F67101"/>
    <w:rsid w:val="00F67429"/>
    <w:rsid w:val="00F67A99"/>
    <w:rsid w:val="00F70291"/>
    <w:rsid w:val="00F71B1D"/>
    <w:rsid w:val="00F75036"/>
    <w:rsid w:val="00F7656A"/>
    <w:rsid w:val="00F7747A"/>
    <w:rsid w:val="00F805EA"/>
    <w:rsid w:val="00F80902"/>
    <w:rsid w:val="00F812CE"/>
    <w:rsid w:val="00F815B3"/>
    <w:rsid w:val="00F8278D"/>
    <w:rsid w:val="00F908F6"/>
    <w:rsid w:val="00F90A2A"/>
    <w:rsid w:val="00F913A9"/>
    <w:rsid w:val="00F91D33"/>
    <w:rsid w:val="00F928B5"/>
    <w:rsid w:val="00F93B23"/>
    <w:rsid w:val="00F941E4"/>
    <w:rsid w:val="00F95A58"/>
    <w:rsid w:val="00F968E8"/>
    <w:rsid w:val="00F97074"/>
    <w:rsid w:val="00F97C94"/>
    <w:rsid w:val="00F97CC7"/>
    <w:rsid w:val="00FA1025"/>
    <w:rsid w:val="00FA15CE"/>
    <w:rsid w:val="00FA3094"/>
    <w:rsid w:val="00FA3453"/>
    <w:rsid w:val="00FA35A8"/>
    <w:rsid w:val="00FA3A2D"/>
    <w:rsid w:val="00FA7ADB"/>
    <w:rsid w:val="00FB3CA0"/>
    <w:rsid w:val="00FB48A9"/>
    <w:rsid w:val="00FB520C"/>
    <w:rsid w:val="00FB72EB"/>
    <w:rsid w:val="00FB74AD"/>
    <w:rsid w:val="00FB78DC"/>
    <w:rsid w:val="00FB7A26"/>
    <w:rsid w:val="00FB7C88"/>
    <w:rsid w:val="00FB7E8D"/>
    <w:rsid w:val="00FC0508"/>
    <w:rsid w:val="00FC0E8A"/>
    <w:rsid w:val="00FC3FC4"/>
    <w:rsid w:val="00FC507E"/>
    <w:rsid w:val="00FC6173"/>
    <w:rsid w:val="00FC75F1"/>
    <w:rsid w:val="00FD2B5D"/>
    <w:rsid w:val="00FD3B47"/>
    <w:rsid w:val="00FD679C"/>
    <w:rsid w:val="00FD71A3"/>
    <w:rsid w:val="00FE0A23"/>
    <w:rsid w:val="00FE0B5E"/>
    <w:rsid w:val="00FE2D5B"/>
    <w:rsid w:val="00FE308D"/>
    <w:rsid w:val="00FE3783"/>
    <w:rsid w:val="00FE3A3D"/>
    <w:rsid w:val="00FE42DF"/>
    <w:rsid w:val="00FE4BBD"/>
    <w:rsid w:val="00FE4BBF"/>
    <w:rsid w:val="00FE4D6B"/>
    <w:rsid w:val="00FE4DC7"/>
    <w:rsid w:val="00FE61E1"/>
    <w:rsid w:val="00FF0547"/>
    <w:rsid w:val="00FF1BD8"/>
    <w:rsid w:val="00FF20FC"/>
    <w:rsid w:val="00FF2B32"/>
    <w:rsid w:val="00FF56CD"/>
    <w:rsid w:val="00FF68E5"/>
    <w:rsid w:val="00FF7B95"/>
    <w:rsid w:val="01850336"/>
    <w:rsid w:val="01DA5908"/>
    <w:rsid w:val="022B296C"/>
    <w:rsid w:val="02E727AE"/>
    <w:rsid w:val="0325222A"/>
    <w:rsid w:val="041864FF"/>
    <w:rsid w:val="04A5028C"/>
    <w:rsid w:val="062358F2"/>
    <w:rsid w:val="069F3BC7"/>
    <w:rsid w:val="076F6095"/>
    <w:rsid w:val="07E31891"/>
    <w:rsid w:val="08032CE6"/>
    <w:rsid w:val="083A4517"/>
    <w:rsid w:val="084B048E"/>
    <w:rsid w:val="087D440F"/>
    <w:rsid w:val="093E6593"/>
    <w:rsid w:val="09780DC0"/>
    <w:rsid w:val="09940D37"/>
    <w:rsid w:val="0A3A0A90"/>
    <w:rsid w:val="0ACB50DD"/>
    <w:rsid w:val="0AF17C71"/>
    <w:rsid w:val="0BC52ADA"/>
    <w:rsid w:val="0C3B6140"/>
    <w:rsid w:val="0C3E1A9E"/>
    <w:rsid w:val="0C840BF9"/>
    <w:rsid w:val="0CA94EA0"/>
    <w:rsid w:val="0E190214"/>
    <w:rsid w:val="0FB723D4"/>
    <w:rsid w:val="100C03F7"/>
    <w:rsid w:val="11AC163D"/>
    <w:rsid w:val="12800DE2"/>
    <w:rsid w:val="143936D8"/>
    <w:rsid w:val="14691370"/>
    <w:rsid w:val="14917754"/>
    <w:rsid w:val="14956609"/>
    <w:rsid w:val="15211D5A"/>
    <w:rsid w:val="153D6879"/>
    <w:rsid w:val="154F3251"/>
    <w:rsid w:val="16B40FC8"/>
    <w:rsid w:val="16EE5DB3"/>
    <w:rsid w:val="17A9396F"/>
    <w:rsid w:val="18673525"/>
    <w:rsid w:val="18BD471F"/>
    <w:rsid w:val="1A0F2A34"/>
    <w:rsid w:val="1A2061F7"/>
    <w:rsid w:val="1B5743EB"/>
    <w:rsid w:val="1D6B7F07"/>
    <w:rsid w:val="1D7C1301"/>
    <w:rsid w:val="1DF03A8C"/>
    <w:rsid w:val="1DFC4A67"/>
    <w:rsid w:val="1E026ABD"/>
    <w:rsid w:val="1F073BDC"/>
    <w:rsid w:val="1F096BCB"/>
    <w:rsid w:val="1F3507CD"/>
    <w:rsid w:val="1F956606"/>
    <w:rsid w:val="1FDB5BC6"/>
    <w:rsid w:val="1FEF55E2"/>
    <w:rsid w:val="20C25233"/>
    <w:rsid w:val="20DA5ACF"/>
    <w:rsid w:val="21A42DF1"/>
    <w:rsid w:val="21B70D88"/>
    <w:rsid w:val="221725A8"/>
    <w:rsid w:val="22192627"/>
    <w:rsid w:val="22827886"/>
    <w:rsid w:val="23874A9E"/>
    <w:rsid w:val="24095EF8"/>
    <w:rsid w:val="24BF57A7"/>
    <w:rsid w:val="25877751"/>
    <w:rsid w:val="260754E2"/>
    <w:rsid w:val="26BA143C"/>
    <w:rsid w:val="27D668C5"/>
    <w:rsid w:val="27DC5D20"/>
    <w:rsid w:val="28331380"/>
    <w:rsid w:val="289F5440"/>
    <w:rsid w:val="28EF4EAE"/>
    <w:rsid w:val="28F3097D"/>
    <w:rsid w:val="2A1C4553"/>
    <w:rsid w:val="2A1E4E99"/>
    <w:rsid w:val="2AF33558"/>
    <w:rsid w:val="2B2929E2"/>
    <w:rsid w:val="2BDE59C3"/>
    <w:rsid w:val="2BE6374D"/>
    <w:rsid w:val="2C155DAD"/>
    <w:rsid w:val="2C2C2F57"/>
    <w:rsid w:val="2C864070"/>
    <w:rsid w:val="2CD51A59"/>
    <w:rsid w:val="2F1A5A56"/>
    <w:rsid w:val="2F8D01B1"/>
    <w:rsid w:val="303C1208"/>
    <w:rsid w:val="3153559F"/>
    <w:rsid w:val="31612853"/>
    <w:rsid w:val="316B0BFB"/>
    <w:rsid w:val="31937EEA"/>
    <w:rsid w:val="31A83FE9"/>
    <w:rsid w:val="3219596E"/>
    <w:rsid w:val="35410C3E"/>
    <w:rsid w:val="356279EA"/>
    <w:rsid w:val="35AD7CA4"/>
    <w:rsid w:val="36FF29FD"/>
    <w:rsid w:val="37F9283D"/>
    <w:rsid w:val="387B329C"/>
    <w:rsid w:val="391D25A6"/>
    <w:rsid w:val="3938118D"/>
    <w:rsid w:val="39A6213B"/>
    <w:rsid w:val="3A434C0F"/>
    <w:rsid w:val="3AC4492D"/>
    <w:rsid w:val="3D6913E1"/>
    <w:rsid w:val="3E0E2F76"/>
    <w:rsid w:val="3F7153F9"/>
    <w:rsid w:val="3F994F93"/>
    <w:rsid w:val="3FC317DC"/>
    <w:rsid w:val="3FEF2FD4"/>
    <w:rsid w:val="402F48BD"/>
    <w:rsid w:val="40EB34E0"/>
    <w:rsid w:val="414F02D4"/>
    <w:rsid w:val="420F6F26"/>
    <w:rsid w:val="42202E59"/>
    <w:rsid w:val="42236A8B"/>
    <w:rsid w:val="42822D82"/>
    <w:rsid w:val="42AB57C0"/>
    <w:rsid w:val="42D76201"/>
    <w:rsid w:val="42DC18B0"/>
    <w:rsid w:val="45CD65CE"/>
    <w:rsid w:val="45FB6086"/>
    <w:rsid w:val="46AC4F69"/>
    <w:rsid w:val="470A0801"/>
    <w:rsid w:val="472D26D6"/>
    <w:rsid w:val="4757668B"/>
    <w:rsid w:val="478B125C"/>
    <w:rsid w:val="47CD4A37"/>
    <w:rsid w:val="49732DB1"/>
    <w:rsid w:val="498E4CFF"/>
    <w:rsid w:val="49DE4A17"/>
    <w:rsid w:val="4A345A29"/>
    <w:rsid w:val="4B2B1512"/>
    <w:rsid w:val="4BAE465A"/>
    <w:rsid w:val="4BB6023E"/>
    <w:rsid w:val="4C126B2B"/>
    <w:rsid w:val="4C474588"/>
    <w:rsid w:val="4E4E0243"/>
    <w:rsid w:val="4E93713A"/>
    <w:rsid w:val="4EA7641B"/>
    <w:rsid w:val="4F721171"/>
    <w:rsid w:val="4FE50BE3"/>
    <w:rsid w:val="501222E0"/>
    <w:rsid w:val="50C52831"/>
    <w:rsid w:val="50C66CA5"/>
    <w:rsid w:val="52982E43"/>
    <w:rsid w:val="52DE6EBB"/>
    <w:rsid w:val="53400CA8"/>
    <w:rsid w:val="53C20757"/>
    <w:rsid w:val="53CE168B"/>
    <w:rsid w:val="545244B9"/>
    <w:rsid w:val="548C3459"/>
    <w:rsid w:val="54A05C84"/>
    <w:rsid w:val="54D95362"/>
    <w:rsid w:val="555148AC"/>
    <w:rsid w:val="562F3567"/>
    <w:rsid w:val="56DF0A43"/>
    <w:rsid w:val="578660E0"/>
    <w:rsid w:val="5987789B"/>
    <w:rsid w:val="5ACC6DFE"/>
    <w:rsid w:val="5B5867FE"/>
    <w:rsid w:val="5B5E69AB"/>
    <w:rsid w:val="5BA30875"/>
    <w:rsid w:val="5BD11F2F"/>
    <w:rsid w:val="5C972A8F"/>
    <w:rsid w:val="5D206C20"/>
    <w:rsid w:val="5DD427A8"/>
    <w:rsid w:val="5DF52AF1"/>
    <w:rsid w:val="5ECC3FA2"/>
    <w:rsid w:val="5EFB10EC"/>
    <w:rsid w:val="5F5E0439"/>
    <w:rsid w:val="5F975656"/>
    <w:rsid w:val="5F9D5160"/>
    <w:rsid w:val="5FC44D33"/>
    <w:rsid w:val="615457EA"/>
    <w:rsid w:val="61D250D4"/>
    <w:rsid w:val="61DE6DA6"/>
    <w:rsid w:val="62121E9B"/>
    <w:rsid w:val="62FC132B"/>
    <w:rsid w:val="638A0558"/>
    <w:rsid w:val="63CE6515"/>
    <w:rsid w:val="63D33F96"/>
    <w:rsid w:val="667D6D4B"/>
    <w:rsid w:val="668E548D"/>
    <w:rsid w:val="677C618C"/>
    <w:rsid w:val="6836084D"/>
    <w:rsid w:val="68643ADC"/>
    <w:rsid w:val="68C35FEC"/>
    <w:rsid w:val="68EA74FF"/>
    <w:rsid w:val="6AB251F0"/>
    <w:rsid w:val="6ABA4D24"/>
    <w:rsid w:val="6AEA1A38"/>
    <w:rsid w:val="6B633598"/>
    <w:rsid w:val="6BE82C87"/>
    <w:rsid w:val="6C6E0447"/>
    <w:rsid w:val="6CDF1345"/>
    <w:rsid w:val="6D442FE1"/>
    <w:rsid w:val="6D4D000C"/>
    <w:rsid w:val="6D6C0781"/>
    <w:rsid w:val="6DD03D69"/>
    <w:rsid w:val="6E49116B"/>
    <w:rsid w:val="6EC407F2"/>
    <w:rsid w:val="6F627F36"/>
    <w:rsid w:val="6FCC2AFC"/>
    <w:rsid w:val="73966F02"/>
    <w:rsid w:val="74640099"/>
    <w:rsid w:val="74686C8A"/>
    <w:rsid w:val="74CD437C"/>
    <w:rsid w:val="75E452D5"/>
    <w:rsid w:val="762538FE"/>
    <w:rsid w:val="7771295C"/>
    <w:rsid w:val="779A2A38"/>
    <w:rsid w:val="77B062CA"/>
    <w:rsid w:val="77C36C9A"/>
    <w:rsid w:val="78091C0E"/>
    <w:rsid w:val="781E7EE8"/>
    <w:rsid w:val="781F6726"/>
    <w:rsid w:val="79D10442"/>
    <w:rsid w:val="7A666C01"/>
    <w:rsid w:val="7A86454D"/>
    <w:rsid w:val="7AEF0BC9"/>
    <w:rsid w:val="7B445194"/>
    <w:rsid w:val="7B6B1D7D"/>
    <w:rsid w:val="7B7E31E4"/>
    <w:rsid w:val="7C22274D"/>
    <w:rsid w:val="7D7D563E"/>
    <w:rsid w:val="7FB818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122"/>
        <o:r id="V:Rule2" type="connector" idref="#_x0000_s1125"/>
        <o:r id="V:Rule3" type="connector" idref="#_x0000_s1127"/>
        <o:r id="V:Rule4" type="connector" idref="#_x0000_s1128"/>
        <o:r id="V:Rule5" type="connector" idref="#_x0000_s112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qFormat/>
    <w:uiPriority w:val="0"/>
    <w:pPr>
      <w:keepNext/>
      <w:keepLines/>
      <w:numPr>
        <w:ilvl w:val="0"/>
        <w:numId w:val="1"/>
      </w:numPr>
      <w:autoSpaceDE w:val="0"/>
      <w:autoSpaceDN w:val="0"/>
      <w:adjustRightInd w:val="0"/>
      <w:spacing w:before="120" w:after="60" w:line="288" w:lineRule="auto"/>
      <w:jc w:val="left"/>
      <w:textAlignment w:val="baseline"/>
      <w:outlineLvl w:val="0"/>
    </w:pPr>
    <w:rPr>
      <w:rFonts w:eastAsia="魏碑"/>
      <w:b/>
      <w:kern w:val="0"/>
      <w:sz w:val="36"/>
      <w:szCs w:val="20"/>
    </w:rPr>
  </w:style>
  <w:style w:type="paragraph" w:styleId="3">
    <w:name w:val="heading 2"/>
    <w:basedOn w:val="1"/>
    <w:next w:val="1"/>
    <w:link w:val="48"/>
    <w:qFormat/>
    <w:uiPriority w:val="0"/>
    <w:pPr>
      <w:keepNext/>
      <w:keepLines/>
      <w:numPr>
        <w:ilvl w:val="1"/>
        <w:numId w:val="1"/>
      </w:numPr>
      <w:autoSpaceDE w:val="0"/>
      <w:autoSpaceDN w:val="0"/>
      <w:adjustRightInd w:val="0"/>
      <w:spacing w:before="100" w:after="60" w:line="288" w:lineRule="auto"/>
      <w:jc w:val="left"/>
      <w:textAlignment w:val="baseline"/>
      <w:outlineLvl w:val="1"/>
    </w:pPr>
    <w:rPr>
      <w:rFonts w:eastAsia="黑体"/>
      <w:kern w:val="0"/>
      <w:sz w:val="30"/>
      <w:szCs w:val="20"/>
    </w:rPr>
  </w:style>
  <w:style w:type="paragraph" w:styleId="4">
    <w:name w:val="heading 3"/>
    <w:basedOn w:val="1"/>
    <w:next w:val="1"/>
    <w:link w:val="49"/>
    <w:qFormat/>
    <w:uiPriority w:val="0"/>
    <w:pPr>
      <w:keepNext/>
      <w:keepLines/>
      <w:numPr>
        <w:ilvl w:val="2"/>
        <w:numId w:val="1"/>
      </w:numPr>
      <w:autoSpaceDE w:val="0"/>
      <w:autoSpaceDN w:val="0"/>
      <w:adjustRightInd w:val="0"/>
      <w:spacing w:before="20" w:after="20" w:line="288" w:lineRule="auto"/>
      <w:jc w:val="left"/>
      <w:textAlignment w:val="baseline"/>
      <w:outlineLvl w:val="2"/>
    </w:pPr>
    <w:rPr>
      <w:rFonts w:eastAsia="黑体"/>
      <w:kern w:val="0"/>
      <w:sz w:val="28"/>
      <w:szCs w:val="20"/>
    </w:rPr>
  </w:style>
  <w:style w:type="paragraph" w:styleId="5">
    <w:name w:val="heading 4"/>
    <w:basedOn w:val="1"/>
    <w:next w:val="1"/>
    <w:link w:val="50"/>
    <w:qFormat/>
    <w:uiPriority w:val="0"/>
    <w:pPr>
      <w:keepNext/>
      <w:keepLines/>
      <w:numPr>
        <w:ilvl w:val="3"/>
        <w:numId w:val="1"/>
      </w:numPr>
      <w:autoSpaceDE w:val="0"/>
      <w:autoSpaceDN w:val="0"/>
      <w:adjustRightInd w:val="0"/>
      <w:spacing w:before="20" w:line="288" w:lineRule="auto"/>
      <w:jc w:val="left"/>
      <w:textAlignment w:val="baseline"/>
      <w:outlineLvl w:val="3"/>
    </w:pPr>
    <w:rPr>
      <w:rFonts w:eastAsia="长城楷体"/>
      <w:b/>
      <w:kern w:val="0"/>
      <w:sz w:val="28"/>
      <w:szCs w:val="20"/>
    </w:rPr>
  </w:style>
  <w:style w:type="paragraph" w:styleId="6">
    <w:name w:val="heading 5"/>
    <w:basedOn w:val="1"/>
    <w:next w:val="1"/>
    <w:link w:val="51"/>
    <w:qFormat/>
    <w:uiPriority w:val="0"/>
    <w:pPr>
      <w:keepNext/>
      <w:keepLines/>
      <w:numPr>
        <w:ilvl w:val="4"/>
        <w:numId w:val="1"/>
      </w:numPr>
      <w:autoSpaceDE w:val="0"/>
      <w:autoSpaceDN w:val="0"/>
      <w:adjustRightInd w:val="0"/>
      <w:spacing w:line="288" w:lineRule="auto"/>
      <w:jc w:val="left"/>
      <w:textAlignment w:val="baseline"/>
      <w:outlineLvl w:val="4"/>
    </w:pPr>
    <w:rPr>
      <w:b/>
      <w:kern w:val="0"/>
      <w:sz w:val="24"/>
      <w:szCs w:val="20"/>
    </w:rPr>
  </w:style>
  <w:style w:type="paragraph" w:styleId="7">
    <w:name w:val="heading 6"/>
    <w:basedOn w:val="1"/>
    <w:next w:val="1"/>
    <w:link w:val="52"/>
    <w:qFormat/>
    <w:uiPriority w:val="0"/>
    <w:pPr>
      <w:keepNext/>
      <w:keepLines/>
      <w:numPr>
        <w:ilvl w:val="5"/>
        <w:numId w:val="1"/>
      </w:numPr>
      <w:autoSpaceDE w:val="0"/>
      <w:autoSpaceDN w:val="0"/>
      <w:adjustRightInd w:val="0"/>
      <w:spacing w:before="240" w:after="64" w:line="320" w:lineRule="auto"/>
      <w:jc w:val="left"/>
      <w:textAlignment w:val="baseline"/>
      <w:outlineLvl w:val="5"/>
    </w:pPr>
    <w:rPr>
      <w:rFonts w:ascii="Arial" w:hAnsi="Arial" w:eastAsia="黑体"/>
      <w:b/>
      <w:kern w:val="0"/>
      <w:sz w:val="24"/>
      <w:szCs w:val="20"/>
    </w:rPr>
  </w:style>
  <w:style w:type="paragraph" w:styleId="8">
    <w:name w:val="heading 7"/>
    <w:basedOn w:val="1"/>
    <w:next w:val="1"/>
    <w:link w:val="53"/>
    <w:qFormat/>
    <w:uiPriority w:val="0"/>
    <w:pPr>
      <w:keepNext/>
      <w:keepLines/>
      <w:numPr>
        <w:ilvl w:val="6"/>
        <w:numId w:val="1"/>
      </w:numPr>
      <w:autoSpaceDE w:val="0"/>
      <w:autoSpaceDN w:val="0"/>
      <w:adjustRightInd w:val="0"/>
      <w:spacing w:before="240" w:after="64" w:line="320" w:lineRule="auto"/>
      <w:jc w:val="left"/>
      <w:textAlignment w:val="baseline"/>
      <w:outlineLvl w:val="6"/>
    </w:pPr>
    <w:rPr>
      <w:b/>
      <w:kern w:val="0"/>
      <w:sz w:val="24"/>
      <w:szCs w:val="20"/>
    </w:rPr>
  </w:style>
  <w:style w:type="paragraph" w:styleId="9">
    <w:name w:val="heading 8"/>
    <w:basedOn w:val="1"/>
    <w:next w:val="1"/>
    <w:link w:val="54"/>
    <w:qFormat/>
    <w:uiPriority w:val="0"/>
    <w:pPr>
      <w:keepNext/>
      <w:keepLines/>
      <w:numPr>
        <w:ilvl w:val="7"/>
        <w:numId w:val="1"/>
      </w:numPr>
      <w:autoSpaceDE w:val="0"/>
      <w:autoSpaceDN w:val="0"/>
      <w:adjustRightInd w:val="0"/>
      <w:spacing w:before="240" w:after="64" w:line="320" w:lineRule="auto"/>
      <w:jc w:val="left"/>
      <w:textAlignment w:val="baseline"/>
      <w:outlineLvl w:val="7"/>
    </w:pPr>
    <w:rPr>
      <w:rFonts w:ascii="Arial" w:hAnsi="Arial" w:eastAsia="黑体"/>
      <w:kern w:val="0"/>
      <w:sz w:val="24"/>
      <w:szCs w:val="20"/>
    </w:rPr>
  </w:style>
  <w:style w:type="paragraph" w:styleId="10">
    <w:name w:val="heading 9"/>
    <w:basedOn w:val="1"/>
    <w:next w:val="1"/>
    <w:link w:val="55"/>
    <w:qFormat/>
    <w:uiPriority w:val="0"/>
    <w:pPr>
      <w:keepNext/>
      <w:keepLines/>
      <w:numPr>
        <w:ilvl w:val="8"/>
        <w:numId w:val="1"/>
      </w:numPr>
      <w:autoSpaceDE w:val="0"/>
      <w:autoSpaceDN w:val="0"/>
      <w:adjustRightInd w:val="0"/>
      <w:spacing w:before="240" w:after="64" w:line="320" w:lineRule="auto"/>
      <w:jc w:val="left"/>
      <w:textAlignment w:val="baseline"/>
      <w:outlineLvl w:val="8"/>
    </w:pPr>
    <w:rPr>
      <w:rFonts w:ascii="Arial" w:hAnsi="Arial" w:eastAsia="黑体"/>
      <w:kern w:val="0"/>
      <w:szCs w:val="20"/>
    </w:rPr>
  </w:style>
  <w:style w:type="character" w:default="1" w:styleId="22">
    <w:name w:val="Default Paragraph Font"/>
    <w:semiHidden/>
    <w:unhideWhenUsed/>
    <w:uiPriority w:val="1"/>
  </w:style>
  <w:style w:type="table" w:default="1" w:styleId="20">
    <w:name w:val="Normal Table"/>
    <w:semiHidden/>
    <w:unhideWhenUsed/>
    <w:uiPriority w:val="99"/>
    <w:tblPr>
      <w:tblLayout w:type="fixed"/>
      <w:tblCellMar>
        <w:top w:w="0" w:type="dxa"/>
        <w:left w:w="108" w:type="dxa"/>
        <w:bottom w:w="0" w:type="dxa"/>
        <w:right w:w="108" w:type="dxa"/>
      </w:tblCellMar>
    </w:tblPr>
  </w:style>
  <w:style w:type="paragraph" w:styleId="11">
    <w:name w:val="Document Map"/>
    <w:basedOn w:val="1"/>
    <w:link w:val="66"/>
    <w:semiHidden/>
    <w:unhideWhenUsed/>
    <w:qFormat/>
    <w:uiPriority w:val="99"/>
    <w:rPr>
      <w:rFonts w:ascii="宋体"/>
      <w:sz w:val="18"/>
      <w:szCs w:val="18"/>
    </w:rPr>
  </w:style>
  <w:style w:type="paragraph" w:styleId="12">
    <w:name w:val="annotation text"/>
    <w:basedOn w:val="1"/>
    <w:link w:val="45"/>
    <w:semiHidden/>
    <w:unhideWhenUsed/>
    <w:qFormat/>
    <w:uiPriority w:val="99"/>
    <w:pPr>
      <w:jc w:val="left"/>
    </w:pPr>
  </w:style>
  <w:style w:type="paragraph" w:styleId="13">
    <w:name w:val="Body Text"/>
    <w:basedOn w:val="1"/>
    <w:link w:val="36"/>
    <w:semiHidden/>
    <w:unhideWhenUsed/>
    <w:qFormat/>
    <w:uiPriority w:val="99"/>
    <w:pPr>
      <w:spacing w:after="120"/>
    </w:pPr>
  </w:style>
  <w:style w:type="paragraph" w:styleId="14">
    <w:name w:val="Body Text Indent 2"/>
    <w:basedOn w:val="1"/>
    <w:link w:val="37"/>
    <w:qFormat/>
    <w:uiPriority w:val="99"/>
    <w:pPr>
      <w:spacing w:after="120" w:line="480" w:lineRule="auto"/>
      <w:ind w:left="420" w:leftChars="200"/>
    </w:pPr>
  </w:style>
  <w:style w:type="paragraph" w:styleId="15">
    <w:name w:val="Balloon Text"/>
    <w:basedOn w:val="1"/>
    <w:link w:val="33"/>
    <w:semiHidden/>
    <w:unhideWhenUsed/>
    <w:qFormat/>
    <w:uiPriority w:val="99"/>
    <w:rPr>
      <w:sz w:val="18"/>
      <w:szCs w:val="18"/>
    </w:rPr>
  </w:style>
  <w:style w:type="paragraph" w:styleId="16">
    <w:name w:val="footer"/>
    <w:basedOn w:val="1"/>
    <w:link w:val="29"/>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7">
    <w:name w:val="header"/>
    <w:basedOn w:val="1"/>
    <w:link w:val="28"/>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8">
    <w:name w:val="Normal (Web)"/>
    <w:basedOn w:val="1"/>
    <w:link w:val="30"/>
    <w:unhideWhenUsed/>
    <w:qFormat/>
    <w:uiPriority w:val="99"/>
    <w:pPr>
      <w:widowControl/>
      <w:spacing w:before="100" w:beforeAutospacing="1" w:after="100" w:afterAutospacing="1"/>
      <w:jc w:val="left"/>
    </w:pPr>
    <w:rPr>
      <w:rFonts w:ascii="宋体" w:hAnsi="宋体" w:cstheme="minorBidi"/>
      <w:sz w:val="24"/>
      <w:szCs w:val="22"/>
    </w:rPr>
  </w:style>
  <w:style w:type="paragraph" w:styleId="19">
    <w:name w:val="annotation subject"/>
    <w:basedOn w:val="12"/>
    <w:next w:val="12"/>
    <w:link w:val="46"/>
    <w:semiHidden/>
    <w:unhideWhenUsed/>
    <w:qFormat/>
    <w:uiPriority w:val="99"/>
    <w:rPr>
      <w:b/>
      <w:bCs/>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3">
    <w:name w:val="Emphasis"/>
    <w:basedOn w:val="22"/>
    <w:qFormat/>
    <w:uiPriority w:val="20"/>
    <w:rPr>
      <w:i/>
    </w:rPr>
  </w:style>
  <w:style w:type="character" w:styleId="24">
    <w:name w:val="Hyperlink"/>
    <w:basedOn w:val="22"/>
    <w:semiHidden/>
    <w:unhideWhenUsed/>
    <w:qFormat/>
    <w:uiPriority w:val="99"/>
    <w:rPr>
      <w:color w:val="0000FF"/>
      <w:u w:val="single"/>
    </w:rPr>
  </w:style>
  <w:style w:type="character" w:styleId="25">
    <w:name w:val="annotation reference"/>
    <w:basedOn w:val="22"/>
    <w:semiHidden/>
    <w:unhideWhenUsed/>
    <w:qFormat/>
    <w:uiPriority w:val="99"/>
    <w:rPr>
      <w:sz w:val="21"/>
      <w:szCs w:val="21"/>
    </w:rPr>
  </w:style>
  <w:style w:type="paragraph" w:customStyle="1" w:styleId="26">
    <w:name w:val="样式3"/>
    <w:basedOn w:val="27"/>
    <w:next w:val="1"/>
    <w:qFormat/>
    <w:uiPriority w:val="0"/>
    <w:pPr>
      <w:tabs>
        <w:tab w:val="left" w:pos="6351"/>
      </w:tabs>
      <w:spacing w:line="360" w:lineRule="auto"/>
      <w:ind w:firstLine="200" w:firstLineChars="200"/>
    </w:pPr>
    <w:rPr>
      <w:rFonts w:eastAsia="楷体_GB2312"/>
      <w:sz w:val="28"/>
    </w:rPr>
  </w:style>
  <w:style w:type="paragraph" w:customStyle="1" w:styleId="27">
    <w:name w:val="标题 2 + 左侧:  0.75 厘米 首行缩进:  0 厘米"/>
    <w:basedOn w:val="3"/>
    <w:next w:val="3"/>
    <w:qFormat/>
    <w:uiPriority w:val="0"/>
    <w:pPr>
      <w:tabs>
        <w:tab w:val="left" w:pos="6351"/>
      </w:tabs>
      <w:spacing w:beforeAutospacing="1" w:after="100" w:afterAutospacing="1" w:line="240" w:lineRule="auto"/>
      <w:ind w:left="425"/>
    </w:pPr>
    <w:rPr>
      <w:rFonts w:eastAsia="宋体" w:cs="宋体"/>
    </w:rPr>
  </w:style>
  <w:style w:type="character" w:customStyle="1" w:styleId="28">
    <w:name w:val="页眉 Char"/>
    <w:basedOn w:val="22"/>
    <w:link w:val="17"/>
    <w:qFormat/>
    <w:uiPriority w:val="99"/>
    <w:rPr>
      <w:sz w:val="18"/>
      <w:szCs w:val="18"/>
    </w:rPr>
  </w:style>
  <w:style w:type="character" w:customStyle="1" w:styleId="29">
    <w:name w:val="页脚 Char"/>
    <w:basedOn w:val="22"/>
    <w:link w:val="16"/>
    <w:qFormat/>
    <w:uiPriority w:val="99"/>
    <w:rPr>
      <w:sz w:val="18"/>
      <w:szCs w:val="18"/>
    </w:rPr>
  </w:style>
  <w:style w:type="character" w:customStyle="1" w:styleId="30">
    <w:name w:val="普通(网站) Char"/>
    <w:link w:val="18"/>
    <w:qFormat/>
    <w:locked/>
    <w:uiPriority w:val="99"/>
    <w:rPr>
      <w:rFonts w:ascii="宋体" w:hAnsi="宋体" w:eastAsia="宋体"/>
      <w:sz w:val="24"/>
    </w:rPr>
  </w:style>
  <w:style w:type="character" w:customStyle="1" w:styleId="31">
    <w:name w:val="表格 Char"/>
    <w:link w:val="32"/>
    <w:qFormat/>
    <w:locked/>
    <w:uiPriority w:val="0"/>
    <w:rPr>
      <w:rFonts w:ascii="宋体" w:hAnsi="宋体" w:eastAsia="宋体"/>
    </w:rPr>
  </w:style>
  <w:style w:type="paragraph" w:customStyle="1" w:styleId="32">
    <w:name w:val="表格"/>
    <w:basedOn w:val="1"/>
    <w:next w:val="1"/>
    <w:link w:val="31"/>
    <w:qFormat/>
    <w:uiPriority w:val="0"/>
    <w:pPr>
      <w:adjustRightInd w:val="0"/>
      <w:snapToGrid w:val="0"/>
      <w:spacing w:beforeLines="10" w:line="256" w:lineRule="auto"/>
      <w:jc w:val="center"/>
    </w:pPr>
    <w:rPr>
      <w:rFonts w:ascii="宋体" w:hAnsi="宋体" w:cstheme="minorBidi"/>
      <w:szCs w:val="22"/>
    </w:rPr>
  </w:style>
  <w:style w:type="character" w:customStyle="1" w:styleId="33">
    <w:name w:val="批注框文本 Char"/>
    <w:basedOn w:val="22"/>
    <w:link w:val="15"/>
    <w:semiHidden/>
    <w:qFormat/>
    <w:uiPriority w:val="99"/>
    <w:rPr>
      <w:rFonts w:ascii="Times New Roman" w:hAnsi="Times New Roman" w:eastAsia="宋体" w:cs="Times New Roman"/>
      <w:sz w:val="18"/>
      <w:szCs w:val="18"/>
    </w:rPr>
  </w:style>
  <w:style w:type="paragraph" w:customStyle="1" w:styleId="34">
    <w:name w:val="列出段落1"/>
    <w:basedOn w:val="1"/>
    <w:qFormat/>
    <w:uiPriority w:val="0"/>
    <w:pPr>
      <w:ind w:firstLine="420" w:firstLineChars="200"/>
    </w:pPr>
  </w:style>
  <w:style w:type="paragraph" w:customStyle="1" w:styleId="35">
    <w:name w:val="表格文字"/>
    <w:basedOn w:val="13"/>
    <w:link w:val="58"/>
    <w:qFormat/>
    <w:uiPriority w:val="0"/>
    <w:pPr>
      <w:spacing w:before="100" w:beforeAutospacing="1" w:after="0"/>
    </w:pPr>
    <w:rPr>
      <w:szCs w:val="21"/>
    </w:rPr>
  </w:style>
  <w:style w:type="character" w:customStyle="1" w:styleId="36">
    <w:name w:val="正文文本 Char"/>
    <w:basedOn w:val="22"/>
    <w:link w:val="13"/>
    <w:semiHidden/>
    <w:qFormat/>
    <w:uiPriority w:val="99"/>
    <w:rPr>
      <w:rFonts w:ascii="Times New Roman" w:hAnsi="Times New Roman" w:eastAsia="宋体" w:cs="Times New Roman"/>
      <w:kern w:val="2"/>
      <w:sz w:val="21"/>
      <w:szCs w:val="24"/>
    </w:rPr>
  </w:style>
  <w:style w:type="character" w:customStyle="1" w:styleId="37">
    <w:name w:val="正文文本缩进 2 Char"/>
    <w:basedOn w:val="22"/>
    <w:link w:val="14"/>
    <w:qFormat/>
    <w:uiPriority w:val="99"/>
    <w:rPr>
      <w:rFonts w:ascii="Times New Roman" w:hAnsi="Times New Roman" w:eastAsia="宋体" w:cs="Times New Roman"/>
      <w:kern w:val="2"/>
      <w:sz w:val="21"/>
      <w:szCs w:val="24"/>
    </w:rPr>
  </w:style>
  <w:style w:type="character" w:customStyle="1" w:styleId="38">
    <w:name w:val="16"/>
    <w:basedOn w:val="22"/>
    <w:qFormat/>
    <w:uiPriority w:val="0"/>
    <w:rPr>
      <w:rFonts w:hint="default" w:ascii="Times New Roman" w:hAnsi="Times New Roman" w:cs="Times New Roman"/>
      <w:color w:val="FF0000"/>
      <w:sz w:val="18"/>
      <w:szCs w:val="18"/>
    </w:rPr>
  </w:style>
  <w:style w:type="character" w:customStyle="1" w:styleId="39">
    <w:name w:val="17"/>
    <w:basedOn w:val="22"/>
    <w:qFormat/>
    <w:uiPriority w:val="0"/>
    <w:rPr>
      <w:rFonts w:hint="eastAsia" w:ascii="宋体" w:hAnsi="宋体" w:eastAsia="宋体"/>
      <w:color w:val="FF0000"/>
      <w:sz w:val="18"/>
      <w:szCs w:val="18"/>
    </w:rPr>
  </w:style>
  <w:style w:type="paragraph" w:customStyle="1" w:styleId="40">
    <w:name w:val="样式4"/>
    <w:basedOn w:val="1"/>
    <w:next w:val="1"/>
    <w:qFormat/>
    <w:uiPriority w:val="0"/>
    <w:pPr>
      <w:spacing w:line="440" w:lineRule="exact"/>
    </w:pPr>
    <w:rPr>
      <w:sz w:val="24"/>
    </w:rPr>
  </w:style>
  <w:style w:type="paragraph" w:customStyle="1" w:styleId="41">
    <w:name w:val="Table Paragraph"/>
    <w:basedOn w:val="1"/>
    <w:qFormat/>
    <w:uiPriority w:val="0"/>
    <w:pPr>
      <w:spacing w:before="100" w:beforeAutospacing="1"/>
      <w:jc w:val="left"/>
    </w:pPr>
    <w:rPr>
      <w:rFonts w:ascii="Calibri" w:hAnsi="Calibri"/>
      <w:kern w:val="0"/>
      <w:sz w:val="22"/>
      <w:szCs w:val="22"/>
    </w:rPr>
  </w:style>
  <w:style w:type="table" w:customStyle="1" w:styleId="42">
    <w:name w:val="Table Normal"/>
    <w:unhideWhenUsed/>
    <w:qFormat/>
    <w:uiPriority w:val="0"/>
    <w:pPr>
      <w:widowControl w:val="0"/>
    </w:pPr>
    <w:rPr>
      <w:sz w:val="22"/>
      <w:szCs w:val="22"/>
      <w:lang w:eastAsia="en-US"/>
    </w:rPr>
    <w:tblPr>
      <w:tblLayout w:type="fixed"/>
      <w:tblCellMar>
        <w:top w:w="0" w:type="dxa"/>
        <w:left w:w="0" w:type="dxa"/>
        <w:bottom w:w="0" w:type="dxa"/>
        <w:right w:w="0" w:type="dxa"/>
      </w:tblCellMar>
    </w:tblPr>
  </w:style>
  <w:style w:type="character" w:customStyle="1" w:styleId="43">
    <w:name w:val="表格内容 Char"/>
    <w:link w:val="44"/>
    <w:qFormat/>
    <w:uiPriority w:val="0"/>
    <w:rPr>
      <w:rFonts w:ascii="Calibri" w:hAnsi="Calibri"/>
      <w:sz w:val="18"/>
    </w:rPr>
  </w:style>
  <w:style w:type="paragraph" w:customStyle="1" w:styleId="44">
    <w:name w:val="表格内容"/>
    <w:basedOn w:val="1"/>
    <w:link w:val="43"/>
    <w:qFormat/>
    <w:uiPriority w:val="0"/>
    <w:pPr>
      <w:spacing w:before="60" w:after="60" w:line="240" w:lineRule="exact"/>
      <w:ind w:firstLine="20" w:firstLineChars="20"/>
      <w:jc w:val="center"/>
    </w:pPr>
    <w:rPr>
      <w:rFonts w:ascii="Calibri" w:hAnsi="Calibri" w:eastAsiaTheme="minorEastAsia" w:cstheme="minorBidi"/>
      <w:kern w:val="0"/>
      <w:sz w:val="18"/>
      <w:szCs w:val="20"/>
    </w:rPr>
  </w:style>
  <w:style w:type="character" w:customStyle="1" w:styleId="45">
    <w:name w:val="批注文字 Char"/>
    <w:basedOn w:val="22"/>
    <w:link w:val="12"/>
    <w:semiHidden/>
    <w:qFormat/>
    <w:uiPriority w:val="99"/>
    <w:rPr>
      <w:rFonts w:ascii="Times New Roman" w:hAnsi="Times New Roman" w:eastAsia="宋体" w:cs="Times New Roman"/>
      <w:kern w:val="2"/>
      <w:sz w:val="21"/>
      <w:szCs w:val="24"/>
    </w:rPr>
  </w:style>
  <w:style w:type="character" w:customStyle="1" w:styleId="46">
    <w:name w:val="批注主题 Char"/>
    <w:basedOn w:val="45"/>
    <w:link w:val="19"/>
    <w:semiHidden/>
    <w:qFormat/>
    <w:uiPriority w:val="99"/>
    <w:rPr>
      <w:rFonts w:ascii="Times New Roman" w:hAnsi="Times New Roman" w:eastAsia="宋体" w:cs="Times New Roman"/>
      <w:b/>
      <w:bCs/>
      <w:kern w:val="2"/>
      <w:sz w:val="21"/>
      <w:szCs w:val="24"/>
    </w:rPr>
  </w:style>
  <w:style w:type="character" w:customStyle="1" w:styleId="47">
    <w:name w:val="标题 1 Char"/>
    <w:basedOn w:val="22"/>
    <w:link w:val="2"/>
    <w:qFormat/>
    <w:uiPriority w:val="0"/>
    <w:rPr>
      <w:rFonts w:ascii="Times New Roman" w:hAnsi="Times New Roman" w:eastAsia="魏碑" w:cs="Times New Roman"/>
      <w:b/>
      <w:sz w:val="36"/>
    </w:rPr>
  </w:style>
  <w:style w:type="character" w:customStyle="1" w:styleId="48">
    <w:name w:val="标题 2 Char"/>
    <w:basedOn w:val="22"/>
    <w:link w:val="3"/>
    <w:qFormat/>
    <w:uiPriority w:val="0"/>
    <w:rPr>
      <w:rFonts w:ascii="Times New Roman" w:hAnsi="Times New Roman" w:eastAsia="黑体" w:cs="Times New Roman"/>
      <w:sz w:val="30"/>
    </w:rPr>
  </w:style>
  <w:style w:type="character" w:customStyle="1" w:styleId="49">
    <w:name w:val="标题 3 Char"/>
    <w:basedOn w:val="22"/>
    <w:link w:val="4"/>
    <w:qFormat/>
    <w:uiPriority w:val="0"/>
    <w:rPr>
      <w:rFonts w:ascii="Times New Roman" w:hAnsi="Times New Roman" w:eastAsia="黑体" w:cs="Times New Roman"/>
      <w:sz w:val="28"/>
    </w:rPr>
  </w:style>
  <w:style w:type="character" w:customStyle="1" w:styleId="50">
    <w:name w:val="标题 4 Char"/>
    <w:basedOn w:val="22"/>
    <w:link w:val="5"/>
    <w:qFormat/>
    <w:uiPriority w:val="1"/>
    <w:rPr>
      <w:rFonts w:ascii="Times New Roman" w:hAnsi="Times New Roman" w:eastAsia="长城楷体" w:cs="Times New Roman"/>
      <w:b/>
      <w:sz w:val="28"/>
    </w:rPr>
  </w:style>
  <w:style w:type="character" w:customStyle="1" w:styleId="51">
    <w:name w:val="标题 5 Char"/>
    <w:basedOn w:val="22"/>
    <w:link w:val="6"/>
    <w:qFormat/>
    <w:uiPriority w:val="0"/>
    <w:rPr>
      <w:rFonts w:ascii="Times New Roman" w:hAnsi="Times New Roman" w:eastAsia="宋体" w:cs="Times New Roman"/>
      <w:b/>
      <w:sz w:val="24"/>
    </w:rPr>
  </w:style>
  <w:style w:type="character" w:customStyle="1" w:styleId="52">
    <w:name w:val="标题 6 Char"/>
    <w:basedOn w:val="22"/>
    <w:link w:val="7"/>
    <w:qFormat/>
    <w:uiPriority w:val="0"/>
    <w:rPr>
      <w:rFonts w:ascii="Arial" w:hAnsi="Arial" w:eastAsia="黑体" w:cs="Times New Roman"/>
      <w:b/>
      <w:sz w:val="24"/>
    </w:rPr>
  </w:style>
  <w:style w:type="character" w:customStyle="1" w:styleId="53">
    <w:name w:val="标题 7 Char"/>
    <w:basedOn w:val="22"/>
    <w:link w:val="8"/>
    <w:qFormat/>
    <w:uiPriority w:val="0"/>
    <w:rPr>
      <w:rFonts w:ascii="Times New Roman" w:hAnsi="Times New Roman" w:eastAsia="宋体" w:cs="Times New Roman"/>
      <w:b/>
      <w:sz w:val="24"/>
    </w:rPr>
  </w:style>
  <w:style w:type="character" w:customStyle="1" w:styleId="54">
    <w:name w:val="标题 8 Char"/>
    <w:basedOn w:val="22"/>
    <w:link w:val="9"/>
    <w:qFormat/>
    <w:uiPriority w:val="0"/>
    <w:rPr>
      <w:rFonts w:ascii="Arial" w:hAnsi="Arial" w:eastAsia="黑体" w:cs="Times New Roman"/>
      <w:sz w:val="24"/>
    </w:rPr>
  </w:style>
  <w:style w:type="character" w:customStyle="1" w:styleId="55">
    <w:name w:val="标题 9 Char"/>
    <w:basedOn w:val="22"/>
    <w:link w:val="10"/>
    <w:qFormat/>
    <w:uiPriority w:val="0"/>
    <w:rPr>
      <w:rFonts w:ascii="Arial" w:hAnsi="Arial" w:eastAsia="黑体" w:cs="Times New Roman"/>
      <w:sz w:val="21"/>
    </w:rPr>
  </w:style>
  <w:style w:type="character" w:customStyle="1" w:styleId="56">
    <w:name w:val="报告 Char"/>
    <w:link w:val="57"/>
    <w:qFormat/>
    <w:uiPriority w:val="0"/>
    <w:rPr>
      <w:sz w:val="24"/>
    </w:rPr>
  </w:style>
  <w:style w:type="paragraph" w:customStyle="1" w:styleId="57">
    <w:name w:val="报告"/>
    <w:basedOn w:val="1"/>
    <w:link w:val="56"/>
    <w:qFormat/>
    <w:uiPriority w:val="0"/>
    <w:pPr>
      <w:adjustRightInd w:val="0"/>
      <w:spacing w:line="360" w:lineRule="auto"/>
      <w:ind w:firstLine="505"/>
      <w:jc w:val="left"/>
      <w:textAlignment w:val="baseline"/>
    </w:pPr>
    <w:rPr>
      <w:rFonts w:asciiTheme="minorHAnsi" w:hAnsiTheme="minorHAnsi" w:eastAsiaTheme="minorEastAsia" w:cstheme="minorBidi"/>
      <w:kern w:val="0"/>
      <w:sz w:val="24"/>
      <w:szCs w:val="20"/>
    </w:rPr>
  </w:style>
  <w:style w:type="character" w:customStyle="1" w:styleId="58">
    <w:name w:val="表格文字 Char"/>
    <w:link w:val="35"/>
    <w:qFormat/>
    <w:locked/>
    <w:uiPriority w:val="0"/>
    <w:rPr>
      <w:kern w:val="2"/>
      <w:sz w:val="21"/>
      <w:szCs w:val="21"/>
    </w:rPr>
  </w:style>
  <w:style w:type="paragraph" w:customStyle="1" w:styleId="59">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60">
    <w:name w:val="10"/>
    <w:qFormat/>
    <w:uiPriority w:val="0"/>
    <w:rPr>
      <w:rFonts w:hint="default" w:ascii="Calibri" w:hAnsi="Calibri" w:cs="Calibri"/>
    </w:rPr>
  </w:style>
  <w:style w:type="paragraph" w:customStyle="1" w:styleId="61">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styleId="62">
    <w:name w:val="List Paragraph"/>
    <w:basedOn w:val="1"/>
    <w:unhideWhenUsed/>
    <w:qFormat/>
    <w:uiPriority w:val="99"/>
    <w:pPr>
      <w:ind w:firstLine="420" w:firstLineChars="200"/>
    </w:pPr>
  </w:style>
  <w:style w:type="paragraph" w:customStyle="1" w:styleId="63">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64">
    <w:name w:val="简单回函地址"/>
    <w:basedOn w:val="1"/>
    <w:next w:val="65"/>
    <w:qFormat/>
    <w:uiPriority w:val="0"/>
    <w:pPr>
      <w:spacing w:line="360" w:lineRule="auto"/>
      <w:ind w:firstLine="200" w:firstLineChars="200"/>
      <w:jc w:val="left"/>
    </w:pPr>
    <w:rPr>
      <w:bCs/>
    </w:rPr>
  </w:style>
  <w:style w:type="paragraph" w:customStyle="1" w:styleId="65">
    <w:name w:val="正文2"/>
    <w:basedOn w:val="1"/>
    <w:qFormat/>
    <w:uiPriority w:val="0"/>
    <w:pPr>
      <w:autoSpaceDE w:val="0"/>
      <w:autoSpaceDN w:val="0"/>
      <w:spacing w:line="480" w:lineRule="exact"/>
      <w:ind w:left="556"/>
      <w:textAlignment w:val="bottom"/>
    </w:pPr>
    <w:rPr>
      <w:color w:val="000000"/>
      <w:sz w:val="28"/>
    </w:rPr>
  </w:style>
  <w:style w:type="character" w:customStyle="1" w:styleId="66">
    <w:name w:val="文档结构图 Char"/>
    <w:basedOn w:val="22"/>
    <w:link w:val="11"/>
    <w:semiHidden/>
    <w:qFormat/>
    <w:uiPriority w:val="99"/>
    <w:rPr>
      <w:rFonts w:ascii="宋体"/>
      <w:kern w:val="2"/>
      <w:sz w:val="18"/>
      <w:szCs w:val="18"/>
    </w:rPr>
  </w:style>
  <w:style w:type="paragraph" w:customStyle="1" w:styleId="67">
    <w:name w:val="报告表  段"/>
    <w:basedOn w:val="1"/>
    <w:uiPriority w:val="0"/>
    <w:pPr>
      <w:adjustRightInd w:val="0"/>
      <w:spacing w:line="360" w:lineRule="auto"/>
      <w:ind w:firstLine="505"/>
      <w:textAlignment w:val="baseline"/>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163"/>
    <customShpInfo spid="_x0000_s1162"/>
    <customShpInfo spid="_x0000_s1160"/>
    <customShpInfo spid="_x0000_s1159"/>
    <customShpInfo spid="_x0000_s1157"/>
    <customShpInfo spid="_x0000_s1072"/>
    <customShpInfo spid="_x0000_s1074"/>
    <customShpInfo spid="_x0000_s1075"/>
    <customShpInfo spid="_x0000_s1064"/>
    <customShpInfo spid="_x0000_s1069"/>
    <customShpInfo spid="_x0000_s1063"/>
    <customShpInfo spid="_x0000_s1068"/>
    <customShpInfo spid="_x0000_s1037"/>
    <customShpInfo spid="_x0000_s1049"/>
    <customShpInfo spid="_x0000_s1054"/>
    <customShpInfo spid="_x0000_s1043"/>
    <customShpInfo spid="_x0000_s1056"/>
    <customShpInfo spid="_x0000_s1048"/>
    <customShpInfo spid="_x0000_s1051"/>
    <customShpInfo spid="_x0000_s1052"/>
    <customShpInfo spid="_x0000_s1061"/>
    <customShpInfo spid="_x0000_s1065"/>
    <customShpInfo spid="_x0000_s1067"/>
    <customShpInfo spid="_x0000_s1057"/>
    <customShpInfo spid="_x0000_s1055"/>
    <customShpInfo spid="_x0000_s1042"/>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AD2FE7-51C0-46C3-8AEA-F0295EFB554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29</Pages>
  <Words>8779</Words>
  <Characters>50041</Characters>
  <Lines>417</Lines>
  <Paragraphs>117</Paragraphs>
  <TotalTime>2019</TotalTime>
  <ScaleCrop>false</ScaleCrop>
  <LinksUpToDate>false</LinksUpToDate>
  <CharactersWithSpaces>58703</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2023-03-03T16:49:00Z</dcterms:created>
  <dc:creator>Administrator</dc:creator>
  <cp:lastModifiedBy>雨</cp:lastModifiedBy>
  <cp:lastPrinted>2023-05-25T02:10:00Z</cp:lastPrinted>
  <dcterms:modified xsi:type="dcterms:W3CDTF">2023-05-26T03:10:05Z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090AA603BDF0402C9537EC66B7CC209B</vt:lpwstr>
  </property>
</Properties>
</file>