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06BA7">
      <w:pPr>
        <w:spacing w:line="600" w:lineRule="exact"/>
        <w:jc w:val="left"/>
        <w:outlineLvl w:val="0"/>
        <w:rPr>
          <w:rFonts w:ascii="方正小标宋简体" w:hAnsi="宋体" w:eastAsia="方正小标宋简体"/>
          <w:szCs w:val="21"/>
        </w:rPr>
      </w:pPr>
      <w:bookmarkStart w:id="0" w:name="_Toc15306267"/>
    </w:p>
    <w:p w14:paraId="64DD7B42">
      <w:pPr>
        <w:pStyle w:val="2"/>
        <w:spacing w:before="93"/>
      </w:pPr>
    </w:p>
    <w:p w14:paraId="54F20709">
      <w:pPr>
        <w:spacing w:line="600" w:lineRule="exact"/>
        <w:jc w:val="center"/>
        <w:outlineLvl w:val="0"/>
        <w:rPr>
          <w:rFonts w:ascii="方正小标宋简体" w:hAnsi="宋体" w:eastAsia="方正小标宋简体"/>
          <w:sz w:val="72"/>
          <w:szCs w:val="72"/>
        </w:rPr>
      </w:pPr>
    </w:p>
    <w:p w14:paraId="6BE71093">
      <w:pPr>
        <w:spacing w:line="600" w:lineRule="exact"/>
        <w:jc w:val="center"/>
        <w:outlineLvl w:val="0"/>
        <w:rPr>
          <w:rFonts w:ascii="方正小标宋简体" w:hAnsi="宋体" w:eastAsia="方正小标宋简体"/>
          <w:sz w:val="72"/>
          <w:szCs w:val="72"/>
        </w:rPr>
      </w:pPr>
    </w:p>
    <w:p w14:paraId="1D2F069E">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8441"/>
      <w:bookmarkStart w:id="2" w:name="_Toc15396475"/>
      <w:bookmarkStart w:id="3" w:name="_Toc15377193"/>
      <w:bookmarkStart w:id="4" w:name="_Toc15396597"/>
      <w:bookmarkStart w:id="5" w:name="_Toc15377425"/>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14:paraId="3E0AC43D">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val="en-US" w:eastAsia="zh-CN"/>
        </w:rPr>
      </w:pPr>
      <w:bookmarkStart w:id="6" w:name="_Toc8215"/>
      <w:bookmarkStart w:id="7" w:name="_Toc7719"/>
      <w:bookmarkStart w:id="8" w:name="_Toc15396598"/>
      <w:bookmarkStart w:id="9" w:name="_Toc15378442"/>
      <w:bookmarkStart w:id="10" w:name="_Toc15377194"/>
      <w:bookmarkStart w:id="11" w:name="_Toc15396476"/>
      <w:bookmarkStart w:id="12" w:name="_Toc15377426"/>
      <w:bookmarkStart w:id="13" w:name="_Toc15306268"/>
      <w:r>
        <w:rPr>
          <w:rFonts w:hint="eastAsia" w:ascii="方正小标宋简体" w:hAnsi="方正小标宋简体" w:eastAsia="方正小标宋简体" w:cs="方正小标宋简体"/>
          <w:color w:val="auto"/>
          <w:sz w:val="72"/>
          <w:szCs w:val="72"/>
          <w:highlight w:val="none"/>
          <w:lang w:eastAsia="zh-CN"/>
        </w:rPr>
        <w:t>大竹县</w:t>
      </w:r>
      <w:r>
        <w:rPr>
          <w:rFonts w:hint="eastAsia" w:ascii="方正小标宋简体" w:hAnsi="方正小标宋简体" w:eastAsia="方正小标宋简体" w:cs="方正小标宋简体"/>
          <w:color w:val="auto"/>
          <w:sz w:val="72"/>
          <w:szCs w:val="72"/>
          <w:highlight w:val="none"/>
          <w:lang w:val="en-US" w:eastAsia="zh-CN"/>
        </w:rPr>
        <w:t>安吉乡卫生院</w:t>
      </w:r>
      <w:bookmarkEnd w:id="6"/>
      <w:bookmarkEnd w:id="7"/>
    </w:p>
    <w:p w14:paraId="08F1681D">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lang w:eastAsia="zh-CN"/>
        </w:rPr>
        <w:t>单位</w:t>
      </w:r>
      <w:r>
        <w:rPr>
          <w:rFonts w:hint="eastAsia" w:ascii="方正小标宋简体" w:hAnsi="方正小标宋简体" w:eastAsia="方正小标宋简体" w:cs="方正小标宋简体"/>
          <w:sz w:val="72"/>
          <w:szCs w:val="72"/>
        </w:rPr>
        <w:t>决算</w:t>
      </w:r>
      <w:bookmarkEnd w:id="8"/>
      <w:bookmarkEnd w:id="9"/>
      <w:bookmarkEnd w:id="10"/>
      <w:bookmarkEnd w:id="11"/>
      <w:bookmarkEnd w:id="12"/>
      <w:bookmarkEnd w:id="13"/>
    </w:p>
    <w:p w14:paraId="795E3B1D">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20D0D3F7">
      <w:pPr>
        <w:widowControl/>
        <w:jc w:val="center"/>
        <w:rPr>
          <w:rFonts w:ascii="黑体" w:hAnsi="黑体" w:eastAsia="黑体" w:cstheme="minorBidi"/>
          <w:sz w:val="28"/>
          <w:szCs w:val="28"/>
        </w:rPr>
      </w:pPr>
    </w:p>
    <w:p w14:paraId="5AA574A5">
      <w:pPr>
        <w:pStyle w:val="11"/>
      </w:pPr>
      <w:r>
        <w:rPr>
          <w:rFonts w:hint="eastAsia"/>
        </w:rPr>
        <w:t>公开时间：202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18</w:t>
      </w:r>
      <w:r>
        <w:rPr>
          <w:rFonts w:hint="eastAsia"/>
        </w:rPr>
        <w:t>日</w:t>
      </w:r>
    </w:p>
    <w:p w14:paraId="5B408C4F"/>
    <w:p w14:paraId="4C3290FB">
      <w:pPr>
        <w:pStyle w:val="11"/>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p>
    <w:p w14:paraId="262D1AC3">
      <w:pPr>
        <w:pStyle w:val="12"/>
        <w:adjustRightInd w:val="0"/>
        <w:snapToGrid w:val="0"/>
        <w:spacing w:line="440" w:lineRule="exact"/>
        <w:jc w:val="left"/>
        <w:rPr>
          <w:sz w:val="24"/>
        </w:rPr>
      </w:pPr>
      <w:r>
        <w:rPr>
          <w:rFonts w:hint="eastAsia"/>
          <w:sz w:val="24"/>
        </w:rPr>
        <w:t>一、主要职责</w:t>
      </w:r>
    </w:p>
    <w:p w14:paraId="3297F482">
      <w:pPr>
        <w:pStyle w:val="12"/>
        <w:adjustRightInd w:val="0"/>
        <w:snapToGrid w:val="0"/>
        <w:spacing w:line="440" w:lineRule="exact"/>
        <w:jc w:val="left"/>
      </w:pPr>
      <w:r>
        <w:rPr>
          <w:rFonts w:hint="eastAsia"/>
          <w:sz w:val="24"/>
        </w:rPr>
        <w:t>二、机构设置</w:t>
      </w:r>
    </w:p>
    <w:p w14:paraId="28BBD576">
      <w:pPr>
        <w:pStyle w:val="11"/>
        <w:adjustRightInd w:val="0"/>
        <w:snapToGrid w:val="0"/>
        <w:spacing w:before="0" w:line="440" w:lineRule="exact"/>
        <w:jc w:val="left"/>
        <w:rPr>
          <w:sz w:val="24"/>
          <w:szCs w:val="24"/>
        </w:rPr>
      </w:pPr>
      <w:r>
        <w:rPr>
          <w:rFonts w:hint="eastAsia"/>
          <w:sz w:val="24"/>
        </w:rPr>
        <w:t>第二部分 2023年度单位决算情况说明</w:t>
      </w:r>
    </w:p>
    <w:p w14:paraId="5EC64334">
      <w:pPr>
        <w:pStyle w:val="12"/>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14:paraId="44950211">
      <w:pPr>
        <w:pStyle w:val="12"/>
        <w:adjustRightInd w:val="0"/>
        <w:snapToGrid w:val="0"/>
        <w:spacing w:line="440" w:lineRule="exact"/>
        <w:jc w:val="left"/>
        <w:rPr>
          <w:rFonts w:ascii="仿宋" w:hAnsi="仿宋" w:eastAsia="仿宋" w:cstheme="minorBidi"/>
          <w:sz w:val="24"/>
        </w:rPr>
      </w:pPr>
      <w:r>
        <w:rPr>
          <w:rFonts w:hint="eastAsia"/>
          <w:sz w:val="24"/>
        </w:rPr>
        <w:t>二、收入决算情况说明</w:t>
      </w:r>
    </w:p>
    <w:p w14:paraId="62839B48">
      <w:pPr>
        <w:pStyle w:val="12"/>
        <w:adjustRightInd w:val="0"/>
        <w:snapToGrid w:val="0"/>
        <w:spacing w:line="440" w:lineRule="exact"/>
        <w:jc w:val="left"/>
        <w:rPr>
          <w:rFonts w:ascii="仿宋" w:hAnsi="仿宋" w:eastAsia="仿宋" w:cstheme="minorBidi"/>
          <w:sz w:val="24"/>
        </w:rPr>
      </w:pPr>
      <w:r>
        <w:rPr>
          <w:rFonts w:hint="eastAsia"/>
          <w:sz w:val="24"/>
        </w:rPr>
        <w:t>三、支出决算情况说明</w:t>
      </w:r>
    </w:p>
    <w:p w14:paraId="613D6FA1">
      <w:pPr>
        <w:pStyle w:val="12"/>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14:paraId="22D37353">
      <w:pPr>
        <w:pStyle w:val="12"/>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14:paraId="757F0914">
      <w:pPr>
        <w:pStyle w:val="12"/>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14:paraId="18F9172E">
      <w:pPr>
        <w:pStyle w:val="12"/>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p>
    <w:p w14:paraId="714B78FC">
      <w:pPr>
        <w:pStyle w:val="12"/>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14:paraId="0F36011F">
      <w:pPr>
        <w:pStyle w:val="12"/>
        <w:adjustRightInd w:val="0"/>
        <w:snapToGrid w:val="0"/>
        <w:spacing w:line="440" w:lineRule="exact"/>
        <w:jc w:val="left"/>
        <w:rPr>
          <w:sz w:val="24"/>
        </w:rPr>
      </w:pPr>
      <w:r>
        <w:rPr>
          <w:rFonts w:hint="eastAsia"/>
          <w:sz w:val="24"/>
        </w:rPr>
        <w:t>九、国有资本经营预算支出决算情况说明</w:t>
      </w:r>
    </w:p>
    <w:p w14:paraId="5B7B5685">
      <w:pPr>
        <w:pStyle w:val="12"/>
        <w:adjustRightInd w:val="0"/>
        <w:snapToGrid w:val="0"/>
        <w:spacing w:line="440" w:lineRule="exact"/>
        <w:jc w:val="left"/>
        <w:rPr>
          <w:sz w:val="24"/>
        </w:rPr>
      </w:pPr>
      <w:r>
        <w:rPr>
          <w:rFonts w:hint="eastAsia"/>
          <w:sz w:val="24"/>
        </w:rPr>
        <w:t>十、其他重要事项的情况说明</w:t>
      </w:r>
    </w:p>
    <w:p w14:paraId="47BCF8EF">
      <w:pPr>
        <w:pStyle w:val="11"/>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14:paraId="64CF6D94">
      <w:pPr>
        <w:pStyle w:val="11"/>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14:paraId="3655A990">
      <w:pPr>
        <w:pStyle w:val="11"/>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14:paraId="611F55C6">
      <w:pPr>
        <w:pStyle w:val="12"/>
        <w:adjustRightInd w:val="0"/>
        <w:snapToGrid w:val="0"/>
        <w:spacing w:line="440" w:lineRule="exact"/>
        <w:jc w:val="left"/>
        <w:rPr>
          <w:sz w:val="24"/>
        </w:rPr>
      </w:pPr>
      <w:r>
        <w:rPr>
          <w:rFonts w:hint="eastAsia"/>
          <w:sz w:val="24"/>
        </w:rPr>
        <w:t>一、收入支出决算总表</w:t>
      </w:r>
    </w:p>
    <w:p w14:paraId="3B5BEC63">
      <w:pPr>
        <w:pStyle w:val="12"/>
        <w:adjustRightInd w:val="0"/>
        <w:snapToGrid w:val="0"/>
        <w:spacing w:line="440" w:lineRule="exact"/>
        <w:jc w:val="left"/>
        <w:rPr>
          <w:sz w:val="24"/>
        </w:rPr>
      </w:pPr>
      <w:r>
        <w:rPr>
          <w:rFonts w:hint="eastAsia"/>
          <w:sz w:val="24"/>
        </w:rPr>
        <w:t>二、收入决算表</w:t>
      </w:r>
    </w:p>
    <w:p w14:paraId="31A7734F">
      <w:pPr>
        <w:pStyle w:val="12"/>
        <w:adjustRightInd w:val="0"/>
        <w:snapToGrid w:val="0"/>
        <w:spacing w:line="440" w:lineRule="exact"/>
        <w:jc w:val="left"/>
        <w:rPr>
          <w:sz w:val="24"/>
        </w:rPr>
      </w:pPr>
      <w:r>
        <w:rPr>
          <w:rFonts w:hint="eastAsia"/>
          <w:sz w:val="24"/>
        </w:rPr>
        <w:t>三、支出决算表</w:t>
      </w:r>
    </w:p>
    <w:p w14:paraId="1454585C">
      <w:pPr>
        <w:pStyle w:val="12"/>
        <w:adjustRightInd w:val="0"/>
        <w:snapToGrid w:val="0"/>
        <w:spacing w:line="440" w:lineRule="exact"/>
        <w:jc w:val="left"/>
        <w:rPr>
          <w:sz w:val="24"/>
        </w:rPr>
      </w:pPr>
      <w:r>
        <w:rPr>
          <w:rFonts w:hint="eastAsia"/>
          <w:sz w:val="24"/>
        </w:rPr>
        <w:t>四、财政拨款收入支出决算总表</w:t>
      </w:r>
    </w:p>
    <w:p w14:paraId="2AF9E1F4">
      <w:pPr>
        <w:pStyle w:val="12"/>
        <w:adjustRightInd w:val="0"/>
        <w:snapToGrid w:val="0"/>
        <w:spacing w:line="440" w:lineRule="exact"/>
        <w:jc w:val="left"/>
        <w:rPr>
          <w:sz w:val="24"/>
        </w:rPr>
      </w:pPr>
      <w:r>
        <w:rPr>
          <w:rFonts w:hint="eastAsia"/>
          <w:sz w:val="24"/>
        </w:rPr>
        <w:t>五、财政拨款支出决算明细表</w:t>
      </w:r>
    </w:p>
    <w:p w14:paraId="7A657A52">
      <w:pPr>
        <w:pStyle w:val="12"/>
        <w:adjustRightInd w:val="0"/>
        <w:snapToGrid w:val="0"/>
        <w:spacing w:line="440" w:lineRule="exact"/>
        <w:jc w:val="left"/>
        <w:rPr>
          <w:sz w:val="24"/>
        </w:rPr>
      </w:pPr>
      <w:r>
        <w:rPr>
          <w:rFonts w:hint="eastAsia"/>
          <w:sz w:val="24"/>
        </w:rPr>
        <w:t>六、一般公共预算财政拨款支出决算表</w:t>
      </w:r>
    </w:p>
    <w:p w14:paraId="0CA18D69">
      <w:pPr>
        <w:pStyle w:val="12"/>
        <w:adjustRightInd w:val="0"/>
        <w:snapToGrid w:val="0"/>
        <w:spacing w:line="440" w:lineRule="exact"/>
        <w:jc w:val="left"/>
        <w:rPr>
          <w:sz w:val="24"/>
        </w:rPr>
      </w:pPr>
      <w:r>
        <w:rPr>
          <w:rFonts w:hint="eastAsia"/>
          <w:sz w:val="24"/>
        </w:rPr>
        <w:t>七、一般公共预算财政拨款支出决算明细表</w:t>
      </w:r>
    </w:p>
    <w:p w14:paraId="12633060">
      <w:pPr>
        <w:pStyle w:val="12"/>
        <w:adjustRightInd w:val="0"/>
        <w:snapToGrid w:val="0"/>
        <w:spacing w:line="440" w:lineRule="exact"/>
        <w:jc w:val="left"/>
        <w:rPr>
          <w:sz w:val="24"/>
        </w:rPr>
      </w:pPr>
      <w:r>
        <w:rPr>
          <w:rFonts w:hint="eastAsia"/>
          <w:sz w:val="24"/>
        </w:rPr>
        <w:t>八、一般公共预算财政拨款基本支出决算明细表</w:t>
      </w:r>
    </w:p>
    <w:p w14:paraId="7924E4F5">
      <w:pPr>
        <w:pStyle w:val="12"/>
        <w:adjustRightInd w:val="0"/>
        <w:snapToGrid w:val="0"/>
        <w:spacing w:line="440" w:lineRule="exact"/>
        <w:jc w:val="left"/>
        <w:rPr>
          <w:sz w:val="24"/>
        </w:rPr>
      </w:pPr>
      <w:r>
        <w:rPr>
          <w:rFonts w:hint="eastAsia"/>
          <w:sz w:val="24"/>
        </w:rPr>
        <w:t>九、一般公共预算财政拨款项目支出决算表</w:t>
      </w:r>
    </w:p>
    <w:p w14:paraId="2371F61E">
      <w:pPr>
        <w:pStyle w:val="12"/>
        <w:adjustRightInd w:val="0"/>
        <w:snapToGrid w:val="0"/>
        <w:spacing w:line="440" w:lineRule="exact"/>
        <w:jc w:val="left"/>
        <w:rPr>
          <w:sz w:val="24"/>
        </w:rPr>
      </w:pPr>
      <w:r>
        <w:rPr>
          <w:rFonts w:hint="eastAsia"/>
          <w:sz w:val="24"/>
        </w:rPr>
        <w:t>十、政府性基金预算财政拨款收入支出决算表</w:t>
      </w:r>
    </w:p>
    <w:p w14:paraId="63F859CB">
      <w:pPr>
        <w:pStyle w:val="12"/>
        <w:adjustRightInd w:val="0"/>
        <w:snapToGrid w:val="0"/>
        <w:spacing w:line="440" w:lineRule="exact"/>
        <w:jc w:val="left"/>
        <w:rPr>
          <w:sz w:val="24"/>
        </w:rPr>
      </w:pPr>
      <w:r>
        <w:rPr>
          <w:rFonts w:hint="eastAsia"/>
          <w:sz w:val="24"/>
        </w:rPr>
        <w:t>十一、国有资本经营预算财政拨款收入支出决算表</w:t>
      </w:r>
    </w:p>
    <w:p w14:paraId="3B140CB4">
      <w:pPr>
        <w:pStyle w:val="12"/>
        <w:adjustRightInd w:val="0"/>
        <w:snapToGrid w:val="0"/>
        <w:spacing w:line="440" w:lineRule="exact"/>
        <w:jc w:val="left"/>
        <w:rPr>
          <w:sz w:val="24"/>
        </w:rPr>
      </w:pPr>
      <w:r>
        <w:rPr>
          <w:rFonts w:hint="eastAsia"/>
          <w:sz w:val="24"/>
        </w:rPr>
        <w:t>十二、国有资本经营预算财政拨款支出决算表</w:t>
      </w:r>
    </w:p>
    <w:p w14:paraId="23FBEDD5">
      <w:pPr>
        <w:pStyle w:val="12"/>
        <w:adjustRightInd w:val="0"/>
        <w:snapToGrid w:val="0"/>
        <w:spacing w:line="440" w:lineRule="exact"/>
        <w:jc w:val="left"/>
        <w:rPr>
          <w:sz w:val="24"/>
        </w:rPr>
      </w:pPr>
      <w:r>
        <w:rPr>
          <w:rFonts w:hint="eastAsia"/>
          <w:sz w:val="24"/>
        </w:rPr>
        <w:t>十三、财政拨款“三公”经费支出决算表</w:t>
      </w:r>
    </w:p>
    <w:p w14:paraId="0AD8AA39">
      <w:pPr>
        <w:widowControl/>
        <w:adjustRightInd w:val="0"/>
        <w:snapToGrid w:val="0"/>
        <w:spacing w:line="440" w:lineRule="exact"/>
        <w:ind w:firstLine="1320" w:firstLineChars="550"/>
        <w:jc w:val="left"/>
        <w:rPr>
          <w:rFonts w:ascii="仿宋" w:hAnsi="仿宋" w:eastAsia="仿宋"/>
          <w:sz w:val="24"/>
        </w:rPr>
      </w:pPr>
      <w:r>
        <w:rPr>
          <w:rFonts w:ascii="仿宋" w:hAnsi="仿宋" w:eastAsia="仿宋"/>
          <w:sz w:val="24"/>
        </w:rPr>
        <w:t>(注：</w:t>
      </w:r>
      <w:r>
        <w:rPr>
          <w:rFonts w:hint="eastAsia" w:ascii="仿宋" w:hAnsi="仿宋" w:eastAsia="仿宋"/>
          <w:sz w:val="24"/>
        </w:rPr>
        <w:t>请单位根据实际注明页码</w:t>
      </w:r>
      <w:r>
        <w:rPr>
          <w:rFonts w:ascii="仿宋" w:hAnsi="仿宋" w:eastAsia="仿宋"/>
          <w:sz w:val="24"/>
        </w:rPr>
        <w:t>)</w:t>
      </w:r>
    </w:p>
    <w:p w14:paraId="0C72DB82">
      <w:pPr>
        <w:widowControl/>
        <w:spacing w:line="440" w:lineRule="exact"/>
        <w:jc w:val="left"/>
        <w:rPr>
          <w:rFonts w:ascii="仿宋" w:hAnsi="仿宋" w:eastAsia="仿宋"/>
          <w:bCs/>
          <w:kern w:val="44"/>
          <w:sz w:val="24"/>
        </w:rPr>
      </w:pPr>
      <w:bookmarkStart w:id="14" w:name="_Toc15377196"/>
      <w:bookmarkStart w:id="15" w:name="_Toc15396599"/>
      <w:r>
        <w:rPr>
          <w:rFonts w:ascii="仿宋" w:hAnsi="仿宋" w:eastAsia="仿宋"/>
          <w:b/>
          <w:sz w:val="24"/>
        </w:rPr>
        <w:br w:type="page"/>
      </w:r>
    </w:p>
    <w:p w14:paraId="04C37D06">
      <w:pPr>
        <w:pStyle w:val="3"/>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4"/>
      <w:bookmarkEnd w:id="15"/>
    </w:p>
    <w:p w14:paraId="235A47FE">
      <w:pPr>
        <w:widowControl/>
        <w:jc w:val="left"/>
        <w:rPr>
          <w:rFonts w:ascii="黑体" w:eastAsia="黑体"/>
          <w:sz w:val="32"/>
          <w:szCs w:val="32"/>
        </w:rPr>
      </w:pPr>
    </w:p>
    <w:p w14:paraId="6B1F4D71">
      <w:pPr>
        <w:pStyle w:val="4"/>
        <w:numPr>
          <w:ilvl w:val="0"/>
          <w:numId w:val="1"/>
        </w:numPr>
        <w:rPr>
          <w:rStyle w:val="28"/>
          <w:rFonts w:ascii="黑体" w:hAnsi="黑体" w:eastAsia="黑体"/>
          <w:b w:val="0"/>
          <w:bCs w:val="0"/>
        </w:rPr>
      </w:pPr>
      <w:bookmarkStart w:id="16" w:name="_Toc15377197"/>
      <w:bookmarkStart w:id="17" w:name="_Toc15396600"/>
      <w:r>
        <w:rPr>
          <w:rStyle w:val="28"/>
          <w:rFonts w:hint="eastAsia" w:ascii="黑体" w:hAnsi="黑体" w:eastAsia="黑体"/>
          <w:b w:val="0"/>
          <w:bCs w:val="0"/>
        </w:rPr>
        <w:t>主要职责</w:t>
      </w:r>
    </w:p>
    <w:p w14:paraId="1F0051C4">
      <w:pPr>
        <w:ind w:firstLine="600" w:firstLineChars="200"/>
        <w:rPr>
          <w:rFonts w:hint="eastAsia"/>
          <w:lang w:eastAsia="zh-CN"/>
        </w:rPr>
      </w:pPr>
      <w:bookmarkStart w:id="18" w:name="_Toc26849"/>
      <w:bookmarkStart w:id="19" w:name="_Toc6306"/>
      <w:r>
        <w:rPr>
          <w:rFonts w:hint="eastAsia" w:ascii="仿宋_GB2312" w:eastAsia="仿宋_GB2312"/>
          <w:b w:val="0"/>
          <w:bCs w:val="0"/>
          <w:color w:val="auto"/>
          <w:sz w:val="30"/>
          <w:szCs w:val="30"/>
        </w:rPr>
        <w:t>贯彻执行党的卫生工作方针政策和国家卫生法律、法规，履行公共卫生、基本医疗和预防保健服务，同时，受县级卫生部门的委托，承担辖区范围内的公共卫生管理工作，负责对村级卫生组织的管理和技术指导以及乡村医生的培训等。</w:t>
      </w:r>
      <w:bookmarkEnd w:id="18"/>
      <w:bookmarkEnd w:id="19"/>
    </w:p>
    <w:p w14:paraId="70E86FD8"/>
    <w:p w14:paraId="1C5C556E">
      <w:pPr>
        <w:pStyle w:val="4"/>
        <w:numPr>
          <w:ilvl w:val="0"/>
          <w:numId w:val="1"/>
        </w:numPr>
        <w:ind w:left="0" w:leftChars="0" w:firstLine="0" w:firstLineChars="0"/>
        <w:rPr>
          <w:rFonts w:hint="eastAsia" w:ascii="黑体" w:hAnsi="黑体" w:eastAsia="黑体"/>
          <w:b w:val="0"/>
        </w:rPr>
      </w:pPr>
      <w:r>
        <w:rPr>
          <w:rFonts w:hint="eastAsia" w:ascii="黑体" w:hAnsi="黑体" w:eastAsia="黑体"/>
          <w:b w:val="0"/>
        </w:rPr>
        <w:t>机构设置</w:t>
      </w:r>
    </w:p>
    <w:p w14:paraId="0242428D">
      <w:pPr>
        <w:ind w:firstLine="800" w:firstLineChars="25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大竹县安吉乡卫生院属于卫计局部门下属的二级预算单位，</w:t>
      </w:r>
      <w:r>
        <w:rPr>
          <w:rFonts w:hint="eastAsia" w:ascii="仿宋" w:hAnsi="仿宋" w:eastAsia="仿宋"/>
          <w:color w:val="auto"/>
          <w:sz w:val="32"/>
          <w:szCs w:val="32"/>
          <w:highlight w:val="none"/>
        </w:rPr>
        <w:t>下属</w:t>
      </w:r>
      <w:r>
        <w:rPr>
          <w:rFonts w:hint="eastAsia" w:ascii="仿宋" w:hAnsi="仿宋" w:eastAsia="仿宋"/>
          <w:color w:val="auto"/>
          <w:sz w:val="32"/>
          <w:szCs w:val="32"/>
          <w:highlight w:val="none"/>
          <w:lang w:val="en-US" w:eastAsia="zh-CN"/>
        </w:rPr>
        <w:t>二</w:t>
      </w:r>
      <w:r>
        <w:rPr>
          <w:rFonts w:hint="eastAsia" w:ascii="仿宋" w:hAnsi="仿宋" w:eastAsia="仿宋"/>
          <w:color w:val="auto"/>
          <w:sz w:val="32"/>
          <w:szCs w:val="32"/>
          <w:highlight w:val="none"/>
        </w:rPr>
        <w:t>级</w:t>
      </w:r>
      <w:r>
        <w:rPr>
          <w:rFonts w:hint="eastAsia" w:ascii="仿宋" w:hAnsi="仿宋" w:eastAsia="仿宋"/>
          <w:color w:val="auto"/>
          <w:sz w:val="32"/>
          <w:szCs w:val="32"/>
          <w:highlight w:val="none"/>
          <w:lang w:eastAsia="zh-CN"/>
        </w:rPr>
        <w:t>预算</w:t>
      </w:r>
      <w:r>
        <w:rPr>
          <w:rFonts w:hint="eastAsia" w:ascii="仿宋" w:hAnsi="仿宋" w:eastAsia="仿宋"/>
          <w:color w:val="auto"/>
          <w:sz w:val="32"/>
          <w:szCs w:val="32"/>
          <w:highlight w:val="none"/>
        </w:rPr>
        <w:t>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个，其中行政单位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个，参照公务员法管理的事业单位</w:t>
      </w:r>
      <w:r>
        <w:rPr>
          <w:rFonts w:hint="eastAsia" w:ascii="仿宋" w:hAnsi="仿宋" w:eastAsia="仿宋"/>
          <w:bCs/>
          <w:color w:val="auto"/>
          <w:sz w:val="32"/>
          <w:szCs w:val="32"/>
          <w:highlight w:val="none"/>
          <w:lang w:val="en-US" w:eastAsia="zh-CN"/>
        </w:rPr>
        <w:t>0</w:t>
      </w:r>
      <w:r>
        <w:rPr>
          <w:rFonts w:hint="eastAsia" w:ascii="仿宋" w:hAnsi="仿宋" w:eastAsia="仿宋"/>
          <w:color w:val="auto"/>
          <w:sz w:val="32"/>
          <w:szCs w:val="32"/>
          <w:highlight w:val="none"/>
        </w:rPr>
        <w:t>个，其他事业单位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w:t>
      </w:r>
    </w:p>
    <w:p w14:paraId="7C729082">
      <w:pPr>
        <w:pStyle w:val="2"/>
        <w:adjustRightInd w:val="0"/>
        <w:snapToGrid w:val="0"/>
        <w:spacing w:before="93" w:line="600" w:lineRule="exact"/>
        <w:ind w:firstLine="672" w:firstLineChars="210"/>
        <w:rPr>
          <w:rFonts w:ascii="仿宋" w:hAnsi="仿宋" w:eastAsia="仿宋"/>
          <w:color w:val="auto"/>
          <w:sz w:val="32"/>
          <w:szCs w:val="32"/>
          <w:highlight w:val="none"/>
        </w:rPr>
      </w:pPr>
      <w:r>
        <w:rPr>
          <w:rFonts w:hint="eastAsia" w:ascii="仿宋" w:hAnsi="仿宋" w:eastAsia="仿宋"/>
          <w:color w:val="auto"/>
          <w:sz w:val="32"/>
          <w:szCs w:val="32"/>
          <w:highlight w:val="none"/>
        </w:rPr>
        <w:t>纳入</w:t>
      </w:r>
      <w:r>
        <w:rPr>
          <w:rFonts w:hint="eastAsia" w:ascii="仿宋" w:hAnsi="仿宋" w:eastAsia="仿宋"/>
          <w:color w:val="auto"/>
          <w:sz w:val="32"/>
          <w:szCs w:val="32"/>
          <w:highlight w:val="none"/>
          <w:lang w:val="en-US" w:eastAsia="zh-CN"/>
        </w:rPr>
        <w:t>大竹县安吉卫生院</w:t>
      </w: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年度部门决算编制范围的二级预算单位包括：</w:t>
      </w:r>
    </w:p>
    <w:p w14:paraId="44054714">
      <w:pPr>
        <w:pStyle w:val="2"/>
        <w:numPr>
          <w:ilvl w:val="0"/>
          <w:numId w:val="2"/>
        </w:numPr>
        <w:adjustRightInd w:val="0"/>
        <w:snapToGrid w:val="0"/>
        <w:spacing w:before="93" w:line="600" w:lineRule="exact"/>
        <w:outlineLvl w:val="2"/>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无</w:t>
      </w:r>
    </w:p>
    <w:p w14:paraId="69AA12EC">
      <w:pPr>
        <w:pStyle w:val="2"/>
        <w:keepNext w:val="0"/>
        <w:keepLines w:val="0"/>
        <w:pageBreakBefore w:val="0"/>
        <w:widowControl w:val="0"/>
        <w:numPr>
          <w:ilvl w:val="0"/>
          <w:numId w:val="2"/>
        </w:numPr>
        <w:kinsoku/>
        <w:wordWrap/>
        <w:overflowPunct/>
        <w:topLinePunct w:val="0"/>
        <w:autoSpaceDE/>
        <w:autoSpaceDN/>
        <w:bidi w:val="0"/>
        <w:adjustRightInd w:val="0"/>
        <w:snapToGrid w:val="0"/>
        <w:spacing w:before="93" w:line="360" w:lineRule="auto"/>
        <w:ind w:left="1151" w:hanging="482"/>
        <w:textAlignment w:val="auto"/>
        <w:outlineLvl w:val="2"/>
        <w:rPr>
          <w:rFonts w:hint="eastAsia" w:eastAsia="仿宋_GB2312"/>
          <w:lang w:val="en-US" w:eastAsia="zh-CN"/>
        </w:rPr>
      </w:pPr>
      <w:bookmarkStart w:id="20" w:name="_Toc15378450"/>
      <w:bookmarkStart w:id="21" w:name="_Toc15306277"/>
      <w:bookmarkStart w:id="22" w:name="_Toc15377434"/>
      <w:bookmarkStart w:id="23" w:name="_Toc15377203"/>
      <w:r>
        <w:rPr>
          <w:rFonts w:hint="eastAsia" w:ascii="仿宋" w:hAnsi="仿宋" w:eastAsia="仿宋"/>
          <w:color w:val="auto"/>
          <w:sz w:val="32"/>
          <w:szCs w:val="32"/>
          <w:highlight w:val="none"/>
          <w:lang w:val="en-US" w:eastAsia="zh-CN"/>
        </w:rPr>
        <w:t>无</w:t>
      </w:r>
      <w:bookmarkEnd w:id="20"/>
      <w:bookmarkEnd w:id="21"/>
      <w:bookmarkEnd w:id="22"/>
      <w:bookmarkEnd w:id="23"/>
    </w:p>
    <w:p w14:paraId="0DBC39D9">
      <w:pPr>
        <w:pStyle w:val="2"/>
        <w:keepNext w:val="0"/>
        <w:keepLines w:val="0"/>
        <w:pageBreakBefore w:val="0"/>
        <w:widowControl w:val="0"/>
        <w:numPr>
          <w:ilvl w:val="0"/>
          <w:numId w:val="2"/>
        </w:numPr>
        <w:kinsoku/>
        <w:wordWrap/>
        <w:overflowPunct/>
        <w:topLinePunct w:val="0"/>
        <w:autoSpaceDE/>
        <w:autoSpaceDN/>
        <w:bidi w:val="0"/>
        <w:adjustRightInd w:val="0"/>
        <w:snapToGrid w:val="0"/>
        <w:spacing w:before="93" w:line="360" w:lineRule="auto"/>
        <w:ind w:left="1151" w:hanging="482"/>
        <w:textAlignment w:val="auto"/>
        <w:outlineLvl w:val="2"/>
        <w:rPr>
          <w:rFonts w:hint="eastAsia" w:eastAsia="仿宋_GB2312"/>
          <w:lang w:val="en-US" w:eastAsia="zh-CN"/>
        </w:rPr>
      </w:pPr>
      <w:r>
        <w:rPr>
          <w:rFonts w:hint="eastAsia" w:ascii="仿宋" w:hAnsi="仿宋" w:eastAsia="仿宋"/>
          <w:color w:val="auto"/>
          <w:sz w:val="32"/>
          <w:szCs w:val="32"/>
          <w:highlight w:val="none"/>
          <w:lang w:val="en-US" w:eastAsia="zh-CN"/>
        </w:rPr>
        <w:t>无</w:t>
      </w:r>
    </w:p>
    <w:p w14:paraId="4FFC9EAC">
      <w:pPr>
        <w:numPr>
          <w:ilvl w:val="0"/>
          <w:numId w:val="0"/>
        </w:numPr>
        <w:ind w:leftChars="0"/>
      </w:pPr>
    </w:p>
    <w:bookmarkEnd w:id="16"/>
    <w:bookmarkEnd w:id="17"/>
    <w:p w14:paraId="2D168F5D">
      <w:pPr>
        <w:widowControl/>
        <w:jc w:val="left"/>
        <w:rPr>
          <w:rFonts w:ascii="仿宋" w:hAnsi="仿宋" w:eastAsia="仿宋"/>
          <w:kern w:val="0"/>
          <w:sz w:val="32"/>
          <w:szCs w:val="32"/>
        </w:rPr>
      </w:pPr>
      <w:r>
        <w:rPr>
          <w:rFonts w:ascii="仿宋" w:hAnsi="仿宋" w:eastAsia="仿宋"/>
          <w:sz w:val="32"/>
          <w:szCs w:val="32"/>
        </w:rPr>
        <w:br w:type="page"/>
      </w:r>
    </w:p>
    <w:p w14:paraId="6F833825">
      <w:pPr>
        <w:pStyle w:val="3"/>
        <w:ind w:right="440"/>
        <w:jc w:val="center"/>
        <w:rPr>
          <w:rStyle w:val="27"/>
          <w:rFonts w:ascii="黑体" w:hAnsi="黑体" w:eastAsia="黑体"/>
          <w:b w:val="0"/>
          <w:bCs/>
        </w:rPr>
      </w:pPr>
      <w:bookmarkStart w:id="24" w:name="_Toc15377204"/>
      <w:bookmarkStart w:id="25" w:name="_Toc15396602"/>
      <w:r>
        <w:rPr>
          <w:rFonts w:hint="eastAsia" w:ascii="黑体" w:hAnsi="黑体" w:eastAsia="黑体"/>
          <w:b w:val="0"/>
        </w:rPr>
        <w:t>第二部分 2023年度</w:t>
      </w:r>
      <w:r>
        <w:rPr>
          <w:rStyle w:val="27"/>
          <w:rFonts w:hint="eastAsia" w:ascii="黑体" w:hAnsi="黑体" w:eastAsia="黑体"/>
          <w:b w:val="0"/>
          <w:bCs/>
        </w:rPr>
        <w:t>单位决算情况说明</w:t>
      </w:r>
      <w:bookmarkEnd w:id="24"/>
      <w:bookmarkEnd w:id="25"/>
    </w:p>
    <w:p w14:paraId="7BB448E2"/>
    <w:p w14:paraId="7E6792B0">
      <w:pPr>
        <w:pStyle w:val="26"/>
        <w:numPr>
          <w:ilvl w:val="0"/>
          <w:numId w:val="3"/>
        </w:numPr>
        <w:spacing w:line="600" w:lineRule="exact"/>
        <w:ind w:firstLineChars="0"/>
        <w:outlineLvl w:val="1"/>
        <w:rPr>
          <w:rStyle w:val="28"/>
          <w:rFonts w:ascii="黑体" w:hAnsi="黑体" w:eastAsia="黑体"/>
          <w:b w:val="0"/>
        </w:rPr>
      </w:pPr>
      <w:bookmarkStart w:id="26" w:name="_Toc15396603"/>
      <w:bookmarkStart w:id="27" w:name="_Toc15377205"/>
      <w:r>
        <w:rPr>
          <w:rFonts w:hint="eastAsia" w:ascii="黑体" w:hAnsi="黑体" w:eastAsia="黑体"/>
          <w:sz w:val="32"/>
          <w:szCs w:val="32"/>
        </w:rPr>
        <w:t>收</w:t>
      </w:r>
      <w:r>
        <w:rPr>
          <w:rStyle w:val="28"/>
          <w:rFonts w:hint="eastAsia" w:ascii="黑体" w:hAnsi="黑体" w:eastAsia="黑体"/>
          <w:b w:val="0"/>
        </w:rPr>
        <w:t>入支出决算总体情况说明</w:t>
      </w:r>
      <w:bookmarkEnd w:id="26"/>
      <w:bookmarkEnd w:id="27"/>
    </w:p>
    <w:p w14:paraId="59733D51">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330.94</w:t>
      </w:r>
      <w:r>
        <w:rPr>
          <w:rFonts w:hint="eastAsia" w:ascii="仿宋" w:hAnsi="仿宋" w:eastAsia="仿宋"/>
          <w:sz w:val="32"/>
          <w:szCs w:val="32"/>
        </w:rPr>
        <w:t>万元。与2022年度相比，收、支总计各增加</w:t>
      </w:r>
      <w:r>
        <w:rPr>
          <w:rFonts w:hint="eastAsia" w:ascii="仿宋" w:hAnsi="仿宋" w:eastAsia="仿宋"/>
          <w:sz w:val="32"/>
          <w:szCs w:val="32"/>
          <w:lang w:val="en-US" w:eastAsia="zh-CN"/>
        </w:rPr>
        <w:t>49.36</w:t>
      </w:r>
      <w:r>
        <w:rPr>
          <w:rFonts w:hint="eastAsia" w:ascii="仿宋" w:hAnsi="仿宋" w:eastAsia="仿宋"/>
          <w:sz w:val="32"/>
          <w:szCs w:val="32"/>
        </w:rPr>
        <w:t>万元，增长</w:t>
      </w:r>
      <w:r>
        <w:rPr>
          <w:rFonts w:hint="eastAsia" w:ascii="仿宋" w:hAnsi="仿宋" w:eastAsia="仿宋"/>
          <w:sz w:val="32"/>
          <w:szCs w:val="32"/>
          <w:lang w:val="en-US" w:eastAsia="zh-CN"/>
        </w:rPr>
        <w:t>17.5</w:t>
      </w:r>
      <w:r>
        <w:rPr>
          <w:rFonts w:ascii="仿宋" w:hAnsi="仿宋" w:eastAsia="仿宋"/>
          <w:sz w:val="32"/>
          <w:szCs w:val="32"/>
        </w:rPr>
        <w:t>%</w:t>
      </w:r>
      <w:r>
        <w:rPr>
          <w:rFonts w:hint="eastAsia" w:ascii="仿宋" w:hAnsi="仿宋" w:eastAsia="仿宋"/>
          <w:sz w:val="32"/>
          <w:szCs w:val="32"/>
        </w:rPr>
        <w:t>。主要变动原因是……。</w:t>
      </w:r>
    </w:p>
    <w:p w14:paraId="0B48630C">
      <w:pPr>
        <w:pStyle w:val="2"/>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5256530" cy="2988310"/>
            <wp:effectExtent l="5080" t="4445" r="15240" b="1714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5C00BC6">
      <w:pPr>
        <w:pStyle w:val="2"/>
      </w:pPr>
    </w:p>
    <w:p w14:paraId="50AFEC9A">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14:paraId="3058F47C">
      <w:pPr>
        <w:spacing w:line="600" w:lineRule="exact"/>
        <w:ind w:firstLine="640" w:firstLineChars="200"/>
        <w:jc w:val="left"/>
        <w:rPr>
          <w:rFonts w:ascii="仿宋_GB2312" w:eastAsia="仿宋_GB2312"/>
          <w:sz w:val="32"/>
          <w:szCs w:val="32"/>
        </w:rPr>
      </w:pPr>
    </w:p>
    <w:p w14:paraId="264EA0D9">
      <w:pPr>
        <w:pStyle w:val="26"/>
        <w:numPr>
          <w:ilvl w:val="0"/>
          <w:numId w:val="3"/>
        </w:numPr>
        <w:spacing w:line="600" w:lineRule="exact"/>
        <w:ind w:firstLineChars="0"/>
        <w:outlineLvl w:val="1"/>
        <w:rPr>
          <w:rStyle w:val="28"/>
          <w:rFonts w:ascii="黑体" w:hAnsi="黑体" w:eastAsia="黑体"/>
          <w:b w:val="0"/>
        </w:rPr>
      </w:pPr>
      <w:bookmarkStart w:id="28" w:name="_Toc15396604"/>
      <w:bookmarkStart w:id="29" w:name="_Toc15377206"/>
      <w:r>
        <w:rPr>
          <w:rFonts w:hint="eastAsia" w:ascii="黑体" w:hAnsi="黑体" w:eastAsia="黑体"/>
          <w:sz w:val="32"/>
          <w:szCs w:val="32"/>
        </w:rPr>
        <w:t>收</w:t>
      </w:r>
      <w:r>
        <w:rPr>
          <w:rStyle w:val="28"/>
          <w:rFonts w:hint="eastAsia" w:ascii="黑体" w:hAnsi="黑体" w:eastAsia="黑体"/>
          <w:b w:val="0"/>
        </w:rPr>
        <w:t>入决算情况说明</w:t>
      </w:r>
      <w:bookmarkEnd w:id="28"/>
      <w:bookmarkEnd w:id="29"/>
    </w:p>
    <w:p w14:paraId="4A230D15">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hint="eastAsia" w:ascii="仿宋" w:hAnsi="仿宋" w:eastAsia="仿宋"/>
          <w:b/>
          <w:sz w:val="32"/>
          <w:szCs w:val="32"/>
          <w:lang w:val="en-US" w:eastAsia="zh-CN"/>
        </w:rPr>
        <w:t>330.94</w:t>
      </w:r>
      <w:r>
        <w:rPr>
          <w:rFonts w:hint="eastAsia" w:ascii="仿宋" w:hAnsi="仿宋" w:eastAsia="仿宋"/>
          <w:sz w:val="32"/>
          <w:szCs w:val="32"/>
        </w:rPr>
        <w:t>万元，其中：一般公共预算财政拨款收入</w:t>
      </w:r>
      <w:r>
        <w:rPr>
          <w:rFonts w:ascii="仿宋" w:hAnsi="仿宋" w:eastAsia="仿宋"/>
          <w:b/>
          <w:sz w:val="32"/>
          <w:szCs w:val="32"/>
        </w:rPr>
        <w:t>39.46</w:t>
      </w:r>
      <w:r>
        <w:rPr>
          <w:rFonts w:hint="eastAsia" w:ascii="仿宋" w:hAnsi="仿宋" w:eastAsia="仿宋"/>
          <w:sz w:val="32"/>
          <w:szCs w:val="32"/>
        </w:rPr>
        <w:t>万元，占</w:t>
      </w:r>
      <w:r>
        <w:rPr>
          <w:rFonts w:hint="eastAsia" w:ascii="仿宋" w:hAnsi="仿宋" w:eastAsia="仿宋"/>
          <w:b/>
          <w:sz w:val="32"/>
          <w:szCs w:val="32"/>
          <w:lang w:val="en-US" w:eastAsia="zh-CN"/>
        </w:rPr>
        <w:t>11.92</w:t>
      </w:r>
      <w:r>
        <w:rPr>
          <w:rFonts w:ascii="仿宋" w:hAnsi="仿宋" w:eastAsia="仿宋"/>
          <w:b/>
          <w:sz w:val="32"/>
          <w:szCs w:val="32"/>
        </w:rPr>
        <w:t>%</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272.79</w:t>
      </w:r>
      <w:r>
        <w:rPr>
          <w:rFonts w:hint="eastAsia" w:ascii="仿宋" w:hAnsi="仿宋" w:eastAsia="仿宋"/>
          <w:sz w:val="32"/>
          <w:szCs w:val="32"/>
        </w:rPr>
        <w:t>万元，占</w:t>
      </w:r>
      <w:r>
        <w:rPr>
          <w:rFonts w:hint="eastAsia" w:ascii="仿宋" w:hAnsi="仿宋" w:eastAsia="仿宋"/>
          <w:b/>
          <w:sz w:val="32"/>
          <w:szCs w:val="32"/>
          <w:lang w:val="en-US" w:eastAsia="zh-CN"/>
        </w:rPr>
        <w:t>82.43</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b/>
          <w:sz w:val="32"/>
          <w:szCs w:val="32"/>
          <w:lang w:val="en-US" w:eastAsia="zh-CN"/>
        </w:rPr>
        <w:t>18.69</w:t>
      </w:r>
      <w:r>
        <w:rPr>
          <w:rFonts w:hint="eastAsia" w:ascii="仿宋" w:hAnsi="仿宋" w:eastAsia="仿宋"/>
          <w:sz w:val="32"/>
          <w:szCs w:val="32"/>
        </w:rPr>
        <w:t>万元，占</w:t>
      </w:r>
      <w:r>
        <w:rPr>
          <w:rFonts w:hint="eastAsia" w:ascii="仿宋" w:hAnsi="仿宋" w:eastAsia="仿宋"/>
          <w:b/>
          <w:sz w:val="32"/>
          <w:szCs w:val="32"/>
          <w:lang w:val="en-US" w:eastAsia="zh-CN"/>
        </w:rPr>
        <w:t>5.65</w:t>
      </w:r>
      <w:r>
        <w:rPr>
          <w:rFonts w:ascii="仿宋" w:hAnsi="仿宋" w:eastAsia="仿宋"/>
          <w:sz w:val="32"/>
          <w:szCs w:val="32"/>
        </w:rPr>
        <w:t>%</w:t>
      </w:r>
    </w:p>
    <w:p w14:paraId="0F4DCDD9">
      <w:pPr>
        <w:pStyle w:val="2"/>
      </w:pPr>
      <w:r>
        <w:rPr>
          <w:rFonts w:hint="eastAsia" w:ascii="仿宋" w:hAnsi="仿宋" w:eastAsia="仿宋"/>
          <w:color w:val="auto"/>
          <w:sz w:val="32"/>
          <w:szCs w:val="32"/>
          <w:highlight w:val="none"/>
          <w:lang w:val="en-US" w:eastAsia="zh-CN"/>
        </w:rPr>
        <w:t xml:space="preserve">      </w:t>
      </w:r>
      <w:r>
        <w:drawing>
          <wp:inline distT="0" distB="0" distL="114300" distR="114300">
            <wp:extent cx="4321810" cy="2399665"/>
            <wp:effectExtent l="5080" t="4445" r="16510" b="1524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01B383C">
      <w:pPr>
        <w:spacing w:line="600" w:lineRule="exact"/>
        <w:ind w:firstLine="1920" w:firstLineChars="600"/>
        <w:rPr>
          <w:rFonts w:ascii="仿宋" w:hAnsi="仿宋" w:eastAsia="仿宋"/>
          <w:sz w:val="32"/>
          <w:szCs w:val="32"/>
        </w:rPr>
      </w:pPr>
      <w:r>
        <w:rPr>
          <w:rFonts w:hint="eastAsia" w:ascii="仿宋" w:hAnsi="仿宋" w:eastAsia="仿宋"/>
          <w:sz w:val="32"/>
          <w:szCs w:val="32"/>
        </w:rPr>
        <w:t>（图2：收入决算结构图）（饼状图）</w:t>
      </w:r>
    </w:p>
    <w:p w14:paraId="7B166D54">
      <w:pPr>
        <w:spacing w:line="600" w:lineRule="exact"/>
        <w:ind w:firstLine="640" w:firstLineChars="200"/>
        <w:rPr>
          <w:rFonts w:ascii="仿宋_GB2312" w:eastAsia="仿宋_GB2312"/>
          <w:sz w:val="32"/>
          <w:szCs w:val="32"/>
        </w:rPr>
      </w:pPr>
    </w:p>
    <w:p w14:paraId="1CD2A3C9">
      <w:pPr>
        <w:pStyle w:val="26"/>
        <w:numPr>
          <w:ilvl w:val="0"/>
          <w:numId w:val="3"/>
        </w:numPr>
        <w:spacing w:line="600" w:lineRule="exact"/>
        <w:ind w:firstLineChars="0"/>
        <w:outlineLvl w:val="1"/>
        <w:rPr>
          <w:rStyle w:val="28"/>
          <w:rFonts w:ascii="黑体" w:hAnsi="黑体" w:eastAsia="黑体"/>
          <w:b w:val="0"/>
        </w:rPr>
      </w:pPr>
      <w:bookmarkStart w:id="30" w:name="_Toc15377207"/>
      <w:bookmarkStart w:id="31" w:name="_Toc15396605"/>
      <w:r>
        <w:rPr>
          <w:rFonts w:hint="eastAsia" w:ascii="黑体" w:hAnsi="黑体" w:eastAsia="黑体"/>
          <w:sz w:val="32"/>
          <w:szCs w:val="32"/>
        </w:rPr>
        <w:t>支</w:t>
      </w:r>
      <w:r>
        <w:rPr>
          <w:rStyle w:val="28"/>
          <w:rFonts w:hint="eastAsia" w:ascii="黑体" w:hAnsi="黑体" w:eastAsia="黑体"/>
          <w:b w:val="0"/>
        </w:rPr>
        <w:t>出决算情况说明</w:t>
      </w:r>
      <w:bookmarkEnd w:id="30"/>
      <w:bookmarkEnd w:id="31"/>
    </w:p>
    <w:p w14:paraId="29B7B80D">
      <w:pPr>
        <w:spacing w:line="600" w:lineRule="exact"/>
        <w:ind w:firstLine="640" w:firstLineChars="200"/>
        <w:outlineLvl w:val="1"/>
        <w:rPr>
          <w:rFonts w:ascii="仿宋" w:hAnsi="仿宋" w:eastAsia="仿宋"/>
          <w:sz w:val="32"/>
          <w:szCs w:val="32"/>
          <w:shd w:val="pct10" w:color="auto" w:fill="FFFFFF"/>
        </w:rPr>
      </w:pPr>
      <w:r>
        <w:rPr>
          <w:rFonts w:hint="eastAsia" w:ascii="仿宋" w:hAnsi="仿宋" w:eastAsia="仿宋"/>
          <w:sz w:val="32"/>
          <w:szCs w:val="32"/>
        </w:rPr>
        <w:t>2023年度本年支出合计</w:t>
      </w:r>
      <w:r>
        <w:rPr>
          <w:rFonts w:ascii="仿宋" w:hAnsi="仿宋" w:eastAsia="仿宋"/>
          <w:b/>
          <w:sz w:val="32"/>
          <w:szCs w:val="32"/>
        </w:rPr>
        <w:t>321.59</w:t>
      </w:r>
      <w:r>
        <w:rPr>
          <w:rFonts w:hint="eastAsia" w:ascii="仿宋" w:hAnsi="仿宋" w:eastAsia="仿宋"/>
          <w:sz w:val="32"/>
          <w:szCs w:val="32"/>
        </w:rPr>
        <w:t>万元，其中：基本支出</w:t>
      </w:r>
      <w:r>
        <w:rPr>
          <w:rFonts w:ascii="仿宋" w:hAnsi="仿宋" w:eastAsia="仿宋"/>
          <w:b/>
          <w:sz w:val="32"/>
          <w:szCs w:val="32"/>
        </w:rPr>
        <w:t>321.59</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14:paraId="79E0ADFF">
      <w:pPr>
        <w:pStyle w:val="2"/>
        <w:rPr>
          <w:rFonts w:ascii="仿宋" w:hAnsi="仿宋" w:eastAsia="仿宋"/>
          <w:sz w:val="32"/>
          <w:szCs w:val="32"/>
          <w:shd w:val="pct10" w:color="auto" w:fill="FFFFFF"/>
        </w:rPr>
      </w:pP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lang w:eastAsia="zh-CN"/>
        </w:rPr>
        <w:drawing>
          <wp:inline distT="0" distB="0" distL="114300" distR="114300">
            <wp:extent cx="3819525" cy="2265045"/>
            <wp:effectExtent l="4445" t="4445" r="16510" b="1651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AF9EB1E">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14:paraId="5AFA3AC0">
      <w:pPr>
        <w:spacing w:line="600" w:lineRule="exact"/>
        <w:ind w:firstLine="640" w:firstLineChars="200"/>
        <w:rPr>
          <w:rFonts w:ascii="仿宋_GB2312" w:eastAsia="仿宋_GB2312"/>
          <w:sz w:val="32"/>
          <w:szCs w:val="32"/>
        </w:rPr>
      </w:pPr>
    </w:p>
    <w:p w14:paraId="0E9711A3">
      <w:pPr>
        <w:spacing w:line="600" w:lineRule="exact"/>
        <w:ind w:firstLine="640" w:firstLineChars="200"/>
        <w:outlineLvl w:val="1"/>
        <w:rPr>
          <w:rStyle w:val="28"/>
          <w:rFonts w:ascii="黑体" w:hAnsi="黑体" w:eastAsia="黑体"/>
          <w:b w:val="0"/>
        </w:rPr>
      </w:pPr>
      <w:bookmarkStart w:id="32" w:name="_Toc15396606"/>
      <w:bookmarkStart w:id="33" w:name="_Toc15377208"/>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32"/>
      <w:bookmarkEnd w:id="33"/>
    </w:p>
    <w:p w14:paraId="6219CEAB">
      <w:pPr>
        <w:spacing w:line="600" w:lineRule="exact"/>
        <w:ind w:firstLine="640"/>
        <w:rPr>
          <w:rFonts w:hint="eastAsia" w:ascii="仿宋" w:hAnsi="仿宋" w:eastAsia="仿宋"/>
          <w:color w:val="auto"/>
          <w:sz w:val="32"/>
          <w:szCs w:val="32"/>
          <w:highlight w:val="none"/>
          <w:lang w:eastAsia="zh-CN"/>
        </w:rPr>
      </w:pPr>
      <w:r>
        <w:rPr>
          <w:rFonts w:hint="eastAsia" w:ascii="仿宋" w:hAnsi="仿宋" w:eastAsia="仿宋"/>
          <w:sz w:val="32"/>
          <w:szCs w:val="32"/>
        </w:rPr>
        <w:t>2023年度财政拨款收、支总计均为</w:t>
      </w:r>
      <w:r>
        <w:rPr>
          <w:rFonts w:ascii="仿宋" w:hAnsi="仿宋" w:eastAsia="仿宋"/>
          <w:b/>
          <w:sz w:val="32"/>
          <w:szCs w:val="32"/>
        </w:rPr>
        <w:t>39.46</w:t>
      </w:r>
      <w:r>
        <w:rPr>
          <w:rFonts w:hint="eastAsia" w:ascii="仿宋" w:hAnsi="仿宋" w:eastAsia="仿宋"/>
          <w:sz w:val="32"/>
          <w:szCs w:val="32"/>
        </w:rPr>
        <w:t>万元。与2022年度相比，财政拨款收、支总计各增加</w:t>
      </w:r>
      <w:r>
        <w:rPr>
          <w:rFonts w:hint="eastAsia" w:ascii="仿宋" w:hAnsi="仿宋" w:eastAsia="仿宋"/>
          <w:sz w:val="32"/>
          <w:szCs w:val="32"/>
          <w:lang w:val="en-US" w:eastAsia="zh-CN"/>
        </w:rPr>
        <w:t>39.46</w:t>
      </w:r>
      <w:r>
        <w:rPr>
          <w:rFonts w:hint="eastAsia" w:ascii="仿宋" w:hAnsi="仿宋" w:eastAsia="仿宋"/>
          <w:sz w:val="32"/>
          <w:szCs w:val="32"/>
        </w:rPr>
        <w:t>万元，增长</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。主要变动原因</w:t>
      </w:r>
      <w:r>
        <w:rPr>
          <w:rFonts w:hint="eastAsia" w:ascii="仿宋" w:hAnsi="仿宋" w:eastAsia="仿宋"/>
          <w:color w:val="auto"/>
          <w:sz w:val="32"/>
          <w:szCs w:val="32"/>
          <w:highlight w:val="none"/>
        </w:rPr>
        <w:t>是</w:t>
      </w:r>
      <w:r>
        <w:rPr>
          <w:rFonts w:hint="eastAsia" w:ascii="仿宋" w:hAnsi="仿宋" w:eastAsia="仿宋"/>
          <w:color w:val="auto"/>
          <w:sz w:val="32"/>
          <w:szCs w:val="32"/>
          <w:highlight w:val="none"/>
          <w:lang w:val="en-US" w:eastAsia="zh-CN"/>
        </w:rPr>
        <w:t>2022年乡医院没有使用一体化系统，一般公共预算财政拨款收入由主管局统一收支</w:t>
      </w:r>
      <w:r>
        <w:rPr>
          <w:rFonts w:hint="eastAsia" w:ascii="仿宋" w:hAnsi="仿宋" w:eastAsia="仿宋"/>
          <w:color w:val="auto"/>
          <w:sz w:val="32"/>
          <w:szCs w:val="32"/>
          <w:highlight w:val="none"/>
          <w:lang w:eastAsia="zh-CN"/>
        </w:rPr>
        <w:t>。</w:t>
      </w:r>
    </w:p>
    <w:p w14:paraId="42F0C9BA">
      <w:pPr>
        <w:pStyle w:val="2"/>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5256530" cy="2988310"/>
            <wp:effectExtent l="5080" t="4445" r="11430" b="952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62C1D51">
      <w:pPr>
        <w:spacing w:line="600" w:lineRule="exact"/>
        <w:rPr>
          <w:rFonts w:ascii="仿宋" w:hAnsi="仿宋" w:eastAsia="仿宋"/>
          <w:sz w:val="32"/>
          <w:szCs w:val="32"/>
        </w:rPr>
      </w:pPr>
    </w:p>
    <w:p w14:paraId="77CC761F">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14:paraId="581E1E44">
      <w:pPr>
        <w:spacing w:line="600" w:lineRule="exact"/>
        <w:ind w:firstLine="640"/>
        <w:rPr>
          <w:rFonts w:ascii="仿宋" w:hAnsi="仿宋" w:eastAsia="仿宋"/>
          <w:b/>
          <w:sz w:val="32"/>
          <w:szCs w:val="32"/>
        </w:rPr>
      </w:pPr>
    </w:p>
    <w:p w14:paraId="7CB97833">
      <w:pPr>
        <w:spacing w:line="600" w:lineRule="exact"/>
        <w:ind w:firstLine="640" w:firstLineChars="200"/>
        <w:outlineLvl w:val="1"/>
        <w:rPr>
          <w:rStyle w:val="28"/>
          <w:rFonts w:ascii="黑体" w:hAnsi="黑体" w:eastAsia="黑体"/>
          <w:b w:val="0"/>
        </w:rPr>
      </w:pPr>
      <w:bookmarkStart w:id="34" w:name="_Toc15377209"/>
      <w:bookmarkStart w:id="35" w:name="_Toc15396607"/>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34"/>
      <w:bookmarkEnd w:id="35"/>
    </w:p>
    <w:p w14:paraId="325BF1E0">
      <w:pPr>
        <w:spacing w:line="600" w:lineRule="exact"/>
        <w:ind w:firstLine="643" w:firstLineChars="200"/>
        <w:outlineLvl w:val="2"/>
        <w:rPr>
          <w:rFonts w:ascii="仿宋" w:hAnsi="仿宋" w:eastAsia="仿宋"/>
          <w:b/>
          <w:sz w:val="32"/>
          <w:szCs w:val="32"/>
        </w:rPr>
      </w:pPr>
      <w:bookmarkStart w:id="36" w:name="_Toc15377210"/>
      <w:r>
        <w:rPr>
          <w:rFonts w:hint="eastAsia" w:ascii="仿宋" w:hAnsi="仿宋" w:eastAsia="仿宋"/>
          <w:b/>
          <w:sz w:val="32"/>
          <w:szCs w:val="32"/>
        </w:rPr>
        <w:t>（一）一般公共预算财政拨款支出决算总体情况</w:t>
      </w:r>
      <w:bookmarkEnd w:id="36"/>
    </w:p>
    <w:p w14:paraId="01874EAA">
      <w:pPr>
        <w:spacing w:line="600" w:lineRule="exact"/>
        <w:ind w:firstLine="640" w:firstLineChars="20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39.46</w:t>
      </w:r>
      <w:r>
        <w:rPr>
          <w:rFonts w:hint="eastAsia" w:ascii="仿宋" w:hAnsi="仿宋" w:eastAsia="仿宋"/>
          <w:sz w:val="32"/>
          <w:szCs w:val="32"/>
        </w:rPr>
        <w:t>万元，占本年支出合计的</w:t>
      </w:r>
      <w:r>
        <w:rPr>
          <w:rFonts w:hint="eastAsia" w:ascii="仿宋" w:hAnsi="仿宋" w:eastAsia="仿宋"/>
          <w:b/>
          <w:sz w:val="32"/>
          <w:szCs w:val="32"/>
          <w:lang w:val="en-US" w:eastAsia="zh-CN"/>
        </w:rPr>
        <w:t>11.92</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39.46</w:t>
      </w:r>
      <w:r>
        <w:rPr>
          <w:rFonts w:hint="eastAsia" w:ascii="仿宋" w:hAnsi="仿宋" w:eastAsia="仿宋"/>
          <w:sz w:val="32"/>
          <w:szCs w:val="32"/>
        </w:rPr>
        <w:t>万元，增长</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olor w:val="auto"/>
          <w:sz w:val="32"/>
          <w:szCs w:val="32"/>
          <w:highlight w:val="none"/>
          <w:lang w:val="en-US" w:eastAsia="zh-CN"/>
        </w:rPr>
        <w:t>2022年乡医院没有使用一体化系统，一般公共预算财政拨款收入由主管局统一收支</w:t>
      </w:r>
      <w:r>
        <w:rPr>
          <w:rFonts w:hint="eastAsia" w:ascii="仿宋" w:hAnsi="仿宋" w:eastAsia="仿宋"/>
          <w:color w:val="auto"/>
          <w:sz w:val="32"/>
          <w:szCs w:val="32"/>
          <w:highlight w:val="none"/>
          <w:lang w:eastAsia="zh-CN"/>
        </w:rPr>
        <w:t>。</w:t>
      </w:r>
    </w:p>
    <w:p w14:paraId="246F7775">
      <w:pPr>
        <w:pStyle w:val="2"/>
        <w:rPr>
          <w:rFonts w:ascii="仿宋" w:hAnsi="仿宋" w:eastAsia="仿宋"/>
          <w:sz w:val="32"/>
          <w:szCs w:val="32"/>
        </w:rPr>
      </w:pP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lang w:eastAsia="zh-CN"/>
        </w:rPr>
        <w:drawing>
          <wp:inline distT="0" distB="0" distL="114300" distR="114300">
            <wp:extent cx="5256530" cy="2988310"/>
            <wp:effectExtent l="5080" t="4445" r="11430" b="952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2EEE5A4">
      <w:pPr>
        <w:spacing w:line="600" w:lineRule="exact"/>
        <w:rPr>
          <w:rFonts w:ascii="仿宋" w:hAnsi="仿宋" w:eastAsia="仿宋"/>
          <w:sz w:val="32"/>
          <w:szCs w:val="32"/>
        </w:rPr>
      </w:pPr>
      <w:r>
        <w:rPr>
          <w:rFonts w:hint="eastAsia" w:ascii="仿宋" w:hAnsi="仿宋" w:eastAsia="仿宋"/>
          <w:sz w:val="32"/>
          <w:szCs w:val="32"/>
        </w:rPr>
        <w:t>（图5：一般公共预算财政拨款支出决算变动情况）（柱状图）</w:t>
      </w:r>
    </w:p>
    <w:p w14:paraId="306D06F3">
      <w:pPr>
        <w:spacing w:line="600" w:lineRule="exact"/>
        <w:ind w:firstLine="640" w:firstLineChars="200"/>
        <w:rPr>
          <w:rFonts w:ascii="仿宋" w:hAnsi="仿宋" w:eastAsia="仿宋"/>
          <w:sz w:val="32"/>
          <w:szCs w:val="32"/>
        </w:rPr>
      </w:pPr>
    </w:p>
    <w:p w14:paraId="492E343C">
      <w:pPr>
        <w:spacing w:line="600" w:lineRule="exact"/>
        <w:ind w:firstLine="643" w:firstLineChars="200"/>
        <w:outlineLvl w:val="2"/>
        <w:rPr>
          <w:rFonts w:ascii="仿宋" w:hAnsi="仿宋" w:eastAsia="仿宋"/>
          <w:b/>
          <w:sz w:val="32"/>
          <w:szCs w:val="32"/>
        </w:rPr>
      </w:pPr>
      <w:bookmarkStart w:id="37" w:name="_Toc15377211"/>
      <w:r>
        <w:rPr>
          <w:rFonts w:hint="eastAsia" w:ascii="仿宋" w:hAnsi="仿宋" w:eastAsia="仿宋"/>
          <w:b/>
          <w:sz w:val="32"/>
          <w:szCs w:val="32"/>
        </w:rPr>
        <w:t>（二）一般公共预算财政拨款支出决算结构情况</w:t>
      </w:r>
      <w:bookmarkEnd w:id="37"/>
    </w:p>
    <w:p w14:paraId="5CCC6E58">
      <w:pPr>
        <w:spacing w:line="600" w:lineRule="exact"/>
        <w:ind w:firstLine="640"/>
        <w:rPr>
          <w:rFonts w:ascii="仿宋" w:hAnsi="仿宋" w:eastAsia="仿宋"/>
          <w:b/>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39.46</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ascii="仿宋" w:hAnsi="仿宋" w:eastAsia="仿宋"/>
          <w:sz w:val="32"/>
          <w:szCs w:val="32"/>
        </w:rPr>
        <w:t>**</w:t>
      </w:r>
      <w:r>
        <w:rPr>
          <w:rFonts w:hint="eastAsia" w:ascii="仿宋" w:hAnsi="仿宋" w:eastAsia="仿宋"/>
          <w:sz w:val="32"/>
          <w:szCs w:val="32"/>
        </w:rPr>
        <w:t>万元，占</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w:t>
      </w:r>
      <w:r>
        <w:rPr>
          <w:rFonts w:ascii="仿宋" w:hAnsi="仿宋" w:eastAsia="仿宋"/>
          <w:sz w:val="32"/>
          <w:szCs w:val="32"/>
        </w:rPr>
        <w:t>**</w:t>
      </w:r>
      <w:r>
        <w:rPr>
          <w:rFonts w:hint="eastAsia" w:ascii="仿宋" w:hAnsi="仿宋" w:eastAsia="仿宋"/>
          <w:sz w:val="32"/>
          <w:szCs w:val="32"/>
        </w:rPr>
        <w:t>万元，占</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w:t>
      </w:r>
      <w:r>
        <w:rPr>
          <w:rFonts w:ascii="仿宋" w:hAnsi="仿宋" w:eastAsia="仿宋"/>
          <w:sz w:val="32"/>
          <w:szCs w:val="32"/>
        </w:rPr>
        <w:t>**</w:t>
      </w:r>
      <w:r>
        <w:rPr>
          <w:rFonts w:hint="eastAsia" w:ascii="仿宋" w:hAnsi="仿宋" w:eastAsia="仿宋"/>
          <w:sz w:val="32"/>
          <w:szCs w:val="32"/>
        </w:rPr>
        <w:t>万元，占</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w:t>
      </w:r>
      <w:r>
        <w:rPr>
          <w:rFonts w:ascii="仿宋" w:hAnsi="仿宋" w:eastAsia="仿宋"/>
          <w:b/>
          <w:bCs/>
          <w:sz w:val="32"/>
          <w:szCs w:val="32"/>
        </w:rPr>
        <w:t>**</w:t>
      </w:r>
      <w:r>
        <w:rPr>
          <w:rFonts w:hint="eastAsia" w:ascii="仿宋" w:hAnsi="仿宋" w:eastAsia="仿宋"/>
          <w:b/>
          <w:bCs/>
          <w:sz w:val="32"/>
          <w:szCs w:val="32"/>
        </w:rPr>
        <w:t>万元，占</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ascii="仿宋" w:hAnsi="仿宋" w:eastAsia="仿宋"/>
          <w:sz w:val="32"/>
          <w:szCs w:val="32"/>
        </w:rPr>
        <w:t>**</w:t>
      </w:r>
      <w:r>
        <w:rPr>
          <w:rFonts w:hint="eastAsia" w:ascii="仿宋" w:hAnsi="仿宋" w:eastAsia="仿宋"/>
          <w:sz w:val="32"/>
          <w:szCs w:val="32"/>
        </w:rPr>
        <w:t>万元，占</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ascii="仿宋" w:hAnsi="仿宋" w:eastAsia="仿宋"/>
          <w:sz w:val="32"/>
          <w:szCs w:val="32"/>
        </w:rPr>
        <w:t>**</w:t>
      </w:r>
      <w:r>
        <w:rPr>
          <w:rFonts w:hint="eastAsia" w:ascii="仿宋" w:hAnsi="仿宋" w:eastAsia="仿宋"/>
          <w:sz w:val="32"/>
          <w:szCs w:val="32"/>
        </w:rPr>
        <w:t>万元，占</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ascii="仿宋" w:hAnsi="仿宋" w:eastAsia="仿宋"/>
          <w:sz w:val="32"/>
          <w:szCs w:val="32"/>
        </w:rPr>
        <w:t>**</w:t>
      </w:r>
      <w:r>
        <w:rPr>
          <w:rFonts w:hint="eastAsia" w:ascii="仿宋" w:hAnsi="仿宋" w:eastAsia="仿宋"/>
          <w:sz w:val="32"/>
          <w:szCs w:val="32"/>
        </w:rPr>
        <w:t>万元，占</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lang w:val="en-US" w:eastAsia="zh-CN"/>
        </w:rPr>
        <w:t>绩效工资支出（30107）28.16万元，</w:t>
      </w:r>
      <w:r>
        <w:rPr>
          <w:rFonts w:hint="eastAsia" w:ascii="仿宋" w:hAnsi="仿宋" w:eastAsia="仿宋"/>
          <w:sz w:val="32"/>
          <w:szCs w:val="32"/>
        </w:rPr>
        <w:t>占</w:t>
      </w:r>
      <w:r>
        <w:rPr>
          <w:rFonts w:hint="eastAsia" w:ascii="仿宋" w:hAnsi="仿宋" w:eastAsia="仿宋"/>
          <w:sz w:val="32"/>
          <w:szCs w:val="32"/>
          <w:lang w:val="en-US" w:eastAsia="zh-CN"/>
        </w:rPr>
        <w:t>71.4</w:t>
      </w:r>
      <w:r>
        <w:rPr>
          <w:rFonts w:ascii="仿宋" w:hAnsi="仿宋" w:eastAsia="仿宋"/>
          <w:sz w:val="32"/>
          <w:szCs w:val="32"/>
        </w:rPr>
        <w:t>%</w:t>
      </w:r>
      <w:r>
        <w:rPr>
          <w:rFonts w:hint="eastAsia" w:ascii="仿宋" w:hAnsi="仿宋" w:eastAsia="仿宋"/>
          <w:sz w:val="32"/>
          <w:szCs w:val="32"/>
          <w:lang w:eastAsia="zh-CN"/>
        </w:rPr>
        <w:t>；对个人和家庭的补助（</w:t>
      </w:r>
      <w:r>
        <w:rPr>
          <w:rFonts w:hint="eastAsia" w:ascii="仿宋" w:hAnsi="仿宋" w:eastAsia="仿宋"/>
          <w:sz w:val="32"/>
          <w:szCs w:val="32"/>
          <w:lang w:val="en-US" w:eastAsia="zh-CN"/>
        </w:rPr>
        <w:t>30305）11.31万元，</w:t>
      </w:r>
      <w:r>
        <w:rPr>
          <w:rFonts w:hint="eastAsia" w:ascii="仿宋" w:hAnsi="仿宋" w:eastAsia="仿宋"/>
          <w:sz w:val="32"/>
          <w:szCs w:val="32"/>
        </w:rPr>
        <w:t>占</w:t>
      </w:r>
      <w:r>
        <w:rPr>
          <w:rFonts w:hint="eastAsia" w:ascii="仿宋" w:hAnsi="仿宋" w:eastAsia="仿宋"/>
          <w:sz w:val="32"/>
          <w:szCs w:val="32"/>
          <w:lang w:val="en-US" w:eastAsia="zh-CN"/>
        </w:rPr>
        <w:t>18.6</w:t>
      </w:r>
      <w:r>
        <w:rPr>
          <w:rFonts w:ascii="仿宋" w:hAnsi="仿宋" w:eastAsia="仿宋"/>
          <w:sz w:val="32"/>
          <w:szCs w:val="32"/>
        </w:rPr>
        <w:t>%</w:t>
      </w:r>
      <w:r>
        <w:rPr>
          <w:rFonts w:hint="eastAsia" w:ascii="仿宋" w:hAnsi="仿宋" w:eastAsia="仿宋"/>
          <w:sz w:val="32"/>
          <w:szCs w:val="32"/>
        </w:rPr>
        <w:t>。</w:t>
      </w:r>
    </w:p>
    <w:p w14:paraId="53E13655">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（注：数据来源于财决01-1表，仅罗列本单位涉及的全部功能分类科目，至类级。）</w:t>
      </w:r>
    </w:p>
    <w:p w14:paraId="1DA16BC0">
      <w:pPr>
        <w:spacing w:line="600" w:lineRule="exact"/>
        <w:ind w:firstLine="640"/>
        <w:rPr>
          <w:rFonts w:ascii="仿宋" w:hAnsi="仿宋" w:eastAsia="仿宋"/>
          <w:sz w:val="32"/>
          <w:szCs w:val="32"/>
        </w:rPr>
      </w:pPr>
    </w:p>
    <w:p w14:paraId="16635B73">
      <w:pPr>
        <w:pStyle w:val="2"/>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5256530" cy="2988310"/>
            <wp:effectExtent l="5080" t="4445" r="11430" b="9525"/>
            <wp:docPr id="3" name="图表 3" descr="7b0a202020202263686172745265734964223a202232303437323139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1FB0236">
      <w:pPr>
        <w:pStyle w:val="2"/>
        <w:rPr>
          <w:rFonts w:ascii="仿宋" w:hAnsi="仿宋" w:eastAsia="仿宋"/>
          <w:sz w:val="32"/>
          <w:szCs w:val="32"/>
        </w:rPr>
      </w:pPr>
    </w:p>
    <w:p w14:paraId="1D549BF0">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14:paraId="01E55442">
      <w:pPr>
        <w:spacing w:line="600" w:lineRule="exact"/>
        <w:ind w:firstLine="640" w:firstLineChars="200"/>
        <w:rPr>
          <w:rFonts w:ascii="仿宋" w:hAnsi="仿宋" w:eastAsia="仿宋"/>
          <w:sz w:val="32"/>
          <w:szCs w:val="32"/>
        </w:rPr>
      </w:pPr>
    </w:p>
    <w:p w14:paraId="5D4295C1">
      <w:pPr>
        <w:spacing w:line="600" w:lineRule="exact"/>
        <w:ind w:firstLine="643" w:firstLineChars="200"/>
        <w:outlineLvl w:val="2"/>
        <w:rPr>
          <w:rFonts w:ascii="仿宋" w:hAnsi="仿宋" w:eastAsia="仿宋"/>
          <w:b/>
          <w:sz w:val="32"/>
          <w:szCs w:val="32"/>
        </w:rPr>
      </w:pPr>
      <w:bookmarkStart w:id="38" w:name="_Toc15377212"/>
      <w:r>
        <w:rPr>
          <w:rFonts w:hint="eastAsia" w:ascii="仿宋" w:hAnsi="仿宋" w:eastAsia="仿宋"/>
          <w:b/>
          <w:sz w:val="32"/>
          <w:szCs w:val="32"/>
        </w:rPr>
        <w:t>（三）一般公共预算财政拨款支出决算具体情况</w:t>
      </w:r>
      <w:bookmarkEnd w:id="38"/>
    </w:p>
    <w:p w14:paraId="1DEF608E">
      <w:pPr>
        <w:spacing w:line="600" w:lineRule="exact"/>
        <w:ind w:firstLine="643" w:firstLineChars="200"/>
        <w:outlineLvl w:val="2"/>
        <w:rPr>
          <w:rFonts w:ascii="仿宋" w:hAnsi="仿宋" w:eastAsia="仿宋"/>
          <w:sz w:val="32"/>
          <w:szCs w:val="32"/>
        </w:rPr>
      </w:pPr>
      <w:bookmarkStart w:id="39" w:name="_Toc15377444"/>
      <w:bookmarkStart w:id="40" w:name="_Toc15377213"/>
      <w:bookmarkStart w:id="41" w:name="_Toc15378460"/>
      <w:r>
        <w:rPr>
          <w:rFonts w:hint="eastAsia" w:ascii="仿宋" w:hAnsi="仿宋" w:eastAsia="仿宋"/>
          <w:b/>
          <w:sz w:val="32"/>
          <w:szCs w:val="32"/>
        </w:rPr>
        <w:t>2023年度一般公共预算支出决算数为</w:t>
      </w:r>
      <w:r>
        <w:rPr>
          <w:rFonts w:ascii="仿宋" w:hAnsi="仿宋" w:eastAsia="仿宋"/>
          <w:b/>
          <w:sz w:val="32"/>
          <w:szCs w:val="32"/>
        </w:rPr>
        <w:t>39.46</w:t>
      </w:r>
      <w:r>
        <w:rPr>
          <w:rFonts w:hint="eastAsia" w:ascii="仿宋" w:hAnsi="仿宋" w:eastAsia="仿宋"/>
          <w:sz w:val="32"/>
          <w:szCs w:val="32"/>
        </w:rPr>
        <w:t>，</w:t>
      </w:r>
      <w:r>
        <w:rPr>
          <w:rStyle w:val="16"/>
          <w:rFonts w:hint="eastAsia" w:ascii="仿宋" w:hAnsi="仿宋" w:eastAsia="仿宋"/>
          <w:bCs/>
          <w:sz w:val="32"/>
          <w:szCs w:val="32"/>
        </w:rPr>
        <w:t>完成预算</w:t>
      </w:r>
      <w:r>
        <w:rPr>
          <w:rStyle w:val="16"/>
          <w:rFonts w:hint="eastAsia" w:ascii="仿宋" w:hAnsi="仿宋" w:eastAsia="仿宋"/>
          <w:bCs/>
          <w:sz w:val="32"/>
          <w:szCs w:val="32"/>
          <w:lang w:val="en-US" w:eastAsia="zh-CN"/>
        </w:rPr>
        <w:t>100</w:t>
      </w:r>
      <w:r>
        <w:rPr>
          <w:rStyle w:val="16"/>
          <w:rFonts w:ascii="仿宋" w:hAnsi="仿宋" w:eastAsia="仿宋"/>
          <w:bCs/>
          <w:sz w:val="32"/>
          <w:szCs w:val="32"/>
        </w:rPr>
        <w:t>%</w:t>
      </w:r>
      <w:r>
        <w:rPr>
          <w:rStyle w:val="16"/>
          <w:rFonts w:hint="eastAsia" w:ascii="仿宋" w:hAnsi="仿宋" w:eastAsia="仿宋"/>
          <w:bCs/>
          <w:sz w:val="32"/>
          <w:szCs w:val="32"/>
        </w:rPr>
        <w:t>。其中：</w:t>
      </w:r>
      <w:bookmarkEnd w:id="39"/>
      <w:bookmarkEnd w:id="40"/>
      <w:bookmarkEnd w:id="41"/>
    </w:p>
    <w:p w14:paraId="4172BE5D">
      <w:pPr>
        <w:spacing w:line="600" w:lineRule="exact"/>
        <w:ind w:firstLine="643" w:firstLineChars="200"/>
        <w:rPr>
          <w:rFonts w:ascii="仿宋" w:hAnsi="仿宋" w:eastAsia="仿宋"/>
          <w:b/>
          <w:sz w:val="32"/>
          <w:szCs w:val="32"/>
        </w:rPr>
      </w:pPr>
      <w:r>
        <w:rPr>
          <w:rStyle w:val="16"/>
          <w:rFonts w:ascii="仿宋" w:hAnsi="仿宋" w:eastAsia="仿宋"/>
          <w:bCs/>
          <w:sz w:val="32"/>
          <w:szCs w:val="32"/>
        </w:rPr>
        <w:t>1</w:t>
      </w:r>
      <w:r>
        <w:rPr>
          <w:rStyle w:val="16"/>
          <w:rFonts w:hint="eastAsia" w:ascii="仿宋" w:hAnsi="仿宋" w:eastAsia="仿宋"/>
          <w:bCs/>
          <w:sz w:val="32"/>
          <w:szCs w:val="32"/>
          <w:lang w:val="en-US" w:eastAsia="zh-CN"/>
        </w:rPr>
        <w:t>卫生健康支出（210）基层医疗卫生机构（03）乡镇卫生院（02）：</w:t>
      </w:r>
      <w:r>
        <w:rPr>
          <w:rStyle w:val="16"/>
          <w:rFonts w:hint="eastAsia" w:ascii="仿宋" w:hAnsi="仿宋" w:eastAsia="仿宋"/>
          <w:b w:val="0"/>
          <w:bCs w:val="0"/>
          <w:sz w:val="32"/>
          <w:szCs w:val="32"/>
          <w:lang w:val="en-US" w:eastAsia="zh-CN"/>
        </w:rPr>
        <w:t>支出决算为39.46万元，完成预算100%。</w:t>
      </w:r>
    </w:p>
    <w:p w14:paraId="2307A468">
      <w:pPr>
        <w:spacing w:line="600" w:lineRule="exact"/>
        <w:ind w:firstLine="640"/>
        <w:rPr>
          <w:rFonts w:ascii="仿宋" w:hAnsi="仿宋" w:eastAsia="仿宋"/>
          <w:b/>
          <w:sz w:val="32"/>
          <w:szCs w:val="32"/>
        </w:rPr>
      </w:pPr>
    </w:p>
    <w:p w14:paraId="4FDB83EE">
      <w:pPr>
        <w:tabs>
          <w:tab w:val="right" w:pos="8306"/>
        </w:tabs>
        <w:spacing w:line="600" w:lineRule="exact"/>
        <w:ind w:firstLine="640"/>
        <w:outlineLvl w:val="1"/>
        <w:rPr>
          <w:rStyle w:val="28"/>
        </w:rPr>
      </w:pPr>
      <w:bookmarkStart w:id="42" w:name="_Toc15377214"/>
      <w:bookmarkStart w:id="43"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42"/>
      <w:bookmarkEnd w:id="43"/>
      <w:r>
        <w:rPr>
          <w:rStyle w:val="28"/>
          <w:rFonts w:ascii="黑体" w:hAnsi="黑体" w:eastAsia="黑体"/>
          <w:b w:val="0"/>
        </w:rPr>
        <w:tab/>
      </w:r>
    </w:p>
    <w:p w14:paraId="609D8B10">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39.46</w:t>
      </w:r>
      <w:r>
        <w:rPr>
          <w:rFonts w:hint="eastAsia" w:ascii="仿宋" w:hAnsi="仿宋" w:eastAsia="仿宋"/>
          <w:sz w:val="32"/>
          <w:szCs w:val="32"/>
        </w:rPr>
        <w:t>万元，其中：</w:t>
      </w:r>
    </w:p>
    <w:p w14:paraId="55DEB9A7">
      <w:pPr>
        <w:spacing w:line="600" w:lineRule="exact"/>
        <w:ind w:firstLine="645"/>
        <w:rPr>
          <w:rFonts w:ascii="仿宋" w:hAnsi="仿宋" w:eastAsia="仿宋"/>
          <w:b/>
          <w:sz w:val="32"/>
          <w:szCs w:val="32"/>
        </w:rPr>
      </w:pPr>
      <w:r>
        <w:rPr>
          <w:rFonts w:hint="eastAsia" w:ascii="仿宋" w:hAnsi="仿宋" w:eastAsia="仿宋"/>
          <w:sz w:val="32"/>
          <w:szCs w:val="32"/>
        </w:rPr>
        <w:t>人员经费</w:t>
      </w:r>
      <w:r>
        <w:rPr>
          <w:rFonts w:ascii="仿宋" w:hAnsi="仿宋" w:eastAsia="仿宋"/>
          <w:b/>
          <w:sz w:val="32"/>
          <w:szCs w:val="32"/>
        </w:rPr>
        <w:t>39.46</w:t>
      </w:r>
      <w:r>
        <w:rPr>
          <w:rFonts w:hint="eastAsia" w:ascii="仿宋" w:hAnsi="仿宋" w:eastAsia="仿宋"/>
          <w:sz w:val="32"/>
          <w:szCs w:val="32"/>
        </w:rPr>
        <w:t>万元，主要包括：绩效工资</w:t>
      </w:r>
      <w:r>
        <w:rPr>
          <w:rFonts w:hint="eastAsia" w:ascii="仿宋" w:hAnsi="仿宋" w:eastAsia="仿宋"/>
          <w:sz w:val="32"/>
          <w:szCs w:val="32"/>
          <w:lang w:val="en-US" w:eastAsia="zh-CN"/>
        </w:rPr>
        <w:t>28.16万元、</w:t>
      </w:r>
      <w:r>
        <w:rPr>
          <w:rFonts w:hint="eastAsia" w:ascii="仿宋" w:hAnsi="仿宋" w:eastAsia="仿宋"/>
          <w:sz w:val="32"/>
          <w:szCs w:val="32"/>
        </w:rPr>
        <w:t>生活补助</w:t>
      </w:r>
      <w:r>
        <w:rPr>
          <w:rFonts w:hint="eastAsia" w:ascii="仿宋" w:hAnsi="仿宋" w:eastAsia="仿宋"/>
          <w:sz w:val="32"/>
          <w:szCs w:val="32"/>
          <w:lang w:val="en-US" w:eastAsia="zh-CN"/>
        </w:rPr>
        <w:t>11.31万元</w:t>
      </w:r>
      <w:r>
        <w:rPr>
          <w:rFonts w:hint="eastAsia" w:ascii="仿宋" w:hAnsi="仿宋" w:eastAsia="仿宋"/>
          <w:sz w:val="32"/>
          <w:szCs w:val="32"/>
        </w:rPr>
        <w:t>。。</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0</w:t>
      </w:r>
      <w:r>
        <w:rPr>
          <w:rFonts w:hint="eastAsia" w:ascii="仿宋" w:hAnsi="仿宋" w:eastAsia="仿宋"/>
          <w:sz w:val="32"/>
          <w:szCs w:val="32"/>
        </w:rPr>
        <w:t>万元。</w:t>
      </w:r>
    </w:p>
    <w:p w14:paraId="3D39F74B">
      <w:pPr>
        <w:spacing w:line="600" w:lineRule="exact"/>
        <w:ind w:firstLine="640"/>
        <w:outlineLvl w:val="1"/>
        <w:rPr>
          <w:rStyle w:val="28"/>
          <w:rFonts w:ascii="黑体" w:hAnsi="黑体" w:eastAsia="黑体"/>
          <w:b w:val="0"/>
        </w:rPr>
      </w:pPr>
      <w:bookmarkStart w:id="44" w:name="_Toc15396609"/>
      <w:bookmarkStart w:id="45" w:name="_Toc15377215"/>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44"/>
      <w:bookmarkEnd w:id="45"/>
    </w:p>
    <w:p w14:paraId="1E3B62DE">
      <w:pPr>
        <w:spacing w:line="600" w:lineRule="exact"/>
        <w:ind w:firstLine="640"/>
        <w:outlineLvl w:val="2"/>
        <w:rPr>
          <w:rFonts w:ascii="仿宋" w:hAnsi="仿宋" w:eastAsia="仿宋"/>
          <w:b/>
          <w:sz w:val="32"/>
          <w:szCs w:val="32"/>
        </w:rPr>
      </w:pPr>
      <w:bookmarkStart w:id="46" w:name="_Toc15377216"/>
      <w:r>
        <w:rPr>
          <w:rFonts w:hint="eastAsia" w:ascii="仿宋" w:hAnsi="仿宋" w:eastAsia="仿宋"/>
          <w:b/>
          <w:sz w:val="32"/>
          <w:szCs w:val="32"/>
        </w:rPr>
        <w:t>（一）“三公”经费财政拨款支出决算总体情况说明</w:t>
      </w:r>
      <w:bookmarkEnd w:id="46"/>
    </w:p>
    <w:p w14:paraId="596D6C7A">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w:t>
      </w:r>
      <w:r>
        <w:rPr>
          <w:rFonts w:hint="eastAsia" w:ascii="仿宋" w:hAnsi="仿宋" w:eastAsia="仿宋"/>
          <w:sz w:val="32"/>
          <w:szCs w:val="32"/>
        </w:rPr>
        <w:t>万元，完成预算</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，较上年度增加</w:t>
      </w:r>
      <w:r>
        <w:rPr>
          <w:rFonts w:hint="eastAsia" w:ascii="仿宋" w:hAnsi="仿宋" w:eastAsia="仿宋"/>
          <w:sz w:val="32"/>
          <w:szCs w:val="32"/>
          <w:lang w:val="en-US" w:eastAsia="zh-CN"/>
        </w:rPr>
        <w:t>0</w:t>
      </w:r>
      <w:r>
        <w:rPr>
          <w:rFonts w:hint="eastAsia" w:ascii="仿宋" w:hAnsi="仿宋" w:eastAsia="仿宋"/>
          <w:sz w:val="32"/>
          <w:szCs w:val="32"/>
        </w:rPr>
        <w:t>万元，增长</w:t>
      </w:r>
      <w:r>
        <w:rPr>
          <w:rFonts w:hint="eastAsia" w:ascii="仿宋" w:hAnsi="仿宋" w:eastAsia="仿宋"/>
          <w:sz w:val="32"/>
          <w:szCs w:val="32"/>
          <w:lang w:val="en-US" w:eastAsia="zh-CN"/>
        </w:rPr>
        <w:t>0</w:t>
      </w:r>
      <w:r>
        <w:rPr>
          <w:rFonts w:hint="eastAsia" w:ascii="仿宋" w:hAnsi="仿宋" w:eastAsia="仿宋"/>
          <w:sz w:val="32"/>
          <w:szCs w:val="32"/>
        </w:rPr>
        <w:t>%。</w:t>
      </w:r>
    </w:p>
    <w:p w14:paraId="2B1D0B53">
      <w:pPr>
        <w:spacing w:line="600" w:lineRule="exact"/>
        <w:ind w:firstLine="640"/>
        <w:outlineLvl w:val="2"/>
        <w:rPr>
          <w:rFonts w:ascii="仿宋" w:hAnsi="仿宋" w:eastAsia="仿宋"/>
          <w:b/>
          <w:sz w:val="32"/>
          <w:szCs w:val="32"/>
        </w:rPr>
      </w:pPr>
      <w:bookmarkStart w:id="47" w:name="_Toc15377217"/>
      <w:r>
        <w:rPr>
          <w:rFonts w:hint="eastAsia" w:ascii="仿宋" w:hAnsi="仿宋" w:eastAsia="仿宋"/>
          <w:b/>
          <w:sz w:val="32"/>
          <w:szCs w:val="32"/>
        </w:rPr>
        <w:t>（二）“三公”经费财政拨款支出决算具体情况说明</w:t>
      </w:r>
      <w:bookmarkEnd w:id="47"/>
    </w:p>
    <w:p w14:paraId="680295EB">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。具体情况如下：</w:t>
      </w:r>
    </w:p>
    <w:p w14:paraId="3F88E167">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14:paraId="179B31BD">
      <w:pPr>
        <w:spacing w:line="600" w:lineRule="exact"/>
        <w:ind w:firstLine="640"/>
        <w:rPr>
          <w:rFonts w:hint="eastAsia" w:ascii="仿宋_GB2312" w:eastAsia="仿宋_GB2312"/>
          <w:sz w:val="32"/>
          <w:szCs w:val="32"/>
          <w:lang w:eastAsia="zh-CN"/>
        </w:rPr>
      </w:pPr>
      <w:bookmarkStart w:id="48" w:name="_Toc15396610"/>
      <w:bookmarkStart w:id="49" w:name="_Toc15377218"/>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人。开支内容包括：</w:t>
      </w:r>
      <w:r>
        <w:rPr>
          <w:rFonts w:hint="eastAsia" w:ascii="仿宋_GB2312" w:eastAsia="仿宋_GB2312"/>
          <w:sz w:val="32"/>
          <w:szCs w:val="32"/>
          <w:lang w:val="en-US" w:eastAsia="zh-CN"/>
        </w:rPr>
        <w:t>无。</w:t>
      </w:r>
    </w:p>
    <w:p w14:paraId="5910F127">
      <w:pPr>
        <w:numPr>
          <w:ilvl w:val="0"/>
          <w:numId w:val="0"/>
        </w:numPr>
        <w:spacing w:line="600" w:lineRule="exact"/>
        <w:rPr>
          <w:rFonts w:ascii="仿宋_GB2312" w:eastAsia="仿宋_GB2312"/>
          <w:b/>
          <w:sz w:val="32"/>
          <w:szCs w:val="32"/>
        </w:rPr>
      </w:pPr>
      <w:r>
        <w:rPr>
          <w:rFonts w:hint="eastAsia" w:ascii="仿宋_GB2312" w:eastAsia="仿宋_GB2312"/>
          <w:b/>
          <w:sz w:val="32"/>
          <w:szCs w:val="32"/>
          <w:lang w:val="en-US" w:eastAsia="zh-CN"/>
        </w:rPr>
        <w:t xml:space="preserve">    </w:t>
      </w: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w:t>
      </w:r>
      <w:r>
        <w:rPr>
          <w:rFonts w:hint="eastAsia" w:ascii="仿宋_GB2312" w:eastAsia="仿宋_GB2312"/>
          <w:color w:val="auto"/>
          <w:sz w:val="32"/>
          <w:szCs w:val="32"/>
          <w:highlight w:val="none"/>
        </w:rPr>
        <w:t>增加</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。开支内容包括：</w:t>
      </w:r>
      <w:r>
        <w:rPr>
          <w:rFonts w:hint="eastAsia" w:ascii="仿宋_GB2312" w:eastAsia="仿宋_GB2312"/>
          <w:color w:val="auto"/>
          <w:sz w:val="32"/>
          <w:szCs w:val="32"/>
          <w:highlight w:val="none"/>
          <w:lang w:eastAsia="zh-CN"/>
        </w:rPr>
        <w:t>无</w:t>
      </w:r>
    </w:p>
    <w:p w14:paraId="5F213542">
      <w:pPr>
        <w:spacing w:line="600" w:lineRule="exact"/>
        <w:ind w:firstLine="640" w:firstLineChars="200"/>
        <w:rPr>
          <w:rFonts w:ascii="仿宋_GB2312" w:eastAsia="仿宋_GB2312"/>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w:t>
      </w: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w:t>
      </w:r>
    </w:p>
    <w:p w14:paraId="23C4C1FA">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 w:val="0"/>
          <w:bCs/>
          <w:sz w:val="32"/>
          <w:szCs w:val="32"/>
        </w:rPr>
        <w:t>0%</w:t>
      </w:r>
      <w:r>
        <w:rPr>
          <w:rStyle w:val="16"/>
          <w:rFonts w:hint="eastAsia" w:ascii="仿宋" w:hAnsi="仿宋" w:eastAsia="仿宋"/>
          <w:b w:val="0"/>
          <w:bCs/>
          <w:sz w:val="32"/>
          <w:szCs w:val="32"/>
        </w:rPr>
        <w:t>。</w:t>
      </w:r>
      <w:r>
        <w:rPr>
          <w:rFonts w:hint="eastAsia" w:ascii="仿宋_GB2312" w:eastAsia="仿宋_GB2312"/>
          <w:sz w:val="32"/>
          <w:szCs w:val="32"/>
        </w:rPr>
        <w:t>公务接待费支出决算比2022年度增加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。其中：</w:t>
      </w:r>
    </w:p>
    <w:p w14:paraId="1E3029F3">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0</w:t>
      </w:r>
      <w:r>
        <w:rPr>
          <w:rFonts w:hint="eastAsia" w:ascii="仿宋_GB2312" w:eastAsia="仿宋_GB2312"/>
          <w:sz w:val="32"/>
          <w:szCs w:val="32"/>
        </w:rPr>
        <w:t>万元，国内公务接待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14:paraId="518F0B83">
      <w:pPr>
        <w:spacing w:line="600" w:lineRule="exact"/>
        <w:ind w:firstLine="640"/>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w:t>
      </w:r>
      <w:r>
        <w:rPr>
          <w:rFonts w:hint="eastAsia" w:ascii="仿宋_GB2312" w:eastAsia="仿宋_GB2312"/>
          <w:color w:val="auto"/>
          <w:sz w:val="32"/>
          <w:szCs w:val="32"/>
          <w:highlight w:val="none"/>
        </w:rPr>
        <w:t>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000000"/>
          <w:sz w:val="32"/>
          <w:szCs w:val="32"/>
        </w:rPr>
        <w:t>。</w:t>
      </w:r>
    </w:p>
    <w:p w14:paraId="7B59F41D">
      <w:pPr>
        <w:spacing w:line="600" w:lineRule="exact"/>
        <w:ind w:firstLine="640"/>
        <w:outlineLvl w:val="1"/>
        <w:rPr>
          <w:rFonts w:ascii="黑体" w:eastAsia="黑体"/>
          <w:sz w:val="32"/>
          <w:szCs w:val="32"/>
        </w:rPr>
      </w:pPr>
    </w:p>
    <w:p w14:paraId="1C5B0A42">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8"/>
      <w:bookmarkEnd w:id="49"/>
    </w:p>
    <w:p w14:paraId="4D45B37C">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775CF1C7">
      <w:pPr>
        <w:spacing w:line="600" w:lineRule="exact"/>
        <w:ind w:firstLine="640"/>
        <w:rPr>
          <w:rFonts w:ascii="仿宋_GB2312" w:eastAsia="仿宋_GB2312"/>
          <w:sz w:val="32"/>
          <w:szCs w:val="32"/>
        </w:rPr>
      </w:pPr>
    </w:p>
    <w:p w14:paraId="7F68A13B">
      <w:pPr>
        <w:numPr>
          <w:ilvl w:val="0"/>
          <w:numId w:val="4"/>
        </w:numPr>
        <w:spacing w:line="600" w:lineRule="exact"/>
        <w:ind w:firstLine="640"/>
        <w:outlineLvl w:val="1"/>
        <w:rPr>
          <w:rStyle w:val="28"/>
          <w:rFonts w:ascii="黑体" w:hAnsi="黑体" w:eastAsia="黑体"/>
          <w:b w:val="0"/>
        </w:rPr>
      </w:pPr>
      <w:bookmarkStart w:id="50" w:name="_Toc15396611"/>
      <w:bookmarkStart w:id="51" w:name="_Toc15377219"/>
      <w:r>
        <w:rPr>
          <w:rStyle w:val="28"/>
          <w:rFonts w:hint="eastAsia" w:ascii="黑体" w:hAnsi="黑体" w:eastAsia="黑体"/>
          <w:b w:val="0"/>
        </w:rPr>
        <w:t>国有资本经营预算支出决算情况说明</w:t>
      </w:r>
      <w:bookmarkEnd w:id="50"/>
      <w:bookmarkEnd w:id="51"/>
    </w:p>
    <w:p w14:paraId="4A4F168E">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366C5871">
      <w:pPr>
        <w:spacing w:line="580" w:lineRule="exact"/>
        <w:jc w:val="center"/>
        <w:rPr>
          <w:rFonts w:ascii="方正小标宋简体" w:hAnsi="方正小标宋简体" w:eastAsia="方正小标宋简体" w:cs="方正小标宋简体"/>
          <w:sz w:val="44"/>
          <w:szCs w:val="44"/>
        </w:rPr>
      </w:pPr>
    </w:p>
    <w:p w14:paraId="6B5FB0BA">
      <w:pPr>
        <w:numPr>
          <w:ilvl w:val="0"/>
          <w:numId w:val="4"/>
        </w:numPr>
        <w:spacing w:line="600" w:lineRule="exact"/>
        <w:ind w:firstLine="640"/>
        <w:outlineLvl w:val="1"/>
        <w:rPr>
          <w:rStyle w:val="28"/>
          <w:rFonts w:ascii="黑体" w:hAnsi="黑体" w:eastAsia="黑体"/>
          <w:b w:val="0"/>
        </w:rPr>
      </w:pPr>
      <w:bookmarkStart w:id="52" w:name="_Toc15377221"/>
      <w:bookmarkStart w:id="53" w:name="_Toc15396612"/>
      <w:r>
        <w:rPr>
          <w:rStyle w:val="28"/>
          <w:rFonts w:hint="eastAsia" w:ascii="黑体" w:hAnsi="黑体" w:eastAsia="黑体"/>
          <w:b w:val="0"/>
        </w:rPr>
        <w:t>其他重要事项的情况说明</w:t>
      </w:r>
      <w:bookmarkEnd w:id="52"/>
      <w:bookmarkEnd w:id="53"/>
    </w:p>
    <w:p w14:paraId="069051C1">
      <w:pPr>
        <w:spacing w:line="600" w:lineRule="exact"/>
        <w:ind w:firstLine="643" w:firstLineChars="200"/>
        <w:outlineLvl w:val="2"/>
        <w:rPr>
          <w:rFonts w:ascii="仿宋" w:hAnsi="仿宋" w:eastAsia="仿宋"/>
          <w:sz w:val="32"/>
          <w:szCs w:val="32"/>
        </w:rPr>
      </w:pPr>
      <w:bookmarkStart w:id="54" w:name="_Toc15377222"/>
      <w:r>
        <w:rPr>
          <w:rFonts w:hint="eastAsia" w:ascii="仿宋" w:hAnsi="仿宋" w:eastAsia="仿宋"/>
          <w:b/>
          <w:sz w:val="32"/>
          <w:szCs w:val="32"/>
        </w:rPr>
        <w:t>（一）机关运行经费支出情况</w:t>
      </w:r>
      <w:bookmarkEnd w:id="54"/>
    </w:p>
    <w:p w14:paraId="4E502D4F">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大竹县安吉乡卫生院</w:t>
      </w:r>
      <w:r>
        <w:rPr>
          <w:rFonts w:hint="eastAsia" w:ascii="仿宋_GB2312" w:eastAsia="仿宋_GB2312"/>
          <w:sz w:val="32"/>
          <w:szCs w:val="32"/>
        </w:rPr>
        <w:t>机关运行经费支出</w:t>
      </w:r>
      <w:r>
        <w:rPr>
          <w:rFonts w:ascii="仿宋" w:hAnsi="仿宋" w:eastAsia="仿宋"/>
          <w:b/>
          <w:sz w:val="32"/>
          <w:szCs w:val="32"/>
        </w:rPr>
        <w:t>0</w:t>
      </w:r>
      <w:r>
        <w:rPr>
          <w:rFonts w:hint="eastAsia" w:ascii="仿宋_GB2312" w:eastAsia="仿宋_GB2312"/>
          <w:sz w:val="32"/>
          <w:szCs w:val="32"/>
        </w:rPr>
        <w:t>万元，比2022年度增加</w:t>
      </w:r>
      <w:r>
        <w:rPr>
          <w:rFonts w:ascii="仿宋_GB2312" w:eastAsia="仿宋_GB2312"/>
          <w:sz w:val="32"/>
          <w:szCs w:val="32"/>
        </w:rPr>
        <w:t>/</w:t>
      </w:r>
      <w:r>
        <w:rPr>
          <w:rFonts w:hint="eastAsia" w:ascii="仿宋_GB2312" w:eastAsia="仿宋_GB2312"/>
          <w:sz w:val="32"/>
          <w:szCs w:val="32"/>
        </w:rPr>
        <w:t>减少</w:t>
      </w:r>
      <w:r>
        <w:rPr>
          <w:rFonts w:ascii="仿宋_GB2312" w:eastAsia="仿宋_GB2312"/>
          <w:sz w:val="32"/>
          <w:szCs w:val="32"/>
        </w:rPr>
        <w:t>**</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14:paraId="70883052">
      <w:pPr>
        <w:autoSpaceDE w:val="0"/>
        <w:autoSpaceDN w:val="0"/>
        <w:adjustRightInd w:val="0"/>
        <w:spacing w:line="600" w:lineRule="exact"/>
        <w:ind w:firstLine="643" w:firstLineChars="200"/>
        <w:jc w:val="left"/>
        <w:outlineLvl w:val="2"/>
        <w:rPr>
          <w:rFonts w:ascii="仿宋" w:hAnsi="仿宋" w:eastAsia="仿宋"/>
          <w:b/>
          <w:sz w:val="32"/>
          <w:szCs w:val="32"/>
        </w:rPr>
      </w:pPr>
      <w:bookmarkStart w:id="55" w:name="_Toc15377223"/>
      <w:r>
        <w:rPr>
          <w:rFonts w:hint="eastAsia" w:ascii="仿宋" w:hAnsi="仿宋" w:eastAsia="仿宋"/>
          <w:b/>
          <w:sz w:val="32"/>
          <w:szCs w:val="32"/>
        </w:rPr>
        <w:t>（二）政府采购支出情况</w:t>
      </w:r>
      <w:bookmarkEnd w:id="55"/>
    </w:p>
    <w:p w14:paraId="434F1605">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大竹县安吉乡卫生院</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万元。主要用于</w:t>
      </w:r>
      <w:r>
        <w:rPr>
          <w:rFonts w:ascii="仿宋_GB2312" w:eastAsia="仿宋_GB2312"/>
          <w:sz w:val="32"/>
          <w:szCs w:val="32"/>
        </w:rPr>
        <w:t>…</w:t>
      </w:r>
      <w:r>
        <w:rPr>
          <w:rFonts w:hint="eastAsia" w:ascii="仿宋_GB2312" w:eastAsia="仿宋_GB2312"/>
          <w:sz w:val="32"/>
          <w:szCs w:val="32"/>
        </w:rPr>
        <w:t>（具体工作）。授予中小企业合同金额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14:paraId="19F9329A">
      <w:pPr>
        <w:autoSpaceDE w:val="0"/>
        <w:autoSpaceDN w:val="0"/>
        <w:adjustRightInd w:val="0"/>
        <w:spacing w:line="600" w:lineRule="exact"/>
        <w:ind w:firstLine="643" w:firstLineChars="200"/>
        <w:jc w:val="left"/>
        <w:outlineLvl w:val="2"/>
        <w:rPr>
          <w:rFonts w:ascii="仿宋" w:hAnsi="仿宋" w:eastAsia="仿宋"/>
          <w:b/>
          <w:sz w:val="32"/>
          <w:szCs w:val="32"/>
        </w:rPr>
      </w:pPr>
      <w:bookmarkStart w:id="56" w:name="_Toc15377224"/>
      <w:r>
        <w:rPr>
          <w:rFonts w:hint="eastAsia" w:ascii="仿宋" w:hAnsi="仿宋" w:eastAsia="仿宋"/>
          <w:b/>
          <w:sz w:val="32"/>
          <w:szCs w:val="32"/>
        </w:rPr>
        <w:t>（三）国有资产占有使用情况</w:t>
      </w:r>
      <w:bookmarkEnd w:id="56"/>
    </w:p>
    <w:p w14:paraId="6EC113CB">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大竹县安吉乡卫生院</w:t>
      </w:r>
      <w:r>
        <w:rPr>
          <w:rFonts w:hint="eastAsia" w:ascii="仿宋_GB2312" w:eastAsia="仿宋_GB2312"/>
          <w:sz w:val="32"/>
          <w:szCs w:val="32"/>
        </w:rPr>
        <w:t>共有车辆</w:t>
      </w:r>
      <w:r>
        <w:rPr>
          <w:rFonts w:hint="eastAsia" w:ascii="仿宋_GB2312" w:eastAsia="仿宋_GB2312"/>
          <w:b/>
          <w:sz w:val="32"/>
          <w:szCs w:val="32"/>
        </w:rPr>
        <w:t>0</w:t>
      </w:r>
      <w:r>
        <w:rPr>
          <w:rFonts w:hint="eastAsia" w:ascii="仿宋_GB2312" w:eastAsia="仿宋_GB2312"/>
          <w:sz w:val="32"/>
          <w:szCs w:val="32"/>
        </w:rPr>
        <w:t>辆。</w:t>
      </w:r>
    </w:p>
    <w:p w14:paraId="232F3BF8">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7BD7FE4E">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w:t>
      </w:r>
      <w:r>
        <w:rPr>
          <w:rFonts w:hint="eastAsia" w:ascii="仿宋_GB2312" w:eastAsia="仿宋_GB2312"/>
          <w:sz w:val="32"/>
          <w:szCs w:val="32"/>
          <w:lang w:val="en-US" w:eastAsia="zh-CN"/>
        </w:rPr>
        <w:t>0</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0</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0</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0</w:t>
      </w:r>
      <w:r>
        <w:rPr>
          <w:rFonts w:hint="eastAsia" w:ascii="仿宋_GB2312" w:eastAsia="仿宋_GB2312"/>
          <w:sz w:val="32"/>
          <w:szCs w:val="32"/>
        </w:rPr>
        <w:t>个项目开展绩效自评，绩效自评表详见第四部分附件。</w:t>
      </w:r>
      <w:bookmarkStart w:id="75" w:name="_GoBack"/>
      <w:bookmarkEnd w:id="75"/>
    </w:p>
    <w:p w14:paraId="71DECC90">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6894CA0F">
      <w:pPr>
        <w:numPr>
          <w:ilvl w:val="0"/>
          <w:numId w:val="5"/>
        </w:numPr>
        <w:spacing w:line="600" w:lineRule="exact"/>
        <w:ind w:firstLine="660" w:firstLineChars="150"/>
        <w:jc w:val="center"/>
        <w:outlineLvl w:val="0"/>
        <w:rPr>
          <w:rStyle w:val="27"/>
          <w:rFonts w:ascii="黑体" w:hAnsi="黑体" w:eastAsia="黑体"/>
          <w:b w:val="0"/>
        </w:rPr>
      </w:pPr>
      <w:bookmarkStart w:id="57" w:name="_Toc15396613"/>
      <w:bookmarkStart w:id="58" w:name="_Toc15377225"/>
      <w:r>
        <w:rPr>
          <w:rFonts w:hint="eastAsia" w:ascii="黑体" w:hAnsi="黑体" w:eastAsia="黑体"/>
          <w:sz w:val="44"/>
          <w:szCs w:val="44"/>
        </w:rPr>
        <w:t>名</w:t>
      </w:r>
      <w:r>
        <w:rPr>
          <w:rStyle w:val="27"/>
          <w:rFonts w:hint="eastAsia" w:ascii="黑体" w:hAnsi="黑体" w:eastAsia="黑体"/>
          <w:b w:val="0"/>
        </w:rPr>
        <w:t>词解释</w:t>
      </w:r>
      <w:bookmarkEnd w:id="57"/>
      <w:bookmarkEnd w:id="58"/>
    </w:p>
    <w:p w14:paraId="1E31DF84">
      <w:pPr>
        <w:spacing w:line="600" w:lineRule="exact"/>
        <w:jc w:val="left"/>
        <w:rPr>
          <w:rFonts w:ascii="宋体"/>
          <w:b/>
          <w:sz w:val="44"/>
          <w:szCs w:val="44"/>
        </w:rPr>
      </w:pPr>
    </w:p>
    <w:p w14:paraId="4562990B">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0A41365C">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事业收入：指事业单位开展专业业务活动及辅助活动取得的收入。如…（二级预算单位事业收入情况）等。</w:t>
      </w:r>
    </w:p>
    <w:p w14:paraId="0749F751">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14:paraId="6E06F7C6">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其他收入：指单位取得的除上述收入以外的各项收入。主要是…（收入类型）等。</w:t>
      </w:r>
      <w:r>
        <w:rPr>
          <w:rFonts w:ascii="仿宋_GB2312" w:eastAsia="仿宋_GB2312"/>
          <w:color w:val="auto"/>
          <w:sz w:val="32"/>
          <w:szCs w:val="32"/>
        </w:rPr>
        <w:t xml:space="preserve"> </w:t>
      </w:r>
    </w:p>
    <w:p w14:paraId="76FF78E4">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14:paraId="5ECE6167">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58683F22">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64E87E23">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2229DD33">
      <w:pPr>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一般公共服务（类）…（款）…（项）：指……。</w:t>
      </w:r>
    </w:p>
    <w:p w14:paraId="6D97B3C3">
      <w:pPr>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外交（类）…（款）…（项）：指……。</w:t>
      </w:r>
    </w:p>
    <w:p w14:paraId="12501A4D">
      <w:pPr>
        <w:ind w:firstLine="640" w:firstLineChars="200"/>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公共安全（类）…（款）…（项）：指……。</w:t>
      </w:r>
    </w:p>
    <w:p w14:paraId="70B59555">
      <w:pPr>
        <w:ind w:firstLine="640" w:firstLineChars="200"/>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教育（类）…（款）…（项）：指……。</w:t>
      </w:r>
    </w:p>
    <w:p w14:paraId="5E689188">
      <w:pPr>
        <w:ind w:firstLine="640" w:firstLineChars="200"/>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科学技术（类）…（款）…（项）：指……。</w:t>
      </w:r>
    </w:p>
    <w:p w14:paraId="083853A2">
      <w:pPr>
        <w:ind w:firstLine="640" w:firstLineChars="200"/>
        <w:rPr>
          <w:rFonts w:ascii="仿宋_GB2312" w:eastAsia="仿宋_GB2312"/>
          <w:sz w:val="32"/>
          <w:szCs w:val="32"/>
        </w:rPr>
      </w:pPr>
      <w:r>
        <w:rPr>
          <w:rFonts w:ascii="仿宋_GB2312" w:eastAsia="仿宋_GB2312"/>
          <w:sz w:val="32"/>
          <w:szCs w:val="32"/>
        </w:rPr>
        <w:t>14.</w:t>
      </w:r>
      <w:r>
        <w:rPr>
          <w:rFonts w:hint="eastAsia" w:ascii="仿宋_GB2312" w:eastAsia="仿宋_GB2312"/>
          <w:sz w:val="32"/>
          <w:szCs w:val="32"/>
        </w:rPr>
        <w:t>文化旅游体育与传媒（类）…（款）…（项）：指……。</w:t>
      </w:r>
    </w:p>
    <w:p w14:paraId="000497B0">
      <w:pPr>
        <w:ind w:firstLine="640" w:firstLineChars="200"/>
        <w:rPr>
          <w:rFonts w:ascii="仿宋_GB2312" w:eastAsia="仿宋_GB2312"/>
          <w:sz w:val="32"/>
          <w:szCs w:val="32"/>
        </w:rPr>
      </w:pPr>
      <w:r>
        <w:rPr>
          <w:rFonts w:ascii="仿宋_GB2312" w:eastAsia="仿宋_GB2312"/>
          <w:sz w:val="32"/>
          <w:szCs w:val="32"/>
        </w:rPr>
        <w:t>15.</w:t>
      </w:r>
      <w:r>
        <w:rPr>
          <w:rFonts w:hint="eastAsia" w:ascii="仿宋_GB2312" w:eastAsia="仿宋_GB2312"/>
          <w:sz w:val="32"/>
          <w:szCs w:val="32"/>
        </w:rPr>
        <w:t>社会保障和就业（类）…（款）…（项）：指……。</w:t>
      </w:r>
    </w:p>
    <w:p w14:paraId="39184029">
      <w:pPr>
        <w:ind w:firstLine="640" w:firstLineChars="200"/>
        <w:rPr>
          <w:rFonts w:ascii="仿宋_GB2312" w:eastAsia="仿宋_GB2312"/>
          <w:sz w:val="32"/>
          <w:szCs w:val="32"/>
        </w:rPr>
      </w:pPr>
      <w:r>
        <w:rPr>
          <w:rFonts w:ascii="仿宋_GB2312" w:eastAsia="仿宋_GB2312"/>
          <w:sz w:val="32"/>
          <w:szCs w:val="32"/>
        </w:rPr>
        <w:t>16.</w:t>
      </w:r>
      <w:r>
        <w:rPr>
          <w:rFonts w:hint="eastAsia" w:ascii="仿宋_GB2312" w:eastAsia="仿宋_GB2312"/>
          <w:sz w:val="32"/>
          <w:szCs w:val="32"/>
        </w:rPr>
        <w:t>卫生健康（类）…（款）…（项）：指……。</w:t>
      </w:r>
    </w:p>
    <w:p w14:paraId="6C9B7B1A">
      <w:pPr>
        <w:ind w:firstLine="640" w:firstLineChars="200"/>
        <w:rPr>
          <w:rFonts w:ascii="仿宋_GB2312" w:eastAsia="仿宋_GB2312"/>
          <w:sz w:val="32"/>
          <w:szCs w:val="32"/>
        </w:rPr>
      </w:pPr>
      <w:r>
        <w:rPr>
          <w:rFonts w:ascii="仿宋_GB2312" w:eastAsia="仿宋_GB2312"/>
          <w:sz w:val="32"/>
          <w:szCs w:val="32"/>
        </w:rPr>
        <w:t>17.</w:t>
      </w:r>
      <w:r>
        <w:rPr>
          <w:rFonts w:hint="eastAsia" w:ascii="仿宋_GB2312" w:eastAsia="仿宋_GB2312"/>
          <w:sz w:val="32"/>
          <w:szCs w:val="32"/>
        </w:rPr>
        <w:t>节能环保（类）…（款）…（项）：指……。</w:t>
      </w:r>
    </w:p>
    <w:p w14:paraId="1BBF4848">
      <w:pPr>
        <w:ind w:firstLine="640" w:firstLineChars="200"/>
        <w:rPr>
          <w:rFonts w:ascii="仿宋_GB2312" w:eastAsia="仿宋_GB2312"/>
          <w:sz w:val="32"/>
          <w:szCs w:val="32"/>
        </w:rPr>
      </w:pPr>
      <w:r>
        <w:rPr>
          <w:rFonts w:ascii="仿宋_GB2312" w:eastAsia="仿宋_GB2312"/>
          <w:sz w:val="32"/>
          <w:szCs w:val="32"/>
        </w:rPr>
        <w:t>18.</w:t>
      </w:r>
      <w:r>
        <w:rPr>
          <w:rFonts w:hint="eastAsia" w:ascii="仿宋_GB2312" w:eastAsia="仿宋_GB2312"/>
          <w:sz w:val="32"/>
          <w:szCs w:val="32"/>
        </w:rPr>
        <w:t>城乡社区（类）…（款）…（项）：指……。</w:t>
      </w:r>
    </w:p>
    <w:p w14:paraId="4889E53E">
      <w:pPr>
        <w:ind w:firstLine="640" w:firstLineChars="200"/>
        <w:rPr>
          <w:rFonts w:ascii="仿宋_GB2312" w:eastAsia="仿宋_GB2312"/>
          <w:sz w:val="32"/>
          <w:szCs w:val="32"/>
        </w:rPr>
      </w:pPr>
      <w:r>
        <w:rPr>
          <w:rFonts w:ascii="仿宋_GB2312" w:eastAsia="仿宋_GB2312"/>
          <w:sz w:val="32"/>
          <w:szCs w:val="32"/>
        </w:rPr>
        <w:t>19.</w:t>
      </w:r>
      <w:r>
        <w:rPr>
          <w:rFonts w:hint="eastAsia" w:ascii="仿宋_GB2312" w:eastAsia="仿宋_GB2312"/>
          <w:sz w:val="32"/>
          <w:szCs w:val="32"/>
        </w:rPr>
        <w:t>农林水（类）…（款）…（项）：指……。</w:t>
      </w:r>
    </w:p>
    <w:p w14:paraId="429EB8F7">
      <w:pPr>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交通运输（类）…（款）…（项）：指……。</w:t>
      </w:r>
    </w:p>
    <w:p w14:paraId="5F3C7DB1">
      <w:pPr>
        <w:ind w:firstLine="640" w:firstLineChars="200"/>
        <w:rPr>
          <w:rFonts w:ascii="仿宋_GB2312" w:eastAsia="仿宋_GB2312"/>
          <w:sz w:val="32"/>
          <w:szCs w:val="32"/>
        </w:rPr>
      </w:pPr>
      <w:r>
        <w:rPr>
          <w:rFonts w:ascii="仿宋_GB2312" w:eastAsia="仿宋_GB2312"/>
          <w:sz w:val="32"/>
          <w:szCs w:val="32"/>
        </w:rPr>
        <w:t>21.</w:t>
      </w:r>
      <w:r>
        <w:rPr>
          <w:rFonts w:hint="eastAsia" w:ascii="仿宋_GB2312" w:eastAsia="仿宋_GB2312"/>
          <w:sz w:val="32"/>
          <w:szCs w:val="32"/>
        </w:rPr>
        <w:t>资源勘探工业信息等（类）…（款）…（项）：指……。</w:t>
      </w:r>
    </w:p>
    <w:p w14:paraId="49432F34">
      <w:pPr>
        <w:ind w:firstLine="640" w:firstLineChars="200"/>
        <w:rPr>
          <w:rFonts w:ascii="仿宋_GB2312" w:eastAsia="仿宋_GB2312"/>
          <w:sz w:val="32"/>
          <w:szCs w:val="32"/>
        </w:rPr>
      </w:pPr>
      <w:r>
        <w:rPr>
          <w:rFonts w:ascii="仿宋_GB2312" w:eastAsia="仿宋_GB2312"/>
          <w:sz w:val="32"/>
          <w:szCs w:val="32"/>
        </w:rPr>
        <w:t>22.</w:t>
      </w:r>
      <w:r>
        <w:rPr>
          <w:rFonts w:hint="eastAsia" w:ascii="仿宋_GB2312" w:eastAsia="仿宋_GB2312"/>
          <w:sz w:val="32"/>
          <w:szCs w:val="32"/>
        </w:rPr>
        <w:t>商业服务业（类）…（款）…（项）：指……。</w:t>
      </w:r>
    </w:p>
    <w:p w14:paraId="108F0A94">
      <w:pPr>
        <w:ind w:firstLine="640" w:firstLineChars="200"/>
        <w:rPr>
          <w:rFonts w:ascii="仿宋_GB2312" w:eastAsia="仿宋_GB2312"/>
          <w:sz w:val="32"/>
          <w:szCs w:val="32"/>
        </w:rPr>
      </w:pPr>
      <w:r>
        <w:rPr>
          <w:rFonts w:ascii="仿宋_GB2312" w:eastAsia="仿宋_GB2312"/>
          <w:sz w:val="32"/>
          <w:szCs w:val="32"/>
        </w:rPr>
        <w:t>23.</w:t>
      </w:r>
      <w:r>
        <w:rPr>
          <w:rFonts w:hint="eastAsia" w:ascii="仿宋_GB2312" w:eastAsia="仿宋_GB2312"/>
          <w:sz w:val="32"/>
          <w:szCs w:val="32"/>
        </w:rPr>
        <w:t>金融（类）…（款）…（项）：指……。</w:t>
      </w:r>
    </w:p>
    <w:p w14:paraId="32DDA715">
      <w:pPr>
        <w:ind w:firstLine="640" w:firstLineChars="200"/>
        <w:rPr>
          <w:rFonts w:ascii="仿宋_GB2312" w:eastAsia="仿宋_GB2312"/>
          <w:sz w:val="32"/>
          <w:szCs w:val="32"/>
        </w:rPr>
      </w:pPr>
      <w:r>
        <w:rPr>
          <w:rFonts w:ascii="仿宋_GB2312" w:eastAsia="仿宋_GB2312"/>
          <w:sz w:val="32"/>
          <w:szCs w:val="32"/>
        </w:rPr>
        <w:t>24.</w:t>
      </w:r>
      <w:r>
        <w:rPr>
          <w:rFonts w:hint="eastAsia" w:ascii="仿宋_GB2312" w:eastAsia="仿宋_GB2312"/>
          <w:sz w:val="32"/>
          <w:szCs w:val="32"/>
        </w:rPr>
        <w:t>自然资源海洋气象等（类）…（款）…（项）：指……。</w:t>
      </w:r>
    </w:p>
    <w:p w14:paraId="5697DD44">
      <w:pPr>
        <w:ind w:firstLine="640" w:firstLineChars="200"/>
        <w:rPr>
          <w:rFonts w:ascii="仿宋_GB2312" w:eastAsia="仿宋_GB2312"/>
          <w:sz w:val="32"/>
          <w:szCs w:val="32"/>
        </w:rPr>
      </w:pPr>
      <w:r>
        <w:rPr>
          <w:rFonts w:ascii="仿宋_GB2312" w:eastAsia="仿宋_GB2312"/>
          <w:sz w:val="32"/>
          <w:szCs w:val="32"/>
        </w:rPr>
        <w:t>25.</w:t>
      </w:r>
      <w:r>
        <w:rPr>
          <w:rFonts w:hint="eastAsia" w:ascii="仿宋_GB2312" w:eastAsia="仿宋_GB2312"/>
          <w:sz w:val="32"/>
          <w:szCs w:val="32"/>
        </w:rPr>
        <w:t>住房保障（类）…（款）…（项）：指……。</w:t>
      </w:r>
    </w:p>
    <w:p w14:paraId="27AE3221">
      <w:pPr>
        <w:ind w:firstLine="640" w:firstLineChars="200"/>
        <w:rPr>
          <w:rFonts w:ascii="仿宋_GB2312" w:eastAsia="仿宋_GB2312"/>
          <w:sz w:val="32"/>
          <w:szCs w:val="32"/>
        </w:rPr>
      </w:pPr>
      <w:r>
        <w:rPr>
          <w:rFonts w:ascii="仿宋_GB2312" w:eastAsia="仿宋_GB2312"/>
          <w:sz w:val="32"/>
          <w:szCs w:val="32"/>
        </w:rPr>
        <w:t>26.</w:t>
      </w:r>
      <w:r>
        <w:rPr>
          <w:rFonts w:hint="eastAsia" w:ascii="仿宋_GB2312" w:eastAsia="仿宋_GB2312"/>
          <w:sz w:val="32"/>
          <w:szCs w:val="32"/>
        </w:rPr>
        <w:t>粮油物资储备（类）…（款）…（项）：指……。</w:t>
      </w:r>
    </w:p>
    <w:p w14:paraId="6F01E246">
      <w:pPr>
        <w:ind w:firstLine="640" w:firstLineChars="200"/>
        <w:rPr>
          <w:rFonts w:ascii="仿宋_GB2312" w:eastAsia="仿宋_GB2312"/>
          <w:sz w:val="32"/>
          <w:szCs w:val="32"/>
        </w:rPr>
      </w:pPr>
      <w:r>
        <w:rPr>
          <w:rFonts w:hint="eastAsia" w:ascii="仿宋_GB2312" w:eastAsia="仿宋_GB2312"/>
          <w:sz w:val="32"/>
          <w:szCs w:val="32"/>
        </w:rPr>
        <w:t>……</w:t>
      </w:r>
    </w:p>
    <w:p w14:paraId="5AE5A8D6">
      <w:pPr>
        <w:ind w:firstLine="640" w:firstLineChars="200"/>
        <w:rPr>
          <w:rFonts w:ascii="仿宋_GB2312" w:eastAsia="仿宋_GB2312"/>
          <w:sz w:val="32"/>
          <w:szCs w:val="32"/>
        </w:rPr>
      </w:pPr>
      <w:r>
        <w:rPr>
          <w:rFonts w:hint="eastAsia" w:ascii="仿宋_GB2312" w:eastAsia="仿宋_GB2312"/>
          <w:sz w:val="32"/>
          <w:szCs w:val="32"/>
        </w:rPr>
        <w:t>……</w:t>
      </w:r>
    </w:p>
    <w:p w14:paraId="21DBCDC0">
      <w:pPr>
        <w:ind w:firstLine="640" w:firstLineChars="200"/>
        <w:rPr>
          <w:rFonts w:ascii="仿宋_GB2312" w:eastAsia="仿宋_GB2312"/>
          <w:sz w:val="32"/>
          <w:szCs w:val="32"/>
        </w:rPr>
      </w:pPr>
      <w:r>
        <w:rPr>
          <w:rFonts w:hint="eastAsia" w:ascii="仿宋_GB2312" w:eastAsia="仿宋_GB2312"/>
          <w:sz w:val="32"/>
          <w:szCs w:val="32"/>
        </w:rPr>
        <w:t>……</w:t>
      </w:r>
    </w:p>
    <w:p w14:paraId="5588638C">
      <w:pPr>
        <w:spacing w:line="600" w:lineRule="exact"/>
        <w:ind w:firstLine="640"/>
        <w:rPr>
          <w:rFonts w:ascii="仿宋" w:hAnsi="仿宋" w:eastAsia="仿宋"/>
          <w:b/>
          <w:sz w:val="32"/>
          <w:szCs w:val="32"/>
        </w:rPr>
      </w:pPr>
      <w:r>
        <w:rPr>
          <w:rFonts w:hint="eastAsia" w:ascii="仿宋" w:hAnsi="仿宋" w:eastAsia="仿宋"/>
          <w:b/>
          <w:sz w:val="32"/>
          <w:szCs w:val="32"/>
        </w:rPr>
        <w:t>（解释本单位决算报表中涉及的全部功能分类科目至项级，不涉及的科目请自行删除。请参照《2023年政府收支分类科目》增减内容。）</w:t>
      </w:r>
    </w:p>
    <w:p w14:paraId="049BCCF4">
      <w:pPr>
        <w:ind w:firstLine="640" w:firstLineChars="200"/>
        <w:rPr>
          <w:rFonts w:ascii="仿宋_GB2312" w:eastAsia="仿宋_GB2312"/>
          <w:sz w:val="32"/>
          <w:szCs w:val="32"/>
        </w:rPr>
      </w:pPr>
      <w:r>
        <w:rPr>
          <w:rFonts w:ascii="仿宋_GB2312" w:eastAsia="仿宋_GB2312"/>
          <w:sz w:val="32"/>
          <w:szCs w:val="32"/>
        </w:rPr>
        <w:t>27.</w:t>
      </w:r>
      <w:r>
        <w:rPr>
          <w:rFonts w:hint="eastAsia" w:ascii="仿宋_GB2312" w:eastAsia="仿宋_GB2312"/>
          <w:sz w:val="32"/>
          <w:szCs w:val="32"/>
        </w:rPr>
        <w:t>基本支出：指为保障机构正常运转、完成日常工作任务而发生的人员支出和公用支出。</w:t>
      </w:r>
    </w:p>
    <w:p w14:paraId="52E6A289">
      <w:pPr>
        <w:ind w:firstLine="640" w:firstLineChars="200"/>
        <w:rPr>
          <w:rFonts w:ascii="仿宋_GB2312" w:eastAsia="仿宋_GB2312"/>
          <w:sz w:val="32"/>
          <w:szCs w:val="32"/>
        </w:rPr>
      </w:pPr>
      <w:r>
        <w:rPr>
          <w:rFonts w:ascii="仿宋_GB2312" w:eastAsia="仿宋_GB2312"/>
          <w:sz w:val="32"/>
          <w:szCs w:val="32"/>
        </w:rPr>
        <w:t>28.</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51C7F1CD">
      <w:pPr>
        <w:ind w:firstLine="640" w:firstLineChars="200"/>
        <w:rPr>
          <w:rFonts w:ascii="仿宋_GB2312" w:eastAsia="仿宋_GB2312"/>
          <w:sz w:val="32"/>
          <w:szCs w:val="32"/>
        </w:rPr>
      </w:pPr>
      <w:r>
        <w:rPr>
          <w:rFonts w:ascii="仿宋_GB2312" w:eastAsia="仿宋_GB2312"/>
          <w:sz w:val="32"/>
          <w:szCs w:val="32"/>
        </w:rPr>
        <w:t>29.</w:t>
      </w:r>
      <w:r>
        <w:rPr>
          <w:rFonts w:hint="eastAsia" w:ascii="仿宋_GB2312" w:eastAsia="仿宋_GB2312"/>
          <w:sz w:val="32"/>
          <w:szCs w:val="32"/>
        </w:rPr>
        <w:t>经营支出：指事业单位在专业业务活动及其辅助活动之外开展非独立核算经营活动发生的支出。</w:t>
      </w:r>
    </w:p>
    <w:p w14:paraId="417C980F">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30.</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0CD57D63">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31.</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0D5D2A5">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32.</w:t>
      </w:r>
      <w:r>
        <w:rPr>
          <w:rFonts w:hint="eastAsia" w:ascii="仿宋_GB2312" w:eastAsia="仿宋_GB2312"/>
          <w:color w:val="auto"/>
          <w:sz w:val="32"/>
          <w:szCs w:val="32"/>
        </w:rPr>
        <w:t>……。</w:t>
      </w:r>
    </w:p>
    <w:p w14:paraId="0A95BFEF">
      <w:pPr>
        <w:pStyle w:val="25"/>
        <w:spacing w:line="560" w:lineRule="exact"/>
        <w:ind w:firstLine="640" w:firstLineChars="200"/>
        <w:rPr>
          <w:rFonts w:ascii="仿宋_GB2312" w:eastAsia="仿宋_GB2312" w:cs="黑体"/>
          <w:color w:val="auto"/>
          <w:sz w:val="32"/>
          <w:szCs w:val="32"/>
        </w:rPr>
      </w:pPr>
    </w:p>
    <w:p w14:paraId="18F322EE">
      <w:pPr>
        <w:ind w:firstLine="643" w:firstLineChars="200"/>
        <w:rPr>
          <w:rFonts w:ascii="仿宋" w:hAnsi="仿宋" w:eastAsia="仿宋"/>
          <w:b/>
          <w:sz w:val="32"/>
          <w:szCs w:val="32"/>
        </w:rPr>
      </w:pPr>
      <w:r>
        <w:rPr>
          <w:rFonts w:hint="eastAsia" w:ascii="仿宋" w:hAnsi="仿宋" w:eastAsia="仿宋"/>
          <w:b/>
          <w:sz w:val="32"/>
          <w:szCs w:val="32"/>
        </w:rPr>
        <w:t>（名词解释部分请根据各单位实际列支情况罗列，并根据本单位职责职能增减名词解释内容。）</w:t>
      </w:r>
    </w:p>
    <w:p w14:paraId="05426704">
      <w:pPr>
        <w:spacing w:line="600" w:lineRule="exact"/>
        <w:jc w:val="center"/>
        <w:outlineLvl w:val="0"/>
        <w:rPr>
          <w:rStyle w:val="27"/>
          <w:rFonts w:ascii="黑体" w:hAnsi="黑体" w:eastAsia="黑体"/>
          <w:b w:val="0"/>
        </w:rPr>
      </w:pPr>
      <w:bookmarkStart w:id="59" w:name="_Toc15377226"/>
      <w:r>
        <w:rPr>
          <w:rFonts w:ascii="宋体"/>
          <w:b/>
          <w:sz w:val="44"/>
          <w:szCs w:val="44"/>
        </w:rPr>
        <w:br w:type="page"/>
      </w:r>
      <w:bookmarkStart w:id="60" w:name="_Toc15396614"/>
      <w:r>
        <w:rPr>
          <w:rFonts w:hint="eastAsia" w:ascii="黑体" w:hAnsi="黑体" w:eastAsia="黑体"/>
          <w:sz w:val="44"/>
          <w:szCs w:val="44"/>
        </w:rPr>
        <w:t>第</w:t>
      </w:r>
      <w:r>
        <w:rPr>
          <w:rStyle w:val="27"/>
          <w:rFonts w:hint="eastAsia" w:ascii="黑体" w:hAnsi="黑体" w:eastAsia="黑体"/>
          <w:b w:val="0"/>
        </w:rPr>
        <w:t>四部分 附件</w:t>
      </w:r>
      <w:bookmarkEnd w:id="60"/>
    </w:p>
    <w:p w14:paraId="40EA124A">
      <w:pPr>
        <w:spacing w:line="572" w:lineRule="exact"/>
        <w:jc w:val="left"/>
        <w:outlineLvl w:val="0"/>
        <w:rPr>
          <w:rFonts w:ascii="仿宋_GB2312" w:hAnsi="仿宋_GB2312" w:eastAsia="仿宋_GB2312" w:cs="仿宋_GB2312"/>
          <w:sz w:val="32"/>
          <w:szCs w:val="32"/>
        </w:rPr>
      </w:pPr>
    </w:p>
    <w:p w14:paraId="5B8B5DA1">
      <w:pPr>
        <w:spacing w:line="600" w:lineRule="exact"/>
        <w:jc w:val="center"/>
        <w:outlineLvl w:val="0"/>
        <w:rPr>
          <w:rFonts w:ascii="黑体" w:hAnsi="黑体" w:eastAsia="黑体"/>
          <w:color w:val="FF0000"/>
          <w:sz w:val="44"/>
          <w:szCs w:val="44"/>
        </w:rPr>
      </w:pPr>
      <w:bookmarkStart w:id="61" w:name="_Toc15396618"/>
      <w:r>
        <w:rPr>
          <w:rFonts w:hint="eastAsia"/>
          <w:sz w:val="32"/>
          <w:szCs w:val="32"/>
        </w:rPr>
        <w:t>部门预算项目支出绩效自评表（2023年度）</w:t>
      </w:r>
    </w:p>
    <w:p w14:paraId="583B6AE3">
      <w:pPr>
        <w:pStyle w:val="13"/>
        <w:spacing w:line="560" w:lineRule="exact"/>
        <w:ind w:left="0" w:leftChars="0" w:firstLine="640"/>
        <w:rPr>
          <w:sz w:val="32"/>
        </w:rPr>
      </w:pPr>
    </w:p>
    <w:p w14:paraId="24FF29D7">
      <w:pPr>
        <w:pStyle w:val="13"/>
        <w:spacing w:line="560" w:lineRule="exact"/>
        <w:ind w:left="0" w:leftChars="0" w:firstLine="640"/>
        <w:rPr>
          <w:rFonts w:hAnsi="Calibri" w:eastAsia="仿宋_GB2312" w:cs="仿宋"/>
          <w:sz w:val="32"/>
          <w:lang w:val="zh-CN"/>
        </w:rPr>
      </w:pPr>
      <w:r>
        <w:rPr>
          <w:rFonts w:hint="eastAsia" w:hAnsi="Calibri" w:eastAsia="仿宋_GB2312" w:cs="仿宋"/>
          <w:sz w:val="32"/>
        </w:rPr>
        <w:t>（备注：按照绩效自评工作安排，各单位可在预算管理一体化系统—综合报表查询—预算绩效报表模块中下载本单位“部门预算项目支出绩效自评表（2023年度）”，该表格应作为附件予以公开。）</w:t>
      </w:r>
    </w:p>
    <w:p w14:paraId="3713649A">
      <w:pPr>
        <w:pStyle w:val="2"/>
        <w:spacing w:before="93"/>
        <w:rPr>
          <w:rFonts w:hAnsi="Calibri" w:cs="仿宋"/>
          <w:sz w:val="32"/>
          <w:szCs w:val="32"/>
        </w:rPr>
      </w:pPr>
    </w:p>
    <w:p w14:paraId="09A119C9">
      <w:pPr>
        <w:pStyle w:val="2"/>
        <w:spacing w:before="93"/>
        <w:rPr>
          <w:rFonts w:hAnsi="Calibri" w:cs="仿宋"/>
          <w:sz w:val="32"/>
          <w:szCs w:val="32"/>
        </w:rPr>
      </w:pPr>
    </w:p>
    <w:p w14:paraId="3A4A9801">
      <w:pPr>
        <w:pStyle w:val="2"/>
        <w:spacing w:before="93"/>
        <w:rPr>
          <w:rFonts w:hAnsi="Calibri" w:cs="仿宋"/>
          <w:sz w:val="32"/>
          <w:szCs w:val="32"/>
        </w:rPr>
      </w:pPr>
    </w:p>
    <w:p w14:paraId="549419A1">
      <w:pPr>
        <w:pStyle w:val="2"/>
        <w:spacing w:before="93"/>
        <w:rPr>
          <w:rFonts w:hAnsi="Calibri" w:cs="仿宋"/>
          <w:sz w:val="32"/>
          <w:szCs w:val="32"/>
        </w:rPr>
      </w:pPr>
    </w:p>
    <w:p w14:paraId="34534D56">
      <w:pPr>
        <w:pStyle w:val="2"/>
        <w:spacing w:before="93"/>
        <w:rPr>
          <w:rFonts w:hAnsi="Calibri" w:cs="仿宋"/>
          <w:sz w:val="32"/>
          <w:szCs w:val="32"/>
        </w:rPr>
      </w:pPr>
    </w:p>
    <w:p w14:paraId="01785C6C">
      <w:pPr>
        <w:pStyle w:val="2"/>
        <w:spacing w:before="93"/>
        <w:rPr>
          <w:rFonts w:hAnsi="Calibri" w:cs="仿宋"/>
          <w:sz w:val="32"/>
          <w:szCs w:val="32"/>
        </w:rPr>
      </w:pPr>
    </w:p>
    <w:p w14:paraId="11F9F5BB">
      <w:pPr>
        <w:pStyle w:val="2"/>
        <w:spacing w:before="93"/>
        <w:rPr>
          <w:rFonts w:hAnsi="Calibri" w:cs="仿宋"/>
          <w:sz w:val="32"/>
          <w:szCs w:val="32"/>
        </w:rPr>
      </w:pPr>
    </w:p>
    <w:p w14:paraId="6F1387A6">
      <w:pPr>
        <w:pStyle w:val="2"/>
        <w:spacing w:before="93"/>
        <w:rPr>
          <w:rFonts w:hAnsi="Calibri" w:cs="仿宋"/>
          <w:sz w:val="32"/>
          <w:szCs w:val="32"/>
        </w:rPr>
      </w:pPr>
    </w:p>
    <w:p w14:paraId="43DADC20">
      <w:pPr>
        <w:pStyle w:val="2"/>
        <w:spacing w:before="93"/>
        <w:rPr>
          <w:rFonts w:hAnsi="Calibri" w:cs="仿宋"/>
          <w:sz w:val="32"/>
          <w:szCs w:val="32"/>
        </w:rPr>
      </w:pPr>
    </w:p>
    <w:p w14:paraId="31B91CF5">
      <w:pPr>
        <w:pStyle w:val="2"/>
        <w:spacing w:before="93"/>
        <w:rPr>
          <w:rFonts w:hAnsi="Calibri" w:cs="仿宋"/>
          <w:sz w:val="32"/>
          <w:szCs w:val="32"/>
        </w:rPr>
      </w:pPr>
    </w:p>
    <w:p w14:paraId="41295B03">
      <w:pPr>
        <w:pStyle w:val="2"/>
        <w:spacing w:before="93"/>
        <w:rPr>
          <w:rFonts w:hAnsi="Calibri" w:cs="仿宋"/>
          <w:sz w:val="32"/>
          <w:szCs w:val="32"/>
        </w:rPr>
      </w:pPr>
    </w:p>
    <w:p w14:paraId="03E86988">
      <w:pPr>
        <w:pStyle w:val="2"/>
        <w:spacing w:before="93"/>
        <w:rPr>
          <w:rFonts w:hAnsi="Calibri" w:cs="仿宋"/>
          <w:sz w:val="32"/>
          <w:szCs w:val="32"/>
        </w:rPr>
      </w:pPr>
    </w:p>
    <w:p w14:paraId="2352DD7F">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9"/>
      <w:bookmarkEnd w:id="61"/>
      <w:bookmarkStart w:id="62" w:name="_Toc15396619"/>
    </w:p>
    <w:p w14:paraId="252243AC">
      <w:pPr>
        <w:pStyle w:val="4"/>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62"/>
    </w:p>
    <w:p w14:paraId="62AC7B1D">
      <w:pPr>
        <w:pStyle w:val="4"/>
        <w:rPr>
          <w:rFonts w:ascii="仿宋" w:hAnsi="仿宋" w:eastAsia="仿宋"/>
        </w:rPr>
      </w:pPr>
      <w:bookmarkStart w:id="63" w:name="_Toc15396620"/>
      <w:r>
        <w:rPr>
          <w:rFonts w:hint="eastAsia" w:ascii="仿宋" w:hAnsi="仿宋" w:eastAsia="仿宋"/>
          <w:b w:val="0"/>
        </w:rPr>
        <w:t>二、收</w:t>
      </w:r>
      <w:r>
        <w:rPr>
          <w:rStyle w:val="28"/>
          <w:rFonts w:hint="eastAsia" w:ascii="仿宋" w:hAnsi="仿宋" w:eastAsia="仿宋"/>
          <w:b w:val="0"/>
          <w:bCs w:val="0"/>
        </w:rPr>
        <w:t>入决算表</w:t>
      </w:r>
      <w:bookmarkEnd w:id="63"/>
    </w:p>
    <w:p w14:paraId="6931DB8D">
      <w:pPr>
        <w:pStyle w:val="4"/>
        <w:rPr>
          <w:rFonts w:ascii="仿宋" w:hAnsi="仿宋" w:eastAsia="仿宋"/>
        </w:rPr>
      </w:pPr>
      <w:bookmarkStart w:id="64"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64"/>
    </w:p>
    <w:p w14:paraId="39F79BFE">
      <w:pPr>
        <w:pStyle w:val="4"/>
        <w:rPr>
          <w:rFonts w:ascii="仿宋" w:hAnsi="仿宋" w:eastAsia="仿宋"/>
          <w:b w:val="0"/>
        </w:rPr>
      </w:pPr>
      <w:bookmarkStart w:id="65"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65"/>
    </w:p>
    <w:p w14:paraId="6ECA374D">
      <w:pPr>
        <w:pStyle w:val="4"/>
        <w:rPr>
          <w:rStyle w:val="28"/>
          <w:rFonts w:ascii="仿宋" w:hAnsi="仿宋" w:eastAsia="仿宋"/>
          <w:b w:val="0"/>
          <w:bCs w:val="0"/>
        </w:rPr>
      </w:pPr>
      <w:bookmarkStart w:id="66"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66"/>
      <w:bookmarkStart w:id="67" w:name="_Toc15396624"/>
    </w:p>
    <w:p w14:paraId="161C0968">
      <w:pPr>
        <w:pStyle w:val="4"/>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67"/>
    </w:p>
    <w:p w14:paraId="2C458322">
      <w:pPr>
        <w:pStyle w:val="4"/>
        <w:rPr>
          <w:rFonts w:ascii="仿宋" w:hAnsi="仿宋" w:eastAsia="仿宋"/>
        </w:rPr>
      </w:pPr>
      <w:bookmarkStart w:id="68"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8"/>
    </w:p>
    <w:p w14:paraId="2D79595C">
      <w:pPr>
        <w:pStyle w:val="4"/>
        <w:rPr>
          <w:rFonts w:ascii="仿宋" w:hAnsi="仿宋" w:eastAsia="仿宋"/>
        </w:rPr>
      </w:pPr>
      <w:bookmarkStart w:id="69"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9"/>
    </w:p>
    <w:p w14:paraId="6FD52185">
      <w:pPr>
        <w:pStyle w:val="4"/>
        <w:rPr>
          <w:rFonts w:ascii="仿宋" w:hAnsi="仿宋" w:eastAsia="仿宋"/>
        </w:rPr>
      </w:pPr>
      <w:bookmarkStart w:id="70"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70"/>
    </w:p>
    <w:p w14:paraId="455EA0DE">
      <w:pPr>
        <w:pStyle w:val="4"/>
        <w:rPr>
          <w:rFonts w:ascii="仿宋" w:hAnsi="仿宋" w:eastAsia="仿宋"/>
        </w:rPr>
      </w:pPr>
      <w:bookmarkStart w:id="71" w:name="_Toc15396628"/>
      <w:r>
        <w:rPr>
          <w:rStyle w:val="28"/>
          <w:rFonts w:hint="eastAsia" w:ascii="仿宋" w:hAnsi="仿宋" w:eastAsia="仿宋"/>
          <w:b w:val="0"/>
          <w:bCs w:val="0"/>
        </w:rPr>
        <w:t>十、</w:t>
      </w:r>
      <w:bookmarkEnd w:id="71"/>
      <w:r>
        <w:rPr>
          <w:rFonts w:hint="eastAsia" w:ascii="仿宋" w:hAnsi="仿宋" w:eastAsia="仿宋"/>
          <w:b w:val="0"/>
        </w:rPr>
        <w:t>政</w:t>
      </w:r>
      <w:r>
        <w:rPr>
          <w:rStyle w:val="28"/>
          <w:rFonts w:hint="eastAsia" w:ascii="仿宋" w:hAnsi="仿宋" w:eastAsia="仿宋"/>
          <w:b w:val="0"/>
          <w:bCs w:val="0"/>
        </w:rPr>
        <w:t>府性基金预算财政拨款收入支出决算表</w:t>
      </w:r>
    </w:p>
    <w:p w14:paraId="1D975E6C">
      <w:pPr>
        <w:pStyle w:val="4"/>
        <w:rPr>
          <w:rFonts w:ascii="仿宋" w:hAnsi="仿宋" w:eastAsia="仿宋"/>
        </w:rPr>
      </w:pPr>
      <w:bookmarkStart w:id="72" w:name="_Toc15396629"/>
      <w:r>
        <w:rPr>
          <w:rStyle w:val="28"/>
          <w:rFonts w:hint="eastAsia" w:ascii="仿宋" w:hAnsi="仿宋" w:eastAsia="仿宋"/>
          <w:b w:val="0"/>
          <w:bCs w:val="0"/>
        </w:rPr>
        <w:t>十一、</w:t>
      </w:r>
      <w:bookmarkEnd w:id="72"/>
      <w:r>
        <w:rPr>
          <w:rFonts w:hint="eastAsia" w:ascii="仿宋" w:hAnsi="仿宋" w:eastAsia="仿宋"/>
          <w:b w:val="0"/>
        </w:rPr>
        <w:t>国</w:t>
      </w:r>
      <w:r>
        <w:rPr>
          <w:rStyle w:val="28"/>
          <w:rFonts w:hint="eastAsia" w:ascii="仿宋" w:hAnsi="仿宋" w:eastAsia="仿宋"/>
          <w:b w:val="0"/>
          <w:bCs w:val="0"/>
        </w:rPr>
        <w:t>有资本经营预算财政拨款收入支出决算表</w:t>
      </w:r>
    </w:p>
    <w:p w14:paraId="799822FE">
      <w:pPr>
        <w:pStyle w:val="4"/>
        <w:rPr>
          <w:rFonts w:ascii="仿宋" w:hAnsi="仿宋" w:eastAsia="仿宋"/>
        </w:rPr>
      </w:pPr>
      <w:bookmarkStart w:id="73" w:name="_Toc15396630"/>
      <w:r>
        <w:rPr>
          <w:rStyle w:val="28"/>
          <w:rFonts w:hint="eastAsia" w:ascii="仿宋" w:hAnsi="仿宋" w:eastAsia="仿宋"/>
          <w:b w:val="0"/>
          <w:bCs w:val="0"/>
        </w:rPr>
        <w:t>十二、</w:t>
      </w:r>
      <w:bookmarkEnd w:id="73"/>
      <w:r>
        <w:rPr>
          <w:rStyle w:val="28"/>
          <w:rFonts w:hint="eastAsia" w:ascii="仿宋" w:hAnsi="仿宋" w:eastAsia="仿宋"/>
          <w:b w:val="0"/>
          <w:bCs w:val="0"/>
        </w:rPr>
        <w:t>国有资本经营预算财政拨款支出决算表</w:t>
      </w:r>
    </w:p>
    <w:p w14:paraId="7C712A89">
      <w:pPr>
        <w:pStyle w:val="4"/>
        <w:rPr>
          <w:rFonts w:eastAsia="仿宋"/>
        </w:rPr>
      </w:pPr>
      <w:bookmarkStart w:id="74" w:name="_Toc15396631"/>
      <w:r>
        <w:rPr>
          <w:rStyle w:val="28"/>
          <w:rFonts w:hint="eastAsia" w:ascii="仿宋" w:hAnsi="仿宋" w:eastAsia="仿宋"/>
          <w:b w:val="0"/>
          <w:bCs w:val="0"/>
        </w:rPr>
        <w:t>十三、</w:t>
      </w:r>
      <w:bookmarkEnd w:id="74"/>
      <w:r>
        <w:rPr>
          <w:rStyle w:val="28"/>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239DAFD0">
        <w:pPr>
          <w:pStyle w:val="9"/>
          <w:jc w:val="center"/>
        </w:pPr>
        <w:r>
          <w:fldChar w:fldCharType="begin"/>
        </w:r>
        <w:r>
          <w:instrText xml:space="preserve">PAGE   \* MERGEFORMAT</w:instrText>
        </w:r>
        <w:r>
          <w:fldChar w:fldCharType="separate"/>
        </w:r>
        <w:r>
          <w:rPr>
            <w:lang w:val="zh-CN"/>
          </w:rPr>
          <w:t>15</w:t>
        </w:r>
        <w:r>
          <w:fldChar w:fldCharType="end"/>
        </w:r>
      </w:p>
    </w:sdtContent>
  </w:sdt>
  <w:p w14:paraId="2B2E69E3">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8728A">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abstractNum w:abstractNumId="4">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xOGVjYmEyZDg2YzIxMzVkYmM0YTllOTEwOWJhOTA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81B5E94"/>
    <w:rsid w:val="0A2032A3"/>
    <w:rsid w:val="0B8A37D8"/>
    <w:rsid w:val="0CB53558"/>
    <w:rsid w:val="0F5FFB2F"/>
    <w:rsid w:val="0FFFCF60"/>
    <w:rsid w:val="10C055FF"/>
    <w:rsid w:val="118107EC"/>
    <w:rsid w:val="11DD6519"/>
    <w:rsid w:val="16BB723D"/>
    <w:rsid w:val="18015F3F"/>
    <w:rsid w:val="1BE8440E"/>
    <w:rsid w:val="1D155CEE"/>
    <w:rsid w:val="1FDBBF84"/>
    <w:rsid w:val="20F57F95"/>
    <w:rsid w:val="240371BF"/>
    <w:rsid w:val="25711CC6"/>
    <w:rsid w:val="25742F42"/>
    <w:rsid w:val="25C741E6"/>
    <w:rsid w:val="276F80C0"/>
    <w:rsid w:val="27842671"/>
    <w:rsid w:val="29FD04D3"/>
    <w:rsid w:val="2ABE7A3E"/>
    <w:rsid w:val="2AFF09B6"/>
    <w:rsid w:val="2CA234A8"/>
    <w:rsid w:val="2EFA178C"/>
    <w:rsid w:val="2EFDF86C"/>
    <w:rsid w:val="2F9D17E1"/>
    <w:rsid w:val="30B46D73"/>
    <w:rsid w:val="319F7F4E"/>
    <w:rsid w:val="356A28F1"/>
    <w:rsid w:val="357C035A"/>
    <w:rsid w:val="368E000D"/>
    <w:rsid w:val="383D272C"/>
    <w:rsid w:val="3984248B"/>
    <w:rsid w:val="39AE70AB"/>
    <w:rsid w:val="3A4DCE41"/>
    <w:rsid w:val="3A591027"/>
    <w:rsid w:val="3BCB56FA"/>
    <w:rsid w:val="3C0C0783"/>
    <w:rsid w:val="3EE7C2F4"/>
    <w:rsid w:val="3F371B56"/>
    <w:rsid w:val="3F792ED8"/>
    <w:rsid w:val="3F9F3A96"/>
    <w:rsid w:val="3FECA4B2"/>
    <w:rsid w:val="3FF58C48"/>
    <w:rsid w:val="42FF6694"/>
    <w:rsid w:val="45C1250B"/>
    <w:rsid w:val="48BF60AB"/>
    <w:rsid w:val="493C27E9"/>
    <w:rsid w:val="496F39ED"/>
    <w:rsid w:val="49FF41D3"/>
    <w:rsid w:val="4BE068DB"/>
    <w:rsid w:val="4BF6002B"/>
    <w:rsid w:val="4BFFC6BE"/>
    <w:rsid w:val="4ECE2238"/>
    <w:rsid w:val="51DB4B86"/>
    <w:rsid w:val="51F64DB0"/>
    <w:rsid w:val="55333C3E"/>
    <w:rsid w:val="5B094774"/>
    <w:rsid w:val="5F67802D"/>
    <w:rsid w:val="5F7DC4F2"/>
    <w:rsid w:val="5FB36814"/>
    <w:rsid w:val="5FBB8E56"/>
    <w:rsid w:val="5FFB5535"/>
    <w:rsid w:val="64CA39A1"/>
    <w:rsid w:val="69630ADE"/>
    <w:rsid w:val="69BD5F13"/>
    <w:rsid w:val="69FB0B4B"/>
    <w:rsid w:val="6BFFE1FB"/>
    <w:rsid w:val="6C4A05C8"/>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3"/>
    <w:qFormat/>
    <w:uiPriority w:val="9"/>
    <w:rPr>
      <w:rFonts w:ascii="Times New Roman" w:hAnsi="Times New Roman"/>
      <w:b/>
      <w:bCs/>
      <w:kern w:val="44"/>
      <w:sz w:val="44"/>
      <w:szCs w:val="44"/>
    </w:rPr>
  </w:style>
  <w:style w:type="character" w:customStyle="1" w:styleId="28">
    <w:name w:val="标题 2 字符"/>
    <w:basedOn w:val="15"/>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semiHidden/>
    <w:qFormat/>
    <w:uiPriority w:val="99"/>
    <w:rPr>
      <w:rFonts w:ascii="Times New Roman" w:hAnsi="Times New Roman"/>
      <w:kern w:val="2"/>
      <w:sz w:val="18"/>
      <w:szCs w:val="18"/>
    </w:rPr>
  </w:style>
  <w:style w:type="character" w:customStyle="1" w:styleId="31">
    <w:name w:val="标题 3 字符"/>
    <w:basedOn w:val="15"/>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4" Type="http://schemas.microsoft.com/office/2011/relationships/chartColorStyle" Target="colors6.xml"/><Relationship Id="rId3" Type="http://schemas.microsoft.com/office/2011/relationships/chartStyle" Target="style6.xml"/><Relationship Id="rId2" Type="http://schemas.openxmlformats.org/officeDocument/2006/relationships/themeOverride" Target="../theme/themeOverride1.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80" b="1" i="0" u="none" strike="noStrike" kern="1200" baseline="0">
                <a:solidFill>
                  <a:schemeClr val="dk1">
                    <a:lumMod val="75000"/>
                    <a:lumOff val="25000"/>
                  </a:schemeClr>
                </a:solidFill>
                <a:latin typeface="+mn-lt"/>
                <a:ea typeface="+mn-ea"/>
                <a:cs typeface="+mn-cs"/>
              </a:defRPr>
            </a:pPr>
            <a:r>
              <a:rPr lang="en-US" altLang="zh-CN" sz="1080"/>
              <a:t>2023</a:t>
            </a:r>
            <a:r>
              <a:rPr altLang="en-US" sz="1080"/>
              <a:t>年收支决算总计变动情况</a:t>
            </a:r>
            <a:endParaRPr lang="en-US" altLang="zh-CN" sz="108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收入决算</c:v>
                </c:pt>
              </c:strCache>
            </c:strRef>
          </c:tx>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invertIfNegative val="0"/>
          <c:dLbls>
            <c:delete val="1"/>
          </c:dLbls>
          <c:cat>
            <c:strRef>
              <c:f>Sheet1!$A$2:$A$3</c:f>
              <c:strCache>
                <c:ptCount val="2"/>
                <c:pt idx="0">
                  <c:v>2023年</c:v>
                </c:pt>
                <c:pt idx="1">
                  <c:v>2022年</c:v>
                </c:pt>
              </c:strCache>
            </c:strRef>
          </c:cat>
          <c:val>
            <c:numRef>
              <c:f>Sheet1!$B$2:$B$3</c:f>
              <c:numCache>
                <c:formatCode>General</c:formatCode>
                <c:ptCount val="2"/>
                <c:pt idx="0">
                  <c:v>330.94</c:v>
                </c:pt>
                <c:pt idx="1">
                  <c:v>281.58</c:v>
                </c:pt>
              </c:numCache>
            </c:numRef>
          </c:val>
        </c:ser>
        <c:ser>
          <c:idx val="1"/>
          <c:order val="1"/>
          <c:tx>
            <c:strRef>
              <c:f>Sheet1!$C$1</c:f>
              <c:strCache>
                <c:ptCount val="1"/>
                <c:pt idx="0">
                  <c:v>支出决算</c:v>
                </c:pt>
              </c:strCache>
            </c:strRef>
          </c:tx>
          <c:spPr>
            <a:gradFill>
              <a:gsLst>
                <a:gs pos="0">
                  <a:schemeClr val="accent2">
                    <a:lumMod val="40000"/>
                    <a:lumOff val="60000"/>
                  </a:schemeClr>
                </a:gs>
                <a:gs pos="90000">
                  <a:schemeClr val="accent2"/>
                </a:gs>
              </a:gsLst>
              <a:lin ang="5400000" scaled="0"/>
            </a:gradFill>
            <a:ln>
              <a:gradFill>
                <a:gsLst>
                  <a:gs pos="0">
                    <a:schemeClr val="accent2"/>
                  </a:gs>
                  <a:gs pos="100000">
                    <a:schemeClr val="accent2">
                      <a:lumMod val="75000"/>
                    </a:schemeClr>
                  </a:gs>
                </a:gsLst>
                <a:lin ang="5400000" scaled="1"/>
              </a:gradFill>
            </a:ln>
            <a:effectLst>
              <a:outerShdw blurRad="76200" dist="25400" dir="2700000" algn="tl" rotWithShape="0">
                <a:schemeClr val="accent2">
                  <a:lumMod val="50000"/>
                  <a:alpha val="30000"/>
                </a:schemeClr>
              </a:outerShdw>
            </a:effectLst>
          </c:spPr>
          <c:invertIfNegative val="0"/>
          <c:dLbls>
            <c:delete val="1"/>
          </c:dLbls>
          <c:cat>
            <c:strRef>
              <c:f>Sheet1!$A$2:$A$3</c:f>
              <c:strCache>
                <c:ptCount val="2"/>
                <c:pt idx="0">
                  <c:v>2023年</c:v>
                </c:pt>
                <c:pt idx="1">
                  <c:v>2022年</c:v>
                </c:pt>
              </c:strCache>
            </c:strRef>
          </c:cat>
          <c:val>
            <c:numRef>
              <c:f>Sheet1!$C$2:$C$3</c:f>
              <c:numCache>
                <c:formatCode>General</c:formatCode>
                <c:ptCount val="2"/>
                <c:pt idx="0">
                  <c:v>330.94</c:v>
                </c:pt>
                <c:pt idx="1">
                  <c:v>281.58</c:v>
                </c:pt>
              </c:numCache>
            </c:numRef>
          </c:val>
        </c:ser>
        <c:ser>
          <c:idx val="2"/>
          <c:order val="2"/>
          <c:tx>
            <c:strRef>
              <c:f>Sheet1!#REF!</c:f>
              <c:strCache>
                <c:ptCount val="1"/>
                <c:pt idx="0">
                  <c:v/>
                </c:pt>
              </c:strCache>
            </c:strRef>
          </c:tx>
          <c:spPr>
            <a:gradFill>
              <a:gsLst>
                <a:gs pos="0">
                  <a:schemeClr val="accent3">
                    <a:lumMod val="40000"/>
                    <a:lumOff val="60000"/>
                  </a:schemeClr>
                </a:gs>
                <a:gs pos="90000">
                  <a:schemeClr val="accent3"/>
                </a:gs>
              </a:gsLst>
              <a:lin ang="5400000" scaled="0"/>
            </a:gradFill>
            <a:ln>
              <a:gradFill>
                <a:gsLst>
                  <a:gs pos="0">
                    <a:schemeClr val="accent3"/>
                  </a:gs>
                  <a:gs pos="100000">
                    <a:schemeClr val="accent3">
                      <a:lumMod val="75000"/>
                    </a:schemeClr>
                  </a:gs>
                </a:gsLst>
                <a:lin ang="5400000" scaled="1"/>
              </a:gradFill>
            </a:ln>
            <a:effectLst>
              <a:outerShdw blurRad="76200" dist="25400" dir="2700000" algn="tl" rotWithShape="0">
                <a:schemeClr val="accent3">
                  <a:lumMod val="50000"/>
                  <a:alpha val="30000"/>
                </a:schemeClr>
              </a:outerShdw>
            </a:effectLst>
          </c:spPr>
          <c:invertIfNegative val="0"/>
          <c:dLbls>
            <c:delete val="1"/>
          </c:dLbls>
          <c:cat>
            <c:strRef>
              <c:f>Sheet1!$A$2:$A$3</c:f>
              <c:strCache>
                <c:ptCount val="2"/>
                <c:pt idx="0">
                  <c:v>2023年</c:v>
                </c:pt>
                <c:pt idx="1">
                  <c:v>2022年</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46"/>
        <c:overlap val="-28"/>
        <c:axId val="408932059"/>
        <c:axId val="704877113"/>
      </c:barChart>
      <c:catAx>
        <c:axId val="40893205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4877113"/>
        <c:crosses val="autoZero"/>
        <c:auto val="1"/>
        <c:lblAlgn val="ctr"/>
        <c:lblOffset val="100"/>
        <c:noMultiLvlLbl val="0"/>
      </c:catAx>
      <c:valAx>
        <c:axId val="704877113"/>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8932059"/>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5ef2190-f294-44e9-8aa7-e923471020a8}"/>
      </c:ext>
    </c:extLst>
  </c:chart>
  <c:spPr>
    <a:solidFill>
      <a:schemeClr val="bg1"/>
    </a:solidFill>
    <a:ln w="9525" cap="flat" cmpd="sng" algn="ctr">
      <a:solidFill>
        <a:schemeClr val="tx1">
          <a:lumMod val="15000"/>
          <a:lumOff val="85000"/>
        </a:schemeClr>
      </a:solidFill>
      <a:round/>
    </a:ln>
    <a:effectLst/>
  </c:spPr>
  <c:txPr>
    <a:bodyPr/>
    <a:lstStyle/>
    <a:p>
      <a:pPr>
        <a:defRPr lang="zh-CN" sz="900"/>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2023收入决算</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elete val="1"/>
          </c:dLbls>
          <c:cat>
            <c:strRef>
              <c:f>Sheet1!$A$2:$A$4</c:f>
              <c:strCache>
                <c:ptCount val="3"/>
                <c:pt idx="0">
                  <c:v>一般公共预算财政拨款收入</c:v>
                </c:pt>
                <c:pt idx="1">
                  <c:v>事业收入</c:v>
                </c:pt>
                <c:pt idx="2">
                  <c:v>其他收入</c:v>
                </c:pt>
              </c:strCache>
            </c:strRef>
          </c:cat>
          <c:val>
            <c:numRef>
              <c:f>Sheet1!$B$2:$B$4</c:f>
              <c:numCache>
                <c:formatCode>General</c:formatCode>
                <c:ptCount val="3"/>
                <c:pt idx="0">
                  <c:v>39.46</c:v>
                </c:pt>
                <c:pt idx="1">
                  <c:v>272.79</c:v>
                </c:pt>
                <c:pt idx="2">
                  <c:v>18.69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cc83092-207f-4f7d-9c37-9fe82373e03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20</a:t>
            </a:r>
            <a:r>
              <a:rPr lang="en-US" altLang="zh-CN"/>
              <a:t>23</a:t>
            </a:r>
            <a:r>
              <a:t>年支出决算结构图</a:t>
            </a:r>
          </a:p>
        </c:rich>
      </c:tx>
      <c:layout/>
      <c:overlay val="0"/>
      <c:spPr>
        <a:noFill/>
        <a:ln>
          <a:noFill/>
        </a:ln>
        <a:effectLst/>
      </c:spPr>
    </c:title>
    <c:autoTitleDeleted val="0"/>
    <c:plotArea>
      <c:layout/>
      <c:pieChart>
        <c:varyColors val="1"/>
        <c:ser>
          <c:idx val="0"/>
          <c:order val="0"/>
          <c:tx>
            <c:strRef>
              <c:f>Sheet1!$B$1</c:f>
              <c:strCache>
                <c:ptCount val="1"/>
                <c:pt idx="0">
                  <c:v>2022年支出决算结构图</c:v>
                </c:pt>
              </c:strCache>
            </c:strRef>
          </c:tx>
          <c:spPr/>
          <c:explosion val="0"/>
          <c:dPt>
            <c:idx val="0"/>
            <c:bubble3D val="0"/>
            <c:spPr>
              <a:solidFill>
                <a:schemeClr val="accent1"/>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基本支出</c:v>
                </c:pt>
              </c:strCache>
            </c:strRef>
          </c:cat>
          <c:val>
            <c:numRef>
              <c:f>Sheet1!$B$2</c:f>
              <c:numCache>
                <c:formatCode>General</c:formatCode>
                <c:ptCount val="1"/>
                <c:pt idx="0">
                  <c:v>281.58</c:v>
                </c:pt>
              </c:numCache>
            </c:numRef>
          </c:val>
        </c:ser>
        <c:dLbls>
          <c:showLegendKey val="0"/>
          <c:showVal val="0"/>
          <c:showCatName val="1"/>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63d8966-cec7-4482-8f47-c67cde1a8e7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财政拨款收支决算总计变动情况</c:v>
                </c:pt>
              </c:strCache>
            </c:strRef>
          </c:tx>
          <c:spPr>
            <a:solidFill>
              <a:schemeClr val="accent1"/>
            </a:solidFill>
            <a:ln>
              <a:noFill/>
            </a:ln>
            <a:effectLst/>
          </c:spPr>
          <c:invertIfNegative val="0"/>
          <c:dLbls>
            <c:delete val="1"/>
          </c:dLbls>
          <c:cat>
            <c:numRef>
              <c:f>Sheet1!$A$2:$A$3</c:f>
              <c:numCache>
                <c:formatCode>General</c:formatCode>
                <c:ptCount val="2"/>
                <c:pt idx="0">
                  <c:v>2023</c:v>
                </c:pt>
                <c:pt idx="1">
                  <c:v>2022</c:v>
                </c:pt>
              </c:numCache>
            </c:numRef>
          </c:cat>
          <c:val>
            <c:numRef>
              <c:f>Sheet1!$B$2:$B$3</c:f>
              <c:numCache>
                <c:formatCode>General</c:formatCode>
                <c:ptCount val="2"/>
                <c:pt idx="0">
                  <c:v>39.46</c:v>
                </c:pt>
                <c:pt idx="1">
                  <c:v>0</c:v>
                </c:pt>
              </c:numCache>
            </c:numRef>
          </c:val>
        </c:ser>
        <c:dLbls>
          <c:showLegendKey val="0"/>
          <c:showVal val="0"/>
          <c:showCatName val="0"/>
          <c:showSerName val="0"/>
          <c:showPercent val="0"/>
          <c:showBubbleSize val="0"/>
        </c:dLbls>
        <c:gapWidth val="246"/>
        <c:overlap val="-28"/>
        <c:axId val="20428011"/>
        <c:axId val="221739981"/>
      </c:barChart>
      <c:catAx>
        <c:axId val="2042801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1739981"/>
        <c:crosses val="autoZero"/>
        <c:auto val="1"/>
        <c:lblAlgn val="ctr"/>
        <c:lblOffset val="100"/>
        <c:noMultiLvlLbl val="0"/>
      </c:catAx>
      <c:valAx>
        <c:axId val="221739981"/>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428011"/>
        <c:crosses val="autoZero"/>
        <c:crossBetween val="between"/>
      </c:valAx>
      <c:spPr>
        <a:noFill/>
        <a:ln>
          <a:noFill/>
        </a:ln>
        <a:effectLst/>
      </c:spPr>
    </c:plotArea>
    <c:legend>
      <c:legendPos val="b"/>
      <c:layout>
        <c:manualLayout>
          <c:xMode val="edge"/>
          <c:yMode val="edge"/>
          <c:x val="0.387291616332447"/>
          <c:y val="0.92243943901402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fbd2134-8a3f-407b-a059-767fe967cd1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一般公共预算财政拨款支出决算变动情况</c:v>
                </c:pt>
              </c:strCache>
            </c:strRef>
          </c:tx>
          <c:spPr>
            <a:solidFill>
              <a:schemeClr val="accent1"/>
            </a:solidFill>
            <a:ln>
              <a:noFill/>
            </a:ln>
            <a:effectLst/>
          </c:spPr>
          <c:invertIfNegative val="0"/>
          <c:dLbls>
            <c:delete val="1"/>
          </c:dLbls>
          <c:cat>
            <c:numRef>
              <c:f>Sheet1!$A$2:$A$3</c:f>
              <c:numCache>
                <c:formatCode>General</c:formatCode>
                <c:ptCount val="2"/>
                <c:pt idx="0">
                  <c:v>2023</c:v>
                </c:pt>
                <c:pt idx="1">
                  <c:v>2022</c:v>
                </c:pt>
              </c:numCache>
            </c:numRef>
          </c:cat>
          <c:val>
            <c:numRef>
              <c:f>Sheet1!$B$2:$B$3</c:f>
              <c:numCache>
                <c:formatCode>General</c:formatCode>
                <c:ptCount val="2"/>
                <c:pt idx="0">
                  <c:v>39.46</c:v>
                </c:pt>
                <c:pt idx="1">
                  <c:v>0</c:v>
                </c:pt>
              </c:numCache>
            </c:numRef>
          </c:val>
        </c:ser>
        <c:dLbls>
          <c:showLegendKey val="0"/>
          <c:showVal val="0"/>
          <c:showCatName val="0"/>
          <c:showSerName val="0"/>
          <c:showPercent val="0"/>
          <c:showBubbleSize val="0"/>
        </c:dLbls>
        <c:gapWidth val="246"/>
        <c:overlap val="-28"/>
        <c:axId val="20428011"/>
        <c:axId val="221739981"/>
      </c:barChart>
      <c:catAx>
        <c:axId val="2042801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1739981"/>
        <c:crosses val="autoZero"/>
        <c:auto val="1"/>
        <c:lblAlgn val="ctr"/>
        <c:lblOffset val="100"/>
        <c:noMultiLvlLbl val="0"/>
      </c:catAx>
      <c:valAx>
        <c:axId val="221739981"/>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428011"/>
        <c:crosses val="autoZero"/>
        <c:crossBetween val="between"/>
      </c:valAx>
      <c:spPr>
        <a:noFill/>
        <a:ln>
          <a:noFill/>
        </a:ln>
        <a:effectLst/>
      </c:spPr>
    </c:plotArea>
    <c:legend>
      <c:legendPos val="b"/>
      <c:layout>
        <c:manualLayout>
          <c:xMode val="edge"/>
          <c:yMode val="edge"/>
          <c:x val="0.387291616332447"/>
          <c:y val="0.92243943901402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6f5a50b-f3aa-471a-b9bd-883d37908ac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1"/>
          <c:order val="0"/>
          <c:tx>
            <c:strRef>
              <c:f>Sheet1!$B$1</c:f>
              <c:strCache>
                <c:ptCount val="1"/>
                <c:pt idx="0">
                  <c:v>一般公共预算财政拨款支出决算</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绩效工资支出</c:v>
                </c:pt>
                <c:pt idx="1">
                  <c:v>对个人和家庭的补助</c:v>
                </c:pt>
              </c:strCache>
            </c:strRef>
          </c:cat>
          <c:val>
            <c:numRef>
              <c:f>Sheet1!$B$2:$B$3</c:f>
              <c:numCache>
                <c:formatCode>General</c:formatCode>
                <c:ptCount val="2"/>
                <c:pt idx="0">
                  <c:v>8.2</c:v>
                </c:pt>
                <c:pt idx="1">
                  <c:v>3.2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extLst>
      <c:ext uri="{0b15fc19-7d7d-44ad-8c2d-2c3a37ce22c3}">
        <chartProps xmlns="https://web.wps.cn/et/2018/main" chartId="{3879e3a7-a654-4557-bdfd-1708863ff88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Company>四川省财政厅</Company>
  <Pages>17</Pages>
  <Words>5298</Words>
  <Characters>5690</Characters>
  <Lines>54</Lines>
  <Paragraphs>15</Paragraphs>
  <TotalTime>1</TotalTime>
  <ScaleCrop>false</ScaleCrop>
  <LinksUpToDate>false</LinksUpToDate>
  <CharactersWithSpaces>5711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李俊霖</cp:lastModifiedBy>
  <cp:lastPrinted>2023-08-03T02:35:00Z</cp:lastPrinted>
  <dcterms:modified xsi:type="dcterms:W3CDTF">2024-10-25T02:40:09Z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1867AAD3C64745499F291D9CAA2FE95E_12</vt:lpwstr>
  </property>
</Properties>
</file>