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AB099">
      <w:pPr>
        <w:spacing w:line="600" w:lineRule="exact"/>
        <w:jc w:val="center"/>
        <w:outlineLvl w:val="0"/>
        <w:rPr>
          <w:rFonts w:ascii="方正小标宋简体" w:hAnsi="宋体" w:eastAsia="方正小标宋简体"/>
          <w:color w:val="000000"/>
          <w:sz w:val="72"/>
          <w:szCs w:val="72"/>
        </w:rPr>
      </w:pPr>
      <w:bookmarkStart w:id="0" w:name="_Toc15306267"/>
    </w:p>
    <w:p w14:paraId="5A07999F">
      <w:pPr>
        <w:spacing w:line="600" w:lineRule="exact"/>
        <w:jc w:val="center"/>
        <w:outlineLvl w:val="0"/>
        <w:rPr>
          <w:rFonts w:ascii="方正小标宋简体" w:hAnsi="宋体" w:eastAsia="方正小标宋简体"/>
          <w:color w:val="000000"/>
          <w:sz w:val="72"/>
          <w:szCs w:val="72"/>
        </w:rPr>
      </w:pPr>
    </w:p>
    <w:p w14:paraId="19C2B91A">
      <w:pPr>
        <w:spacing w:line="600" w:lineRule="exact"/>
        <w:jc w:val="center"/>
        <w:outlineLvl w:val="0"/>
        <w:rPr>
          <w:rFonts w:ascii="方正小标宋简体" w:hAnsi="宋体" w:eastAsia="方正小标宋简体"/>
          <w:color w:val="000000"/>
          <w:sz w:val="72"/>
          <w:szCs w:val="72"/>
        </w:rPr>
      </w:pPr>
    </w:p>
    <w:p w14:paraId="4996AB80">
      <w:pPr>
        <w:spacing w:line="600" w:lineRule="exact"/>
        <w:jc w:val="center"/>
        <w:outlineLvl w:val="0"/>
        <w:rPr>
          <w:rFonts w:ascii="方正小标宋简体" w:hAnsi="宋体" w:eastAsia="方正小标宋简体"/>
          <w:color w:val="000000"/>
          <w:sz w:val="72"/>
          <w:szCs w:val="72"/>
        </w:rPr>
      </w:pPr>
    </w:p>
    <w:p w14:paraId="5B37BDE2">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96475"/>
      <w:bookmarkStart w:id="5" w:name="_Toc15377193"/>
      <w:r>
        <w:rPr>
          <w:rFonts w:ascii="黑体" w:hAnsi="黑体" w:eastAsia="黑体"/>
          <w:color w:val="000000"/>
          <w:sz w:val="72"/>
          <w:szCs w:val="72"/>
        </w:rPr>
        <w:t>20</w:t>
      </w:r>
      <w:r>
        <w:rPr>
          <w:rFonts w:hint="eastAsia" w:ascii="黑体" w:hAnsi="黑体" w:eastAsia="黑体"/>
          <w:color w:val="000000"/>
          <w:sz w:val="72"/>
          <w:szCs w:val="72"/>
          <w:lang w:val="en-US" w:eastAsia="zh-CN"/>
        </w:rPr>
        <w:t>23</w:t>
      </w:r>
      <w:r>
        <w:rPr>
          <w:rFonts w:hint="eastAsia" w:ascii="方正小标宋简体" w:hAnsi="宋体" w:eastAsia="方正小标宋简体"/>
          <w:color w:val="000000"/>
          <w:sz w:val="72"/>
          <w:szCs w:val="72"/>
        </w:rPr>
        <w:t>年度</w:t>
      </w:r>
      <w:bookmarkEnd w:id="1"/>
      <w:bookmarkEnd w:id="2"/>
      <w:bookmarkEnd w:id="3"/>
      <w:bookmarkEnd w:id="4"/>
      <w:bookmarkEnd w:id="5"/>
    </w:p>
    <w:p w14:paraId="45564C5B">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color w:val="000000"/>
          <w:sz w:val="72"/>
          <w:szCs w:val="72"/>
        </w:rPr>
      </w:pPr>
      <w:bookmarkStart w:id="6" w:name="_Toc15396476"/>
      <w:bookmarkStart w:id="7" w:name="_Toc15377426"/>
      <w:bookmarkStart w:id="8" w:name="_Toc15396598"/>
      <w:bookmarkStart w:id="9" w:name="_Toc15378442"/>
      <w:bookmarkStart w:id="10" w:name="_Toc15377194"/>
      <w:r>
        <w:rPr>
          <w:rFonts w:hint="eastAsia" w:ascii="方正小标宋简体" w:hAnsi="宋体" w:eastAsia="方正小标宋简体"/>
          <w:color w:val="000000"/>
          <w:sz w:val="72"/>
          <w:szCs w:val="72"/>
          <w:lang w:eastAsia="zh-CN"/>
        </w:rPr>
        <w:t>大竹县</w:t>
      </w:r>
      <w:bookmarkEnd w:id="0"/>
      <w:bookmarkStart w:id="11" w:name="_Toc15306268"/>
      <w:r>
        <w:rPr>
          <w:rFonts w:hint="eastAsia" w:ascii="方正小标宋简体" w:hAnsi="宋体" w:eastAsia="方正小标宋简体"/>
          <w:color w:val="000000"/>
          <w:sz w:val="72"/>
          <w:szCs w:val="72"/>
          <w:lang w:eastAsia="zh-CN"/>
        </w:rPr>
        <w:t>城乡规划编制中心</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35097FF7">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14:paraId="134A7CB7">
      <w:pPr>
        <w:pStyle w:val="10"/>
      </w:pPr>
      <w:r>
        <w:rPr>
          <w:rFonts w:hint="eastAsia"/>
        </w:rPr>
        <w:t>公开时间：20</w:t>
      </w:r>
      <w:r>
        <w:rPr>
          <w:rFonts w:hint="eastAsia"/>
          <w:lang w:val="en-US" w:eastAsia="zh-CN"/>
        </w:rPr>
        <w:t>23</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79639F7D">
      <w:pPr>
        <w:keepNext w:val="0"/>
        <w:keepLines w:val="0"/>
        <w:pageBreakBefore w:val="0"/>
        <w:widowControl w:val="0"/>
        <w:kinsoku/>
        <w:wordWrap/>
        <w:overflowPunct/>
        <w:topLinePunct w:val="0"/>
        <w:autoSpaceDE/>
        <w:autoSpaceDN/>
        <w:bidi w:val="0"/>
        <w:adjustRightInd/>
        <w:snapToGrid/>
        <w:spacing w:line="578" w:lineRule="exact"/>
        <w:textAlignment w:val="auto"/>
      </w:pPr>
    </w:p>
    <w:p w14:paraId="2BE2B4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 xml:space="preserve">第一部分 </w:t>
      </w:r>
      <w:r>
        <w:rPr>
          <w:rFonts w:hint="eastAsia" w:ascii="黑体" w:hAnsi="黑体" w:eastAsia="黑体" w:cs="黑体"/>
          <w:sz w:val="24"/>
          <w:szCs w:val="24"/>
          <w:lang w:eastAsia="zh-CN"/>
        </w:rPr>
        <w:t>单位</w:t>
      </w:r>
      <w:r>
        <w:rPr>
          <w:rFonts w:hint="eastAsia" w:ascii="黑体" w:hAnsi="黑体" w:eastAsia="黑体" w:cs="黑体"/>
          <w:sz w:val="24"/>
          <w:szCs w:val="24"/>
        </w:rPr>
        <w:t>概况</w:t>
      </w:r>
      <w:r>
        <w:rPr>
          <w:rFonts w:hint="eastAsia" w:ascii="仿宋_GB2312" w:hAnsi="仿宋_GB2312" w:eastAsia="仿宋_GB2312" w:cs="仿宋_GB2312"/>
          <w:sz w:val="24"/>
          <w:szCs w:val="24"/>
          <w:lang w:val="en-US" w:eastAsia="zh-CN"/>
        </w:rPr>
        <w:t>.................................................4</w:t>
      </w:r>
    </w:p>
    <w:p w14:paraId="25841B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一、主要职责......................................................4</w:t>
      </w:r>
    </w:p>
    <w:p w14:paraId="7E4B73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二、机构设置 .....................................................4</w:t>
      </w:r>
    </w:p>
    <w:p w14:paraId="00CB88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第二部</w:t>
      </w:r>
      <w:r>
        <w:rPr>
          <w:rFonts w:hint="eastAsia" w:ascii="黑体" w:hAnsi="黑体" w:eastAsia="黑体" w:cs="黑体"/>
          <w:sz w:val="24"/>
          <w:szCs w:val="24"/>
          <w:lang w:val="en-US" w:eastAsia="zh-CN"/>
        </w:rPr>
        <w:t>2023年度</w:t>
      </w:r>
      <w:r>
        <w:rPr>
          <w:rFonts w:hint="eastAsia" w:ascii="黑体" w:hAnsi="黑体" w:eastAsia="黑体" w:cs="黑体"/>
          <w:sz w:val="24"/>
          <w:szCs w:val="24"/>
          <w:lang w:eastAsia="zh-CN"/>
        </w:rPr>
        <w:t>单位</w:t>
      </w:r>
      <w:r>
        <w:rPr>
          <w:rFonts w:hint="eastAsia" w:ascii="黑体" w:hAnsi="黑体" w:eastAsia="黑体" w:cs="黑体"/>
          <w:sz w:val="24"/>
          <w:szCs w:val="24"/>
        </w:rPr>
        <w:t>决算情况说明</w:t>
      </w:r>
      <w:r>
        <w:rPr>
          <w:rFonts w:hint="eastAsia" w:ascii="仿宋_GB2312" w:hAnsi="仿宋_GB2312" w:eastAsia="仿宋_GB2312" w:cs="仿宋_GB2312"/>
          <w:sz w:val="24"/>
          <w:szCs w:val="24"/>
          <w:lang w:val="en-US" w:eastAsia="zh-CN"/>
        </w:rPr>
        <w:t>...................................6</w:t>
      </w:r>
    </w:p>
    <w:p w14:paraId="6EDB1C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一、收入支出决算总体情况..........................................6</w:t>
      </w:r>
    </w:p>
    <w:p w14:paraId="43B6C0D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二、收入决算情况说明..............................................6</w:t>
      </w:r>
    </w:p>
    <w:p w14:paraId="594A3A9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三、支出决算情况说明..............................................7</w:t>
      </w:r>
    </w:p>
    <w:p w14:paraId="4C7957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四、财政拨款收入支出决算总体情况说明</w:t>
      </w:r>
      <w:r>
        <w:rPr>
          <w:rFonts w:hint="eastAsia" w:ascii="仿宋_GB2312" w:hAnsi="仿宋_GB2312" w:eastAsia="仿宋_GB2312" w:cs="仿宋_GB2312"/>
          <w:sz w:val="24"/>
          <w:szCs w:val="24"/>
          <w:lang w:val="en-US" w:eastAsia="zh-CN"/>
        </w:rPr>
        <w:t>..............................7</w:t>
      </w:r>
    </w:p>
    <w:p w14:paraId="29B99D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五、一般公共预算财政拨款支出决算情况说明</w:t>
      </w:r>
      <w:r>
        <w:rPr>
          <w:rFonts w:hint="eastAsia" w:ascii="仿宋_GB2312" w:hAnsi="仿宋_GB2312" w:eastAsia="仿宋_GB2312" w:cs="仿宋_GB2312"/>
          <w:sz w:val="24"/>
          <w:szCs w:val="24"/>
          <w:lang w:val="en-US" w:eastAsia="zh-CN"/>
        </w:rPr>
        <w:t>..........................8</w:t>
      </w:r>
    </w:p>
    <w:p w14:paraId="68E4F4F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六、一般公共预算财政拨款基本支出决算情况说明</w:t>
      </w:r>
      <w:r>
        <w:rPr>
          <w:rFonts w:hint="eastAsia" w:ascii="仿宋_GB2312" w:hAnsi="仿宋_GB2312" w:eastAsia="仿宋_GB2312" w:cs="仿宋_GB2312"/>
          <w:sz w:val="24"/>
          <w:szCs w:val="24"/>
          <w:lang w:val="en-US" w:eastAsia="zh-CN"/>
        </w:rPr>
        <w:t>.....................10</w:t>
      </w:r>
    </w:p>
    <w:p w14:paraId="360E3E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七、财政拨款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三公”经费支出决算情况说明</w:t>
      </w:r>
      <w:r>
        <w:rPr>
          <w:rFonts w:hint="eastAsia" w:ascii="仿宋_GB2312" w:hAnsi="仿宋_GB2312" w:eastAsia="仿宋_GB2312" w:cs="仿宋_GB2312"/>
          <w:sz w:val="24"/>
          <w:szCs w:val="24"/>
          <w:lang w:val="en-US" w:eastAsia="zh-CN"/>
        </w:rPr>
        <w:t>.........................11</w:t>
      </w:r>
    </w:p>
    <w:p w14:paraId="7CB895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八、政府性基金预算支出决算情况说明</w:t>
      </w:r>
      <w:r>
        <w:rPr>
          <w:rFonts w:hint="eastAsia" w:ascii="仿宋_GB2312" w:hAnsi="仿宋_GB2312" w:eastAsia="仿宋_GB2312" w:cs="仿宋_GB2312"/>
          <w:sz w:val="24"/>
          <w:szCs w:val="24"/>
          <w:lang w:val="en-US" w:eastAsia="zh-CN"/>
        </w:rPr>
        <w:t>...............................13</w:t>
      </w:r>
    </w:p>
    <w:p w14:paraId="7C8A78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九、国有资本经营预算支出决算情况说明</w:t>
      </w:r>
      <w:r>
        <w:rPr>
          <w:rFonts w:hint="eastAsia" w:ascii="仿宋_GB2312" w:hAnsi="仿宋_GB2312" w:eastAsia="仿宋_GB2312" w:cs="仿宋_GB2312"/>
          <w:sz w:val="24"/>
          <w:szCs w:val="24"/>
          <w:lang w:val="en-US" w:eastAsia="zh-CN"/>
        </w:rPr>
        <w:t>.............................13</w:t>
      </w:r>
    </w:p>
    <w:p w14:paraId="61E66A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十、其他重要事项的情况说明</w:t>
      </w:r>
      <w:r>
        <w:rPr>
          <w:rFonts w:hint="eastAsia" w:ascii="仿宋_GB2312" w:hAnsi="仿宋_GB2312" w:eastAsia="仿宋_GB2312" w:cs="仿宋_GB2312"/>
          <w:sz w:val="24"/>
          <w:szCs w:val="24"/>
          <w:lang w:val="en-US" w:eastAsia="zh-CN"/>
        </w:rPr>
        <w:t>.......................................13</w:t>
      </w:r>
    </w:p>
    <w:p w14:paraId="4F5961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第三部分 名词解释</w:t>
      </w:r>
      <w:r>
        <w:rPr>
          <w:rFonts w:hint="eastAsia" w:ascii="仿宋_GB2312" w:hAnsi="仿宋_GB2312" w:eastAsia="仿宋_GB2312" w:cs="仿宋_GB2312"/>
          <w:sz w:val="24"/>
          <w:szCs w:val="24"/>
          <w:lang w:val="en-US" w:eastAsia="zh-CN"/>
        </w:rPr>
        <w:t>................................................16</w:t>
      </w:r>
    </w:p>
    <w:p w14:paraId="10BB8C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第四部分 附件</w:t>
      </w:r>
      <w:r>
        <w:rPr>
          <w:rFonts w:hint="eastAsia" w:ascii="仿宋_GB2312" w:hAnsi="仿宋_GB2312" w:eastAsia="仿宋_GB2312" w:cs="仿宋_GB2312"/>
          <w:sz w:val="24"/>
          <w:szCs w:val="24"/>
          <w:lang w:val="en-US" w:eastAsia="zh-CN"/>
        </w:rPr>
        <w:t>....................................................19</w:t>
      </w:r>
    </w:p>
    <w:p w14:paraId="6C6215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第五部分 附表</w:t>
      </w:r>
      <w:r>
        <w:rPr>
          <w:rFonts w:hint="eastAsia" w:ascii="仿宋_GB2312" w:hAnsi="仿宋_GB2312" w:eastAsia="仿宋_GB2312" w:cs="仿宋_GB2312"/>
          <w:sz w:val="24"/>
          <w:szCs w:val="24"/>
          <w:lang w:val="en-US" w:eastAsia="zh-CN"/>
        </w:rPr>
        <w:t>....................................................25</w:t>
      </w:r>
    </w:p>
    <w:p w14:paraId="033C94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bookmarkStart w:id="12" w:name="_Toc15396599"/>
      <w:bookmarkStart w:id="13" w:name="_Toc15377196"/>
      <w:r>
        <w:rPr>
          <w:rFonts w:hint="eastAsia" w:ascii="仿宋_GB2312" w:hAnsi="仿宋_GB2312" w:eastAsia="仿宋_GB2312" w:cs="仿宋_GB2312"/>
          <w:sz w:val="24"/>
          <w:szCs w:val="24"/>
        </w:rPr>
        <w:t>一、收入支出决算总表</w:t>
      </w:r>
    </w:p>
    <w:p w14:paraId="0FBF29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二、收入决算表</w:t>
      </w:r>
    </w:p>
    <w:p w14:paraId="4DD6F3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三、支出决算表</w:t>
      </w:r>
    </w:p>
    <w:p w14:paraId="138335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四、财政拨款收入支出决算总表</w:t>
      </w:r>
    </w:p>
    <w:p w14:paraId="3F5567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五、财政拨款支出决算明细表</w:t>
      </w:r>
    </w:p>
    <w:p w14:paraId="383AF0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六、一般公共预算财政拨款支出决算表</w:t>
      </w:r>
    </w:p>
    <w:p w14:paraId="32E927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七、一般公共预算财政拨款支出决算明细表</w:t>
      </w:r>
    </w:p>
    <w:p w14:paraId="35764F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八、一般公共预算财政拨款基本支出决算</w:t>
      </w:r>
      <w:r>
        <w:rPr>
          <w:rFonts w:hint="eastAsia" w:ascii="仿宋_GB2312" w:hAnsi="仿宋_GB2312" w:eastAsia="仿宋_GB2312" w:cs="仿宋_GB2312"/>
          <w:sz w:val="24"/>
          <w:szCs w:val="24"/>
          <w:lang w:eastAsia="zh-CN"/>
        </w:rPr>
        <w:t>明细</w:t>
      </w:r>
      <w:r>
        <w:rPr>
          <w:rFonts w:hint="eastAsia" w:ascii="仿宋_GB2312" w:hAnsi="仿宋_GB2312" w:eastAsia="仿宋_GB2312" w:cs="仿宋_GB2312"/>
          <w:sz w:val="24"/>
          <w:szCs w:val="24"/>
        </w:rPr>
        <w:t>表</w:t>
      </w:r>
    </w:p>
    <w:p w14:paraId="72256E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九、一般公共预算财政拨款项目支出决算表</w:t>
      </w:r>
    </w:p>
    <w:p w14:paraId="6AAB7F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十、政府性基金预算财政拨款收入支出决算表</w:t>
      </w:r>
    </w:p>
    <w:p w14:paraId="509310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十一、国有资本经营预算财政拨款收入支出决算表</w:t>
      </w:r>
    </w:p>
    <w:p w14:paraId="083196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w:t>
      </w:r>
      <w:r>
        <w:rPr>
          <w:rFonts w:hint="eastAsia" w:ascii="仿宋_GB2312" w:hAnsi="仿宋_GB2312" w:eastAsia="仿宋_GB2312" w:cs="仿宋_GB2312"/>
          <w:sz w:val="24"/>
          <w:szCs w:val="24"/>
          <w:lang w:val="en-US" w:eastAsia="zh-CN"/>
        </w:rPr>
        <w:t>国有资本经营预算财政拨款支出决算表</w:t>
      </w:r>
    </w:p>
    <w:p w14:paraId="5BD4C61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Cs/>
          <w:kern w:val="44"/>
          <w:sz w:val="24"/>
        </w:rPr>
      </w:pPr>
      <w:r>
        <w:rPr>
          <w:rFonts w:hint="eastAsia" w:ascii="仿宋_GB2312" w:hAnsi="仿宋_GB2312" w:eastAsia="仿宋_GB2312" w:cs="仿宋_GB2312"/>
          <w:sz w:val="24"/>
          <w:szCs w:val="24"/>
        </w:rPr>
        <w:t>十三、财政拨款“三公”经费支出决算表</w:t>
      </w:r>
      <w:r>
        <w:rPr>
          <w:rFonts w:ascii="仿宋" w:hAnsi="仿宋" w:eastAsia="仿宋"/>
          <w:b/>
          <w:sz w:val="24"/>
        </w:rPr>
        <w:br w:type="page"/>
      </w:r>
    </w:p>
    <w:p w14:paraId="5907CE30">
      <w:pPr>
        <w:pStyle w:val="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sz w:val="44"/>
          <w:szCs w:val="44"/>
        </w:rPr>
        <w:t xml:space="preserve">第一部分 </w:t>
      </w:r>
      <w:r>
        <w:rPr>
          <w:rStyle w:val="25"/>
          <w:rFonts w:hint="eastAsia" w:ascii="方正小标宋简体" w:hAnsi="方正小标宋简体" w:eastAsia="方正小标宋简体" w:cs="方正小标宋简体"/>
          <w:b w:val="0"/>
          <w:bCs w:val="0"/>
          <w:sz w:val="44"/>
          <w:szCs w:val="44"/>
          <w:lang w:val="en-US" w:eastAsia="zh-CN"/>
        </w:rPr>
        <w:t>单位</w:t>
      </w:r>
      <w:r>
        <w:rPr>
          <w:rStyle w:val="25"/>
          <w:rFonts w:hint="eastAsia" w:ascii="方正小标宋简体" w:hAnsi="方正小标宋简体" w:eastAsia="方正小标宋简体" w:cs="方正小标宋简体"/>
          <w:b w:val="0"/>
          <w:bCs w:val="0"/>
          <w:sz w:val="44"/>
          <w:szCs w:val="44"/>
        </w:rPr>
        <w:t>概况</w:t>
      </w:r>
      <w:bookmarkEnd w:id="12"/>
      <w:bookmarkEnd w:id="13"/>
    </w:p>
    <w:p w14:paraId="394213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bookmarkStart w:id="14" w:name="_Toc15396600"/>
      <w:bookmarkStart w:id="15" w:name="_Toc15377197"/>
      <w:r>
        <w:rPr>
          <w:rFonts w:hint="eastAsia" w:ascii="黑体" w:hAnsi="黑体" w:eastAsia="黑体" w:cs="黑体"/>
          <w:sz w:val="32"/>
          <w:szCs w:val="32"/>
        </w:rPr>
        <w:t>一、</w:t>
      </w:r>
      <w:bookmarkEnd w:id="14"/>
      <w:bookmarkEnd w:id="15"/>
      <w:r>
        <w:rPr>
          <w:rFonts w:hint="eastAsia" w:ascii="黑体" w:hAnsi="黑体" w:eastAsia="黑体" w:cs="黑体"/>
          <w:sz w:val="32"/>
          <w:szCs w:val="32"/>
          <w:lang w:val="en-US" w:eastAsia="zh-CN"/>
        </w:rPr>
        <w:t>主要职责</w:t>
      </w:r>
    </w:p>
    <w:p w14:paraId="465B7C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bookmarkStart w:id="16" w:name="_Toc15378445"/>
      <w:bookmarkStart w:id="17" w:name="_Toc15377198"/>
      <w:r>
        <w:rPr>
          <w:rFonts w:hint="eastAsia" w:ascii="楷体" w:hAnsi="楷体" w:eastAsia="楷体" w:cs="楷体"/>
          <w:sz w:val="32"/>
          <w:szCs w:val="32"/>
        </w:rPr>
        <w:t>主要职能。</w:t>
      </w:r>
      <w:bookmarkEnd w:id="16"/>
      <w:bookmarkEnd w:id="17"/>
      <w:bookmarkStart w:id="18" w:name="_Toc15396601"/>
      <w:bookmarkStart w:id="19" w:name="_Toc15377200"/>
      <w:r>
        <w:rPr>
          <w:rFonts w:hint="eastAsia" w:ascii="仿宋_GB2312" w:hAnsi="仿宋_GB2312" w:eastAsia="仿宋_GB2312" w:cs="仿宋_GB2312"/>
          <w:sz w:val="32"/>
          <w:szCs w:val="32"/>
        </w:rPr>
        <w:t>（一）贯彻执行国土空间规划有关法律、法规、规章和方针政策。组织全县国土空间发展战略规划和有关政策研究，拟订具体实施意见（方案）。组织编制全县全局性、指令性规划。参与拟订全县</w:t>
      </w:r>
      <w:bookmarkStart w:id="59" w:name="_GoBack"/>
      <w:bookmarkEnd w:id="59"/>
      <w:r>
        <w:rPr>
          <w:rFonts w:hint="eastAsia" w:ascii="仿宋_GB2312" w:hAnsi="仿宋_GB2312" w:eastAsia="仿宋_GB2312" w:cs="仿宋_GB2312"/>
          <w:sz w:val="32"/>
          <w:szCs w:val="32"/>
        </w:rPr>
        <w:t>国土空间规划管理相关技术标准、规定。根据全县经济社会发展需求，拟订国土空间规划研究课题、项目和计划，并承担部分研究项目。（二）组织编制全县国土空间规划、详细规划、相关概念性规划、专项规划及城市设计等。对全县村镇规划编制业务工作进 行指导。（三）负责城乡规划建设项目方案设计、初步设计、施工图设计的规划技术审核，以及用地红线、技术指标的制定及放线、验线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核实工作。（四）根据全县国土空间规划，提出城乡规划建设项目计划建议并开展规划论证工作。参与重点项目、特殊要求项目规划选址论证及规划设计前期研究。（五）组织城乡规划涉及的地质勘察、地形图测绘、工程测绘等相关工作。（六）负责职责范围内的安全生产和职业健康、生态环境保护、服务便民化工作。（七）完成县委、县政府交办的其他任务。</w:t>
      </w:r>
    </w:p>
    <w:p w14:paraId="0F84C8D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二、机构设置</w:t>
      </w:r>
      <w:bookmarkEnd w:id="18"/>
      <w:bookmarkEnd w:id="19"/>
    </w:p>
    <w:p w14:paraId="3281B8E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大竹县城乡规划编制中心</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14:paraId="4EE715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大竹县城乡规划编制中心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年度部门决算编制范围的二级预算单位</w:t>
      </w:r>
      <w:r>
        <w:rPr>
          <w:rFonts w:hint="eastAsia" w:ascii="仿宋_GB2312" w:hAnsi="仿宋_GB2312" w:eastAsia="仿宋_GB2312" w:cs="仿宋_GB2312"/>
          <w:sz w:val="32"/>
          <w:szCs w:val="32"/>
          <w:lang w:eastAsia="zh-CN"/>
        </w:rPr>
        <w:t>无。</w:t>
      </w:r>
    </w:p>
    <w:p w14:paraId="037BE68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E0D198D">
      <w:pPr>
        <w:pStyle w:val="2"/>
        <w:ind w:right="440"/>
        <w:jc w:val="right"/>
        <w:rPr>
          <w:rStyle w:val="25"/>
          <w:rFonts w:hint="eastAsia" w:ascii="方正小标宋简体" w:hAnsi="方正小标宋简体" w:eastAsia="方正小标宋简体" w:cs="方正小标宋简体"/>
          <w:b w:val="0"/>
          <w:bCs w:val="0"/>
        </w:rPr>
      </w:pPr>
      <w:bookmarkStart w:id="20" w:name="_Toc15377204"/>
      <w:bookmarkStart w:id="21" w:name="_Toc15396602"/>
      <w:r>
        <w:rPr>
          <w:rFonts w:hint="eastAsia" w:ascii="方正小标宋简体" w:hAnsi="方正小标宋简体" w:eastAsia="方正小标宋简体" w:cs="方正小标宋简体"/>
          <w:b w:val="0"/>
          <w:color w:val="000000"/>
        </w:rPr>
        <w:t>第二部分</w:t>
      </w:r>
      <w:r>
        <w:rPr>
          <w:rFonts w:hint="eastAsia" w:ascii="方正小标宋简体" w:hAnsi="方正小标宋简体" w:eastAsia="方正小标宋简体" w:cs="方正小标宋简体"/>
          <w:color w:val="000000"/>
        </w:rPr>
        <w:t xml:space="preserve"> </w:t>
      </w:r>
      <w:r>
        <w:rPr>
          <w:rStyle w:val="25"/>
          <w:rFonts w:hint="eastAsia" w:ascii="方正小标宋简体" w:hAnsi="方正小标宋简体" w:eastAsia="方正小标宋简体" w:cs="方正小标宋简体"/>
          <w:b w:val="0"/>
          <w:bCs w:val="0"/>
          <w:lang w:eastAsia="zh-CN"/>
        </w:rPr>
        <w:t>202</w:t>
      </w:r>
      <w:r>
        <w:rPr>
          <w:rStyle w:val="25"/>
          <w:rFonts w:hint="eastAsia" w:ascii="方正小标宋简体" w:hAnsi="方正小标宋简体" w:eastAsia="方正小标宋简体" w:cs="方正小标宋简体"/>
          <w:b w:val="0"/>
          <w:bCs w:val="0"/>
          <w:lang w:val="en-US" w:eastAsia="zh-CN"/>
        </w:rPr>
        <w:t>3</w:t>
      </w:r>
      <w:r>
        <w:rPr>
          <w:rStyle w:val="25"/>
          <w:rFonts w:hint="eastAsia" w:ascii="方正小标宋简体" w:hAnsi="方正小标宋简体" w:eastAsia="方正小标宋简体" w:cs="方正小标宋简体"/>
          <w:b w:val="0"/>
          <w:bCs w:val="0"/>
        </w:rPr>
        <w:t>年度部门决算情况说明</w:t>
      </w:r>
      <w:bookmarkEnd w:id="20"/>
      <w:bookmarkEnd w:id="21"/>
    </w:p>
    <w:p w14:paraId="6B430CBE"/>
    <w:p w14:paraId="12578482">
      <w:pPr>
        <w:pStyle w:val="2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Style w:val="26"/>
          <w:rFonts w:ascii="黑体" w:hAnsi="黑体" w:eastAsia="黑体"/>
          <w:b w:val="0"/>
        </w:rPr>
      </w:pPr>
      <w:bookmarkStart w:id="22" w:name="_Toc15396603"/>
      <w:bookmarkStart w:id="23" w:name="_Toc15377205"/>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2"/>
      <w:bookmarkEnd w:id="23"/>
    </w:p>
    <w:p w14:paraId="5CCCBB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年度收、支总计</w:t>
      </w:r>
      <w:r>
        <w:rPr>
          <w:rFonts w:hint="eastAsia" w:ascii="仿宋_GB2312" w:hAnsi="仿宋" w:eastAsia="仿宋_GB2312"/>
          <w:sz w:val="32"/>
          <w:szCs w:val="32"/>
          <w:lang w:val="en-US" w:eastAsia="zh-CN"/>
        </w:rPr>
        <w:t>751.66</w:t>
      </w:r>
      <w:r>
        <w:rPr>
          <w:rFonts w:hint="eastAsia" w:ascii="仿宋" w:hAnsi="仿宋" w:eastAsia="仿宋"/>
          <w:color w:val="000000"/>
          <w:sz w:val="32"/>
          <w:szCs w:val="32"/>
        </w:rPr>
        <w:t>万元。</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年相比，收、支总计各</w:t>
      </w:r>
      <w:r>
        <w:rPr>
          <w:rFonts w:hint="eastAsia" w:ascii="仿宋_GB2312" w:hAnsi="仿宋" w:eastAsia="仿宋_GB2312"/>
          <w:sz w:val="32"/>
          <w:szCs w:val="32"/>
          <w:lang w:val="en-US" w:eastAsia="zh-CN"/>
        </w:rPr>
        <w:t>增加了103.55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w:t>
      </w:r>
      <w:r>
        <w:rPr>
          <w:rFonts w:hint="eastAsia" w:ascii="仿宋_GB2312" w:hAnsi="仿宋" w:eastAsia="仿宋_GB2312"/>
          <w:sz w:val="32"/>
          <w:szCs w:val="32"/>
          <w:lang w:val="en-US" w:eastAsia="zh-CN"/>
        </w:rPr>
        <w:t>15.98%</w:t>
      </w:r>
      <w:r>
        <w:rPr>
          <w:rFonts w:hint="eastAsia" w:ascii="仿宋_GB2312" w:hAnsi="仿宋_GB2312" w:eastAsia="仿宋_GB2312" w:cs="仿宋_GB2312"/>
          <w:sz w:val="32"/>
          <w:szCs w:val="32"/>
        </w:rPr>
        <w:t>。主要变动原因是：</w:t>
      </w:r>
      <w:r>
        <w:rPr>
          <w:rFonts w:hint="eastAsia" w:ascii="仿宋_GB2312" w:hAnsi="仿宋" w:eastAsia="仿宋_GB2312"/>
          <w:sz w:val="32"/>
          <w:szCs w:val="32"/>
          <w:lang w:eastAsia="zh-CN"/>
        </w:rPr>
        <w:t>业务增加，开支增大，财政追加指标</w:t>
      </w:r>
      <w:r>
        <w:rPr>
          <w:rFonts w:hint="eastAsia" w:ascii="仿宋_GB2312" w:hAnsi="仿宋" w:eastAsia="仿宋_GB2312"/>
          <w:sz w:val="32"/>
          <w:szCs w:val="32"/>
        </w:rPr>
        <w:t>。</w:t>
      </w:r>
    </w:p>
    <w:p w14:paraId="3108FC7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eastAsia="仿宋_GB2312"/>
          <w:color w:val="000000"/>
          <w:sz w:val="32"/>
          <w:szCs w:val="32"/>
          <w:lang w:val="en-US" w:eastAsia="zh-CN"/>
        </w:rPr>
      </w:pPr>
      <w:r>
        <w:rPr>
          <w:rFonts w:hint="eastAsia" w:ascii="仿宋" w:hAnsi="仿宋" w:eastAsia="仿宋"/>
          <w:color w:val="FF0000"/>
          <w:sz w:val="32"/>
          <w:szCs w:val="32"/>
        </w:rPr>
        <w:t>图</w:t>
      </w:r>
      <w:r>
        <w:rPr>
          <w:rFonts w:ascii="仿宋" w:hAnsi="仿宋" w:eastAsia="仿宋"/>
          <w:color w:val="FF0000"/>
          <w:sz w:val="32"/>
          <w:szCs w:val="32"/>
        </w:rPr>
        <w:t>1</w:t>
      </w:r>
      <w:r>
        <w:rPr>
          <w:rFonts w:hint="eastAsia" w:ascii="仿宋" w:hAnsi="仿宋" w:eastAsia="仿宋"/>
          <w:color w:val="FF0000"/>
          <w:sz w:val="32"/>
          <w:szCs w:val="32"/>
        </w:rPr>
        <w:t>：收、支决算总计</w:t>
      </w:r>
      <w:r>
        <w:rPr>
          <w:rFonts w:hint="eastAsia" w:ascii="仿宋" w:hAnsi="仿宋" w:eastAsia="仿宋"/>
          <w:color w:val="FF0000"/>
          <w:sz w:val="32"/>
          <w:szCs w:val="32"/>
          <w:lang w:eastAsia="zh-CN"/>
        </w:rPr>
        <w:t>变动</w:t>
      </w:r>
      <w:r>
        <w:rPr>
          <w:rFonts w:hint="eastAsia" w:ascii="仿宋" w:hAnsi="仿宋" w:eastAsia="仿宋"/>
          <w:color w:val="FF0000"/>
          <w:sz w:val="32"/>
          <w:szCs w:val="32"/>
        </w:rPr>
        <w:t>情况图</w:t>
      </w:r>
      <w:r>
        <w:rPr>
          <w:rFonts w:hint="eastAsia" w:ascii="仿宋" w:hAnsi="仿宋" w:eastAsia="仿宋"/>
          <w:color w:val="FF0000"/>
          <w:sz w:val="32"/>
          <w:szCs w:val="32"/>
          <w:lang w:eastAsia="zh-CN"/>
        </w:rPr>
        <w:t>（单位：万元）</w:t>
      </w:r>
    </w:p>
    <w:p w14:paraId="2A452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inline distT="0" distB="0" distL="114300" distR="114300">
            <wp:extent cx="3557270" cy="2266950"/>
            <wp:effectExtent l="4445" t="4445" r="1968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5367F2">
      <w:pPr>
        <w:pStyle w:val="2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Style w:val="26"/>
          <w:rFonts w:hint="eastAsia" w:ascii="黑体" w:hAnsi="黑体" w:eastAsia="黑体" w:cs="黑体"/>
          <w:b w:val="0"/>
        </w:rPr>
      </w:pPr>
      <w:bookmarkStart w:id="24" w:name="_Toc15377206"/>
      <w:bookmarkStart w:id="25" w:name="_Toc15396604"/>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收</w:t>
      </w:r>
      <w:r>
        <w:rPr>
          <w:rStyle w:val="26"/>
          <w:rFonts w:hint="eastAsia" w:ascii="黑体" w:hAnsi="黑体" w:eastAsia="黑体" w:cs="黑体"/>
          <w:b w:val="0"/>
        </w:rPr>
        <w:t>入决算情况说明</w:t>
      </w:r>
      <w:bookmarkEnd w:id="24"/>
      <w:bookmarkEnd w:id="25"/>
    </w:p>
    <w:p w14:paraId="4A659B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仿宋" w:hAnsi="仿宋" w:eastAsia="仿宋"/>
          <w:color w:val="000000"/>
          <w:sz w:val="32"/>
          <w:szCs w:val="32"/>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年本年收入合计</w:t>
      </w:r>
      <w:r>
        <w:rPr>
          <w:rFonts w:hint="eastAsia" w:ascii="仿宋_GB2312" w:hAnsi="仿宋" w:eastAsia="仿宋_GB2312"/>
          <w:sz w:val="32"/>
          <w:szCs w:val="32"/>
          <w:lang w:val="en-US" w:eastAsia="zh-CN"/>
        </w:rPr>
        <w:t>751.66</w:t>
      </w:r>
      <w:r>
        <w:rPr>
          <w:rFonts w:hint="eastAsia" w:ascii="仿宋" w:hAnsi="仿宋" w:eastAsia="仿宋"/>
          <w:color w:val="000000"/>
          <w:sz w:val="32"/>
          <w:szCs w:val="32"/>
        </w:rPr>
        <w:t>万元，其中：一般公共预算财政拨款收入</w:t>
      </w:r>
      <w:r>
        <w:rPr>
          <w:rFonts w:hint="eastAsia" w:ascii="仿宋_GB2312" w:hAnsi="仿宋" w:eastAsia="仿宋_GB2312"/>
          <w:sz w:val="32"/>
          <w:szCs w:val="32"/>
          <w:lang w:val="en-US" w:eastAsia="zh-CN"/>
        </w:rPr>
        <w:t>701.66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93.35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_GB2312" w:hAnsi="仿宋" w:eastAsia="仿宋_GB2312"/>
          <w:sz w:val="32"/>
          <w:szCs w:val="32"/>
          <w:lang w:val="en-US" w:eastAsia="zh-CN"/>
        </w:rPr>
        <w:t>50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6.65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340C062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 w:hAnsi="仿宋" w:eastAsia="仿宋"/>
          <w:color w:val="FF0000"/>
          <w:sz w:val="32"/>
          <w:szCs w:val="32"/>
        </w:rPr>
      </w:pPr>
    </w:p>
    <w:p w14:paraId="28477E72">
      <w:pPr>
        <w:spacing w:line="600" w:lineRule="exact"/>
        <w:jc w:val="center"/>
        <w:rPr>
          <w:rFonts w:hint="eastAsia" w:ascii="仿宋" w:hAnsi="仿宋" w:eastAsia="仿宋"/>
          <w:color w:val="FF0000"/>
          <w:sz w:val="32"/>
          <w:szCs w:val="32"/>
        </w:rPr>
      </w:pPr>
    </w:p>
    <w:p w14:paraId="58F7392C">
      <w:pPr>
        <w:spacing w:line="600" w:lineRule="exact"/>
        <w:jc w:val="center"/>
        <w:rPr>
          <w:rFonts w:hint="eastAsia" w:ascii="仿宋" w:hAnsi="仿宋" w:eastAsia="仿宋"/>
          <w:color w:val="FF0000"/>
          <w:sz w:val="32"/>
          <w:szCs w:val="32"/>
        </w:rPr>
      </w:pPr>
    </w:p>
    <w:p w14:paraId="6C351B09">
      <w:pPr>
        <w:spacing w:line="600" w:lineRule="exact"/>
        <w:jc w:val="center"/>
        <w:rPr>
          <w:rFonts w:ascii="仿宋" w:hAnsi="仿宋" w:eastAsia="仿宋"/>
          <w:color w:val="FF0000"/>
          <w:sz w:val="32"/>
          <w:szCs w:val="32"/>
        </w:rPr>
      </w:pPr>
      <w:r>
        <w:rPr>
          <w:rFonts w:hint="eastAsia" w:ascii="仿宋" w:hAnsi="仿宋" w:eastAsia="仿宋"/>
          <w:color w:val="FF0000"/>
          <w:sz w:val="32"/>
          <w:szCs w:val="32"/>
        </w:rPr>
        <w:t>图2：收入决算结构图（</w:t>
      </w:r>
      <w:r>
        <w:rPr>
          <w:rFonts w:hint="eastAsia" w:ascii="仿宋" w:hAnsi="仿宋" w:eastAsia="仿宋"/>
          <w:color w:val="FF0000"/>
          <w:sz w:val="32"/>
          <w:szCs w:val="32"/>
          <w:lang w:eastAsia="zh-CN"/>
        </w:rPr>
        <w:t>单位：万元</w:t>
      </w:r>
      <w:r>
        <w:rPr>
          <w:rFonts w:hint="eastAsia" w:ascii="仿宋" w:hAnsi="仿宋" w:eastAsia="仿宋"/>
          <w:color w:val="FF0000"/>
          <w:sz w:val="32"/>
          <w:szCs w:val="32"/>
        </w:rPr>
        <w:t>）</w:t>
      </w:r>
    </w:p>
    <w:p w14:paraId="687021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3976370" cy="2546350"/>
            <wp:effectExtent l="4445" t="4445" r="19685" b="209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F4097FD">
      <w:pPr>
        <w:pStyle w:val="2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Style w:val="26"/>
          <w:rFonts w:ascii="黑体" w:hAnsi="黑体" w:eastAsia="黑体"/>
          <w:b w:val="0"/>
        </w:rPr>
      </w:pPr>
      <w:bookmarkStart w:id="26" w:name="_Toc15396605"/>
      <w:bookmarkStart w:id="27"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6"/>
      <w:bookmarkEnd w:id="27"/>
    </w:p>
    <w:p w14:paraId="65B76C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仿宋" w:hAnsi="仿宋" w:eastAsia="仿宋"/>
          <w:color w:val="000000"/>
          <w:sz w:val="32"/>
          <w:szCs w:val="32"/>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年本年支出合计</w:t>
      </w:r>
      <w:r>
        <w:rPr>
          <w:rFonts w:hint="eastAsia" w:ascii="仿宋_GB2312" w:hAnsi="仿宋" w:eastAsia="仿宋_GB2312"/>
          <w:sz w:val="32"/>
          <w:szCs w:val="32"/>
          <w:lang w:val="en-US" w:eastAsia="zh-CN"/>
        </w:rPr>
        <w:t>751.66</w:t>
      </w:r>
      <w:r>
        <w:rPr>
          <w:rFonts w:hint="eastAsia" w:ascii="仿宋" w:hAnsi="仿宋" w:eastAsia="仿宋"/>
          <w:color w:val="000000"/>
          <w:sz w:val="32"/>
          <w:szCs w:val="32"/>
        </w:rPr>
        <w:t>万元，其中：基本支出</w:t>
      </w:r>
      <w:r>
        <w:rPr>
          <w:rFonts w:hint="eastAsia" w:ascii="仿宋_GB2312" w:hAnsi="仿宋" w:eastAsia="仿宋_GB2312"/>
          <w:sz w:val="32"/>
          <w:szCs w:val="32"/>
          <w:lang w:val="en-US" w:eastAsia="zh-CN"/>
        </w:rPr>
        <w:t>449.43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59.79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_GB2312" w:hAnsi="仿宋" w:eastAsia="仿宋_GB2312"/>
          <w:sz w:val="32"/>
          <w:szCs w:val="32"/>
          <w:lang w:val="en-US" w:eastAsia="zh-CN"/>
        </w:rPr>
        <w:t>302.23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40.21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0ED33659">
      <w:pPr>
        <w:spacing w:line="600" w:lineRule="exact"/>
        <w:jc w:val="center"/>
        <w:rPr>
          <w:rFonts w:ascii="仿宋" w:hAnsi="仿宋" w:eastAsia="仿宋"/>
          <w:color w:val="FF0000"/>
          <w:sz w:val="32"/>
          <w:szCs w:val="32"/>
        </w:rPr>
      </w:pPr>
      <w:r>
        <w:rPr>
          <w:rFonts w:hint="eastAsia" w:ascii="仿宋" w:hAnsi="仿宋" w:eastAsia="仿宋"/>
          <w:color w:val="FF0000"/>
          <w:sz w:val="32"/>
          <w:szCs w:val="32"/>
        </w:rPr>
        <w:t>图3：支出决算结构图（</w:t>
      </w:r>
      <w:r>
        <w:rPr>
          <w:rFonts w:hint="eastAsia" w:ascii="仿宋" w:hAnsi="仿宋" w:eastAsia="仿宋"/>
          <w:color w:val="FF0000"/>
          <w:sz w:val="32"/>
          <w:szCs w:val="32"/>
          <w:lang w:eastAsia="zh-CN"/>
        </w:rPr>
        <w:t>单位：万元</w:t>
      </w:r>
      <w:r>
        <w:rPr>
          <w:rFonts w:hint="eastAsia" w:ascii="仿宋" w:hAnsi="仿宋" w:eastAsia="仿宋"/>
          <w:color w:val="FF0000"/>
          <w:sz w:val="32"/>
          <w:szCs w:val="32"/>
        </w:rPr>
        <w:t>）</w:t>
      </w:r>
    </w:p>
    <w:p w14:paraId="76C38B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4075430" cy="2546350"/>
            <wp:effectExtent l="4445" t="4445" r="15875" b="2095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8" w:name="_Toc15396606"/>
      <w:bookmarkStart w:id="29" w:name="_Toc15377208"/>
    </w:p>
    <w:p w14:paraId="0950A4A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Style w:val="26"/>
          <w:rFonts w:ascii="黑体" w:hAnsi="黑体" w:eastAsia="黑体"/>
          <w:b w:val="0"/>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、财</w:t>
      </w:r>
      <w:r>
        <w:rPr>
          <w:rStyle w:val="26"/>
          <w:rFonts w:hint="eastAsia" w:ascii="黑体" w:hAnsi="黑体" w:eastAsia="黑体"/>
          <w:b w:val="0"/>
        </w:rPr>
        <w:t>政拨款收入支出决算总体情况说明</w:t>
      </w:r>
      <w:bookmarkEnd w:id="28"/>
      <w:bookmarkEnd w:id="29"/>
    </w:p>
    <w:p w14:paraId="57BA4CB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年财政拨款收、支总计</w:t>
      </w:r>
      <w:r>
        <w:rPr>
          <w:rFonts w:hint="eastAsia" w:ascii="仿宋_GB2312" w:hAnsi="仿宋" w:eastAsia="仿宋_GB2312"/>
          <w:sz w:val="32"/>
          <w:szCs w:val="32"/>
          <w:lang w:val="en-US" w:eastAsia="zh-CN"/>
        </w:rPr>
        <w:t>751.66万</w:t>
      </w:r>
      <w:r>
        <w:rPr>
          <w:rFonts w:hint="eastAsia" w:ascii="仿宋" w:hAnsi="仿宋" w:eastAsia="仿宋"/>
          <w:color w:val="000000"/>
          <w:sz w:val="32"/>
          <w:szCs w:val="32"/>
        </w:rPr>
        <w:t>万元。</w:t>
      </w:r>
      <w:r>
        <w:rPr>
          <w:rFonts w:hint="eastAsia" w:ascii="仿宋" w:hAnsi="仿宋" w:eastAsia="仿宋" w:cs="仿宋"/>
          <w:sz w:val="32"/>
          <w:szCs w:val="32"/>
        </w:rPr>
        <w:t>与20</w:t>
      </w:r>
      <w:r>
        <w:rPr>
          <w:rFonts w:hint="eastAsia" w:ascii="仿宋" w:hAnsi="仿宋" w:eastAsia="仿宋" w:cs="仿宋"/>
          <w:sz w:val="32"/>
          <w:szCs w:val="32"/>
          <w:lang w:val="en-US" w:eastAsia="zh-CN"/>
        </w:rPr>
        <w:t>22</w:t>
      </w:r>
      <w:r>
        <w:rPr>
          <w:rFonts w:hint="eastAsia" w:ascii="仿宋" w:hAnsi="仿宋" w:eastAsia="仿宋" w:cs="仿宋"/>
          <w:sz w:val="32"/>
          <w:szCs w:val="32"/>
        </w:rPr>
        <w:t>年相比，财政拨款收、支总计各</w:t>
      </w:r>
      <w:r>
        <w:rPr>
          <w:rFonts w:hint="eastAsia" w:ascii="仿宋" w:hAnsi="仿宋" w:eastAsia="仿宋" w:cs="仿宋"/>
          <w:sz w:val="32"/>
          <w:szCs w:val="32"/>
          <w:lang w:val="en-US" w:eastAsia="zh-CN"/>
        </w:rPr>
        <w:t>增加</w:t>
      </w:r>
      <w:r>
        <w:rPr>
          <w:rFonts w:hint="eastAsia" w:ascii="仿宋_GB2312" w:hAnsi="仿宋" w:eastAsia="仿宋_GB2312"/>
          <w:sz w:val="32"/>
          <w:szCs w:val="32"/>
          <w:lang w:val="en-US" w:eastAsia="zh-CN"/>
        </w:rPr>
        <w:t>103.55</w:t>
      </w:r>
      <w:r>
        <w:rPr>
          <w:rFonts w:hint="eastAsia" w:ascii="仿宋" w:hAnsi="仿宋" w:eastAsia="仿宋" w:cs="仿宋"/>
          <w:sz w:val="32"/>
          <w:szCs w:val="32"/>
        </w:rPr>
        <w:t>万元，</w:t>
      </w:r>
      <w:r>
        <w:rPr>
          <w:rFonts w:hint="eastAsia" w:ascii="仿宋" w:hAnsi="仿宋" w:eastAsia="仿宋" w:cs="仿宋"/>
          <w:sz w:val="32"/>
          <w:szCs w:val="32"/>
          <w:lang w:val="en-US" w:eastAsia="zh-CN"/>
        </w:rPr>
        <w:t>增加</w:t>
      </w:r>
      <w:r>
        <w:rPr>
          <w:rFonts w:hint="eastAsia" w:ascii="仿宋_GB2312" w:hAnsi="仿宋" w:eastAsia="仿宋_GB2312"/>
          <w:sz w:val="32"/>
          <w:szCs w:val="32"/>
          <w:lang w:val="en-US" w:eastAsia="zh-CN"/>
        </w:rPr>
        <w:t>15.98</w:t>
      </w:r>
      <w:r>
        <w:rPr>
          <w:rFonts w:hint="eastAsia" w:ascii="仿宋" w:hAnsi="仿宋" w:eastAsia="仿宋" w:cs="仿宋"/>
          <w:sz w:val="32"/>
          <w:szCs w:val="32"/>
        </w:rPr>
        <w:t>%。主要变动原因是：</w:t>
      </w:r>
      <w:r>
        <w:rPr>
          <w:rFonts w:hint="eastAsia" w:ascii="仿宋_GB2312" w:hAnsi="仿宋" w:eastAsia="仿宋_GB2312"/>
          <w:sz w:val="32"/>
          <w:szCs w:val="32"/>
          <w:lang w:eastAsia="zh-CN"/>
        </w:rPr>
        <w:t>业务增加，开支增大，年中财政追加指标</w:t>
      </w:r>
      <w:r>
        <w:rPr>
          <w:rFonts w:hint="eastAsia" w:ascii="仿宋_GB2312" w:hAnsi="仿宋" w:eastAsia="仿宋_GB2312"/>
          <w:sz w:val="32"/>
          <w:szCs w:val="32"/>
        </w:rPr>
        <w:t>。</w:t>
      </w:r>
    </w:p>
    <w:p w14:paraId="7245465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color w:val="FF0000"/>
          <w:sz w:val="32"/>
          <w:szCs w:val="32"/>
        </w:rPr>
      </w:pPr>
      <w:r>
        <w:rPr>
          <w:rFonts w:hint="eastAsia" w:ascii="仿宋" w:hAnsi="仿宋" w:eastAsia="仿宋"/>
          <w:color w:val="FF0000"/>
          <w:sz w:val="32"/>
          <w:szCs w:val="32"/>
        </w:rPr>
        <w:t>图4：财政拨款收、支决算总计变动情况（</w:t>
      </w:r>
      <w:r>
        <w:rPr>
          <w:rFonts w:hint="eastAsia" w:ascii="仿宋" w:hAnsi="仿宋" w:eastAsia="仿宋"/>
          <w:color w:val="FF0000"/>
          <w:sz w:val="32"/>
          <w:szCs w:val="32"/>
          <w:lang w:eastAsia="zh-CN"/>
        </w:rPr>
        <w:t>单位：万元</w:t>
      </w:r>
      <w:r>
        <w:rPr>
          <w:rFonts w:hint="eastAsia" w:ascii="仿宋" w:hAnsi="仿宋" w:eastAsia="仿宋"/>
          <w:color w:val="FF0000"/>
          <w:sz w:val="32"/>
          <w:szCs w:val="32"/>
        </w:rPr>
        <w:t>）</w:t>
      </w:r>
    </w:p>
    <w:p w14:paraId="74A9CA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inline distT="0" distB="0" distL="114300" distR="114300">
            <wp:extent cx="4158615" cy="2084705"/>
            <wp:effectExtent l="4445" t="4445" r="8890"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604B84">
      <w:pPr>
        <w:spacing w:line="600" w:lineRule="exact"/>
        <w:ind w:firstLine="643" w:firstLineChars="200"/>
        <w:outlineLvl w:val="1"/>
        <w:rPr>
          <w:rStyle w:val="26"/>
          <w:rFonts w:ascii="黑体" w:hAnsi="黑体" w:eastAsia="黑体"/>
          <w:b w:val="0"/>
        </w:rPr>
      </w:pPr>
      <w:bookmarkStart w:id="30" w:name="_Toc15377209"/>
      <w:bookmarkStart w:id="31" w:name="_Toc15396607"/>
      <w:r>
        <w:rPr>
          <w:rFonts w:hint="eastAsia" w:ascii="黑体" w:hAnsi="黑体" w:eastAsia="黑体"/>
          <w:b/>
          <w:color w:val="000000"/>
          <w:sz w:val="32"/>
          <w:szCs w:val="32"/>
          <w:lang w:eastAsia="zh-CN"/>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0"/>
      <w:bookmarkEnd w:id="31"/>
    </w:p>
    <w:p w14:paraId="59EDFAF5">
      <w:pPr>
        <w:spacing w:line="600" w:lineRule="exact"/>
        <w:ind w:firstLine="643" w:firstLineChars="200"/>
        <w:outlineLvl w:val="2"/>
        <w:rPr>
          <w:rFonts w:hint="eastAsia" w:ascii="楷体" w:hAnsi="楷体" w:eastAsia="楷体" w:cs="楷体"/>
          <w:b/>
          <w:color w:val="000000"/>
          <w:sz w:val="32"/>
          <w:szCs w:val="32"/>
        </w:rPr>
      </w:pPr>
      <w:bookmarkStart w:id="32" w:name="_Toc15377210"/>
      <w:r>
        <w:rPr>
          <w:rFonts w:hint="eastAsia" w:ascii="楷体" w:hAnsi="楷体" w:eastAsia="楷体" w:cs="楷体"/>
          <w:b/>
          <w:color w:val="000000"/>
          <w:sz w:val="32"/>
          <w:szCs w:val="32"/>
        </w:rPr>
        <w:t>（一）一般公共预算财政拨款支出决算总体情况</w:t>
      </w:r>
      <w:bookmarkEnd w:id="32"/>
    </w:p>
    <w:p w14:paraId="53E75BA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年一般公共预算财政拨款支出</w:t>
      </w:r>
      <w:r>
        <w:rPr>
          <w:rFonts w:hint="eastAsia" w:ascii="仿宋_GB2312" w:hAnsi="仿宋" w:eastAsia="仿宋_GB2312"/>
          <w:sz w:val="32"/>
          <w:szCs w:val="32"/>
          <w:lang w:val="en-US" w:eastAsia="zh-CN"/>
        </w:rPr>
        <w:t>701.66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93.35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年相比，一般公共预算财政拨款</w:t>
      </w:r>
      <w:r>
        <w:rPr>
          <w:rFonts w:hint="eastAsia" w:ascii="仿宋_GB2312" w:hAnsi="仿宋_GB2312" w:eastAsia="仿宋_GB2312" w:cs="仿宋_GB2312"/>
          <w:sz w:val="32"/>
          <w:szCs w:val="32"/>
          <w:lang w:val="en-US" w:eastAsia="zh-CN"/>
        </w:rPr>
        <w:t>增加265.9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增加61.02</w:t>
      </w:r>
      <w:r>
        <w:rPr>
          <w:rFonts w:hint="eastAsia" w:ascii="仿宋_GB2312" w:hAnsi="仿宋_GB2312" w:eastAsia="仿宋_GB2312" w:cs="仿宋_GB2312"/>
          <w:sz w:val="32"/>
          <w:szCs w:val="32"/>
        </w:rPr>
        <w:t>%。主要变动原因是：</w:t>
      </w:r>
      <w:r>
        <w:rPr>
          <w:rFonts w:hint="eastAsia" w:ascii="仿宋_GB2312" w:hAnsi="仿宋" w:eastAsia="仿宋_GB2312"/>
          <w:sz w:val="32"/>
          <w:szCs w:val="32"/>
          <w:lang w:eastAsia="zh-CN"/>
        </w:rPr>
        <w:t>业务增加，开支增大</w:t>
      </w:r>
      <w:r>
        <w:rPr>
          <w:rFonts w:hint="eastAsia" w:ascii="仿宋_GB2312" w:hAnsi="仿宋_GB2312" w:eastAsia="仿宋_GB2312" w:cs="仿宋_GB2312"/>
          <w:sz w:val="32"/>
          <w:szCs w:val="32"/>
        </w:rPr>
        <w:t>。</w:t>
      </w:r>
    </w:p>
    <w:p w14:paraId="5B2F35A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olor w:val="FF0000"/>
          <w:sz w:val="32"/>
          <w:szCs w:val="32"/>
        </w:rPr>
      </w:pPr>
      <w:r>
        <w:rPr>
          <w:rFonts w:hint="eastAsia" w:ascii="仿宋" w:hAnsi="仿宋" w:eastAsia="仿宋"/>
          <w:color w:val="FF0000"/>
          <w:sz w:val="32"/>
          <w:szCs w:val="32"/>
        </w:rPr>
        <w:t>图5：一般公共预算财政拨款支出决算变动情况</w:t>
      </w:r>
    </w:p>
    <w:p w14:paraId="18B662E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color w:val="FF0000"/>
          <w:sz w:val="32"/>
          <w:szCs w:val="32"/>
        </w:rPr>
      </w:pPr>
      <w:r>
        <w:rPr>
          <w:rFonts w:hint="eastAsia" w:ascii="仿宋" w:hAnsi="仿宋" w:eastAsia="仿宋"/>
          <w:color w:val="FF0000"/>
          <w:sz w:val="32"/>
          <w:szCs w:val="32"/>
        </w:rPr>
        <w:t>（</w:t>
      </w:r>
      <w:r>
        <w:rPr>
          <w:rFonts w:hint="eastAsia" w:ascii="仿宋" w:hAnsi="仿宋" w:eastAsia="仿宋"/>
          <w:color w:val="FF0000"/>
          <w:sz w:val="32"/>
          <w:szCs w:val="32"/>
          <w:lang w:eastAsia="zh-CN"/>
        </w:rPr>
        <w:t>单位：万元</w:t>
      </w:r>
      <w:r>
        <w:rPr>
          <w:rFonts w:hint="eastAsia" w:ascii="仿宋" w:hAnsi="仿宋" w:eastAsia="仿宋"/>
          <w:color w:val="FF0000"/>
          <w:sz w:val="32"/>
          <w:szCs w:val="32"/>
        </w:rPr>
        <w:t>）</w:t>
      </w:r>
    </w:p>
    <w:p w14:paraId="42D9F3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3878580" cy="1995170"/>
            <wp:effectExtent l="4445" t="4445" r="22225" b="196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B28B3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eastAsia" w:ascii="楷体" w:hAnsi="楷体" w:eastAsia="楷体" w:cs="楷体"/>
          <w:b/>
          <w:color w:val="000000"/>
          <w:sz w:val="32"/>
          <w:szCs w:val="32"/>
        </w:rPr>
      </w:pPr>
      <w:bookmarkStart w:id="33" w:name="_Toc15377211"/>
      <w:r>
        <w:rPr>
          <w:rFonts w:hint="eastAsia" w:ascii="楷体" w:hAnsi="楷体" w:eastAsia="楷体" w:cs="楷体"/>
          <w:b/>
          <w:color w:val="000000"/>
          <w:sz w:val="32"/>
          <w:szCs w:val="32"/>
        </w:rPr>
        <w:t>（二）一般公共预算财政拨款支出决算结构情况</w:t>
      </w:r>
      <w:bookmarkEnd w:id="33"/>
    </w:p>
    <w:p w14:paraId="01FE4A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_GB2312" w:hAnsi="仿宋" w:eastAsia="仿宋_GB2312"/>
          <w:sz w:val="32"/>
          <w:szCs w:val="32"/>
          <w:lang w:val="en-US" w:eastAsia="zh-CN"/>
        </w:rPr>
        <w:t>701.66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城乡社区支出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605.62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86.31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54.78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7.81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15.19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26.07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3.72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676C6A5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color w:val="FF0000"/>
          <w:sz w:val="32"/>
          <w:szCs w:val="32"/>
        </w:rPr>
      </w:pPr>
      <w:r>
        <w:rPr>
          <w:rFonts w:hint="eastAsia" w:ascii="仿宋" w:hAnsi="仿宋" w:eastAsia="仿宋"/>
          <w:color w:val="FF0000"/>
          <w:sz w:val="32"/>
          <w:szCs w:val="32"/>
        </w:rPr>
        <w:t>图6：一般公共预算财政拨款支出决算结构（</w:t>
      </w:r>
      <w:r>
        <w:rPr>
          <w:rFonts w:hint="eastAsia" w:ascii="仿宋" w:hAnsi="仿宋" w:eastAsia="仿宋"/>
          <w:color w:val="FF0000"/>
          <w:sz w:val="32"/>
          <w:szCs w:val="32"/>
          <w:lang w:eastAsia="zh-CN"/>
        </w:rPr>
        <w:t>单位：万元</w:t>
      </w:r>
      <w:r>
        <w:rPr>
          <w:rFonts w:hint="eastAsia" w:ascii="仿宋" w:hAnsi="仿宋" w:eastAsia="仿宋"/>
          <w:color w:val="FF0000"/>
          <w:sz w:val="32"/>
          <w:szCs w:val="32"/>
        </w:rPr>
        <w:t>）</w:t>
      </w:r>
    </w:p>
    <w:p w14:paraId="3BEB07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469130" cy="2755900"/>
            <wp:effectExtent l="5080" t="4445" r="21590"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ED9EB3">
      <w:pPr>
        <w:spacing w:line="600" w:lineRule="exact"/>
        <w:ind w:firstLine="643" w:firstLineChars="200"/>
        <w:outlineLvl w:val="2"/>
        <w:rPr>
          <w:rFonts w:hint="eastAsia" w:ascii="楷体" w:hAnsi="楷体" w:eastAsia="楷体" w:cs="楷体"/>
          <w:b/>
          <w:color w:val="000000"/>
          <w:sz w:val="32"/>
          <w:szCs w:val="32"/>
        </w:rPr>
      </w:pPr>
      <w:bookmarkStart w:id="34" w:name="_Toc15377212"/>
      <w:r>
        <w:rPr>
          <w:rFonts w:hint="eastAsia" w:ascii="楷体" w:hAnsi="楷体" w:eastAsia="楷体" w:cs="楷体"/>
          <w:b/>
          <w:color w:val="000000"/>
          <w:sz w:val="32"/>
          <w:szCs w:val="32"/>
        </w:rPr>
        <w:t>（三）一般公共预算财政拨款支出决算具体情况</w:t>
      </w:r>
      <w:bookmarkEnd w:id="34"/>
    </w:p>
    <w:p w14:paraId="5CBCCD1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ascii="仿宋" w:hAnsi="仿宋" w:eastAsia="仿宋"/>
          <w:color w:val="FF0000"/>
          <w:sz w:val="32"/>
          <w:szCs w:val="32"/>
        </w:rPr>
      </w:pPr>
      <w:bookmarkStart w:id="35" w:name="_Toc15377444"/>
      <w:bookmarkStart w:id="36" w:name="_Toc15377213"/>
      <w:bookmarkStart w:id="37" w:name="_Toc15378460"/>
      <w:r>
        <w:rPr>
          <w:rFonts w:hint="eastAsia" w:ascii="仿宋_GB2312" w:hAnsi="仿宋_GB2312" w:eastAsia="仿宋_GB2312" w:cs="仿宋_GB2312"/>
          <w:b/>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sz w:val="32"/>
          <w:szCs w:val="32"/>
          <w:lang w:val="en-US" w:eastAsia="zh-CN"/>
        </w:rPr>
        <w:t>701.66</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5"/>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5"/>
          <w:rFonts w:hint="eastAsia" w:ascii="仿宋_GB2312" w:hAnsi="仿宋_GB2312" w:eastAsia="仿宋_GB2312" w:cs="仿宋_GB2312"/>
          <w:bCs/>
          <w:color w:val="000000"/>
          <w:sz w:val="32"/>
          <w:szCs w:val="32"/>
        </w:rPr>
        <w:t>预算</w:t>
      </w:r>
      <w:r>
        <w:rPr>
          <w:rStyle w:val="15"/>
          <w:rFonts w:hint="eastAsia" w:ascii="仿宋_GB2312" w:hAnsi="仿宋_GB2312" w:eastAsia="仿宋_GB2312" w:cs="仿宋_GB2312"/>
          <w:bCs/>
          <w:color w:val="000000"/>
          <w:sz w:val="32"/>
          <w:szCs w:val="32"/>
          <w:lang w:val="en-US" w:eastAsia="zh-CN"/>
        </w:rPr>
        <w:t>100</w:t>
      </w:r>
      <w:r>
        <w:rPr>
          <w:rStyle w:val="15"/>
          <w:rFonts w:hint="eastAsia" w:ascii="仿宋_GB2312" w:hAnsi="仿宋_GB2312" w:eastAsia="仿宋_GB2312" w:cs="仿宋_GB2312"/>
          <w:bCs/>
          <w:color w:val="000000"/>
          <w:sz w:val="32"/>
          <w:szCs w:val="32"/>
        </w:rPr>
        <w:t>%。其中</w:t>
      </w:r>
      <w:r>
        <w:rPr>
          <w:rStyle w:val="15"/>
          <w:rFonts w:hint="eastAsia" w:ascii="仿宋" w:hAnsi="仿宋" w:eastAsia="仿宋"/>
          <w:bCs/>
          <w:color w:val="000000"/>
          <w:sz w:val="32"/>
          <w:szCs w:val="32"/>
        </w:rPr>
        <w:t>：</w:t>
      </w:r>
      <w:bookmarkEnd w:id="35"/>
      <w:bookmarkEnd w:id="36"/>
      <w:bookmarkEnd w:id="37"/>
    </w:p>
    <w:p w14:paraId="4FE8DA1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20805</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事业单位离退休</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2080502</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51363E7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20805</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机关事业单位基本养老保险缴费支出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2080505</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33.03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565C1D6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20805</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机关事业单位职业年金缴费支出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2080506</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12.21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3748EEA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20805</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其他行政事业单位养老支出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2080599</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4.98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2AE3EE5">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5"/>
          <w:rFonts w:hint="default" w:ascii="仿宋" w:hAnsi="仿宋" w:eastAsia="仿宋"/>
          <w:b w:val="0"/>
          <w:bCs/>
          <w:color w:val="000000"/>
          <w:sz w:val="32"/>
          <w:szCs w:val="32"/>
          <w:lang w:val="en-US" w:eastAsia="zh-CN"/>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20899</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其他社会保障和就业支出</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2089999</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69294A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210</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21011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eastAsia="zh-CN"/>
        </w:rPr>
        <w:t>事业单位医疗</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2101102</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15.19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DEA6E0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城乡社区支出（212）城乡社区管理事务（2120</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）其他城乡社区管理事务支出（2120199）：</w:t>
      </w:r>
      <w:r>
        <w:rPr>
          <w:rFonts w:hint="eastAsia" w:ascii="仿宋" w:hAnsi="仿宋" w:eastAsia="仿宋" w:cs="仿宋"/>
          <w:sz w:val="32"/>
          <w:szCs w:val="32"/>
        </w:rPr>
        <w:t>支出决算数为</w:t>
      </w:r>
      <w:r>
        <w:rPr>
          <w:rFonts w:hint="eastAsia" w:ascii="仿宋" w:hAnsi="仿宋" w:eastAsia="仿宋" w:cs="仿宋"/>
          <w:sz w:val="32"/>
          <w:szCs w:val="32"/>
          <w:lang w:val="en-US" w:eastAsia="zh-CN"/>
        </w:rPr>
        <w:t>230</w:t>
      </w:r>
      <w:r>
        <w:rPr>
          <w:rFonts w:hint="eastAsia" w:ascii="仿宋" w:hAnsi="仿宋" w:eastAsia="仿宋" w:cs="仿宋"/>
          <w:sz w:val="32"/>
          <w:szCs w:val="32"/>
        </w:rPr>
        <w:t>万元，完成预算100%。</w:t>
      </w:r>
    </w:p>
    <w:p w14:paraId="5761317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城乡社区支出（212）城乡社区规划与管理（21202）城乡社区规划与管理（2120201）：</w:t>
      </w:r>
      <w:r>
        <w:rPr>
          <w:rFonts w:hint="eastAsia" w:ascii="仿宋" w:hAnsi="仿宋" w:eastAsia="仿宋" w:cs="仿宋"/>
          <w:sz w:val="32"/>
          <w:szCs w:val="32"/>
        </w:rPr>
        <w:t>支出决算数为</w:t>
      </w:r>
      <w:r>
        <w:rPr>
          <w:rFonts w:hint="eastAsia" w:ascii="仿宋" w:hAnsi="仿宋" w:eastAsia="仿宋" w:cs="仿宋"/>
          <w:sz w:val="32"/>
          <w:szCs w:val="32"/>
          <w:lang w:val="en-US" w:eastAsia="zh-CN"/>
        </w:rPr>
        <w:t>375.62</w:t>
      </w:r>
      <w:r>
        <w:rPr>
          <w:rFonts w:hint="eastAsia" w:ascii="仿宋" w:hAnsi="仿宋" w:eastAsia="仿宋" w:cs="仿宋"/>
          <w:sz w:val="32"/>
          <w:szCs w:val="32"/>
        </w:rPr>
        <w:t>万元，完成预算100%。</w:t>
      </w:r>
    </w:p>
    <w:p w14:paraId="6529C03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b/>
          <w:color w:val="000000"/>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住房保障支出（221）住房改革支出（2</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02）住房公积金（2</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0201）：</w:t>
      </w:r>
      <w:r>
        <w:rPr>
          <w:rFonts w:hint="eastAsia" w:ascii="仿宋_GB2312" w:hAnsi="仿宋_GB2312" w:eastAsia="仿宋_GB2312" w:cs="仿宋_GB2312"/>
          <w:sz w:val="32"/>
          <w:szCs w:val="32"/>
        </w:rPr>
        <w:t>支出决算数</w:t>
      </w:r>
      <w:r>
        <w:rPr>
          <w:rFonts w:hint="eastAsia" w:ascii="仿宋_GB2312" w:hAnsi="仿宋_GB2312" w:eastAsia="仿宋_GB2312" w:cs="仿宋_GB2312"/>
          <w:sz w:val="32"/>
          <w:szCs w:val="32"/>
          <w:lang w:val="en-US" w:eastAsia="zh-CN"/>
        </w:rPr>
        <w:t>26.07</w:t>
      </w:r>
      <w:r>
        <w:rPr>
          <w:rFonts w:hint="eastAsia" w:ascii="仿宋_GB2312" w:hAnsi="仿宋_GB2312" w:eastAsia="仿宋_GB2312" w:cs="仿宋_GB2312"/>
          <w:sz w:val="32"/>
          <w:szCs w:val="32"/>
        </w:rPr>
        <w:t>万元，完成预算数100%。</w:t>
      </w:r>
    </w:p>
    <w:p w14:paraId="2BCD633E">
      <w:pPr>
        <w:tabs>
          <w:tab w:val="right" w:pos="8306"/>
        </w:tabs>
        <w:spacing w:line="600" w:lineRule="exact"/>
        <w:ind w:firstLine="640" w:firstLineChars="200"/>
        <w:outlineLvl w:val="1"/>
        <w:rPr>
          <w:rStyle w:val="26"/>
        </w:rPr>
      </w:pPr>
      <w:bookmarkStart w:id="38" w:name="_Toc15377214"/>
      <w:bookmarkStart w:id="39" w:name="_Toc15396608"/>
      <w:r>
        <w:rPr>
          <w:rFonts w:hint="eastAsia" w:ascii="黑体" w:hAnsi="黑体" w:eastAsia="黑体" w:cs="黑体"/>
          <w:color w:val="000000"/>
          <w:sz w:val="32"/>
          <w:szCs w:val="32"/>
        </w:rPr>
        <w:t>六</w:t>
      </w:r>
      <w:r>
        <w:rPr>
          <w:rFonts w:hint="eastAsia" w:ascii="黑体" w:hAnsi="黑体" w:eastAsia="黑体" w:cs="黑体"/>
          <w:b/>
          <w:color w:val="000000"/>
          <w:sz w:val="32"/>
          <w:szCs w:val="32"/>
        </w:rPr>
        <w:t>、一</w:t>
      </w:r>
      <w:r>
        <w:rPr>
          <w:rStyle w:val="26"/>
          <w:rFonts w:hint="eastAsia" w:ascii="黑体" w:hAnsi="黑体" w:eastAsia="黑体" w:cs="黑体"/>
          <w:b w:val="0"/>
        </w:rPr>
        <w:t>般公共预算财政拨款基本支出决算情况说明</w:t>
      </w:r>
      <w:bookmarkEnd w:id="38"/>
      <w:bookmarkEnd w:id="39"/>
      <w:r>
        <w:rPr>
          <w:rStyle w:val="26"/>
          <w:rFonts w:ascii="黑体" w:hAnsi="黑体" w:eastAsia="黑体"/>
          <w:b w:val="0"/>
        </w:rPr>
        <w:tab/>
      </w:r>
    </w:p>
    <w:p w14:paraId="6152123F">
      <w:pPr>
        <w:keepNext w:val="0"/>
        <w:keepLines w:val="0"/>
        <w:pageBreakBefore w:val="0"/>
        <w:widowControl w:val="0"/>
        <w:kinsoku/>
        <w:wordWrap/>
        <w:overflowPunct/>
        <w:topLinePunct w:val="0"/>
        <w:autoSpaceDE/>
        <w:autoSpaceDN/>
        <w:bidi w:val="0"/>
        <w:adjustRightInd/>
        <w:snapToGrid/>
        <w:spacing w:line="578" w:lineRule="exact"/>
        <w:ind w:firstLine="64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sz w:val="32"/>
          <w:szCs w:val="32"/>
          <w:lang w:val="en-US" w:eastAsia="zh-CN"/>
        </w:rPr>
        <w:t>449.43</w:t>
      </w:r>
      <w:r>
        <w:rPr>
          <w:rFonts w:hint="eastAsia" w:ascii="仿宋_GB2312" w:hAnsi="仿宋_GB2312" w:eastAsia="仿宋_GB2312" w:cs="仿宋_GB2312"/>
          <w:color w:val="000000"/>
          <w:sz w:val="32"/>
          <w:szCs w:val="32"/>
        </w:rPr>
        <w:t>万元，其中：</w:t>
      </w:r>
    </w:p>
    <w:p w14:paraId="4F35721F">
      <w:pPr>
        <w:keepNext w:val="0"/>
        <w:keepLines w:val="0"/>
        <w:pageBreakBefore w:val="0"/>
        <w:widowControl w:val="0"/>
        <w:kinsoku/>
        <w:wordWrap/>
        <w:overflowPunct/>
        <w:topLinePunct w:val="0"/>
        <w:autoSpaceDE/>
        <w:autoSpaceDN/>
        <w:bidi w:val="0"/>
        <w:adjustRightInd/>
        <w:snapToGrid/>
        <w:spacing w:line="578" w:lineRule="exact"/>
        <w:ind w:firstLine="646"/>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408.82</w:t>
      </w:r>
      <w:r>
        <w:rPr>
          <w:rFonts w:hint="eastAsia" w:ascii="仿宋_GB2312" w:hAnsi="仿宋_GB2312" w:eastAsia="仿宋_GB2312" w:cs="仿宋_GB2312"/>
          <w:color w:val="000000"/>
          <w:sz w:val="32"/>
          <w:szCs w:val="32"/>
        </w:rPr>
        <w:t>万元，主要包括：基本工资、津贴补贴、奖金、绩效工资、机关事业单位基本养老保险缴费、职业年金缴费、</w:t>
      </w:r>
      <w:r>
        <w:rPr>
          <w:rFonts w:hint="eastAsia" w:ascii="仿宋_GB2312" w:hAnsi="仿宋_GB2312" w:eastAsia="仿宋_GB2312" w:cs="仿宋_GB2312"/>
          <w:color w:val="000000"/>
          <w:sz w:val="32"/>
          <w:szCs w:val="32"/>
          <w:lang w:eastAsia="zh-CN"/>
        </w:rPr>
        <w:t>职工医疗保险缴费、</w:t>
      </w:r>
      <w:r>
        <w:rPr>
          <w:rFonts w:hint="eastAsia" w:ascii="仿宋_GB2312" w:hAnsi="仿宋_GB2312" w:eastAsia="仿宋_GB2312" w:cs="仿宋_GB2312"/>
          <w:color w:val="000000"/>
          <w:sz w:val="32"/>
          <w:szCs w:val="32"/>
        </w:rPr>
        <w:t>其他社会保障缴费、住房公积金、其他工资福利支出、生活补助等。</w:t>
      </w:r>
    </w:p>
    <w:p w14:paraId="083BA202">
      <w:pPr>
        <w:keepNext w:val="0"/>
        <w:keepLines w:val="0"/>
        <w:pageBreakBefore w:val="0"/>
        <w:widowControl w:val="0"/>
        <w:kinsoku/>
        <w:wordWrap/>
        <w:overflowPunct/>
        <w:topLinePunct w:val="0"/>
        <w:autoSpaceDE/>
        <w:autoSpaceDN/>
        <w:bidi w:val="0"/>
        <w:adjustRightInd/>
        <w:snapToGrid/>
        <w:spacing w:line="578" w:lineRule="exact"/>
        <w:ind w:firstLine="64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日常公用经费</w:t>
      </w:r>
      <w:r>
        <w:rPr>
          <w:rFonts w:hint="eastAsia" w:ascii="仿宋_GB2312" w:hAnsi="仿宋_GB2312" w:eastAsia="仿宋_GB2312" w:cs="仿宋_GB2312"/>
          <w:color w:val="000000"/>
          <w:sz w:val="32"/>
          <w:szCs w:val="32"/>
          <w:lang w:val="en-US" w:eastAsia="zh-CN"/>
        </w:rPr>
        <w:t>40.61</w:t>
      </w:r>
      <w:r>
        <w:rPr>
          <w:rFonts w:hint="eastAsia" w:ascii="仿宋_GB2312" w:hAnsi="仿宋_GB2312" w:eastAsia="仿宋_GB2312" w:cs="仿宋_GB2312"/>
          <w:color w:val="000000"/>
          <w:sz w:val="32"/>
          <w:szCs w:val="32"/>
        </w:rPr>
        <w:t>万元，主要包括：办公费、印刷费、水费、电费、邮电费、差旅费、维修（护）费、租赁费、会议费、培训费、公务接待费、工会经费、福利费、公务用车运行维护费、其他商品和服务支出等。</w:t>
      </w:r>
    </w:p>
    <w:p w14:paraId="000D6AD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26"/>
          <w:rFonts w:ascii="黑体" w:hAnsi="黑体" w:eastAsia="黑体"/>
          <w:b w:val="0"/>
          <w:bCs w:val="0"/>
        </w:rPr>
      </w:pPr>
      <w:bookmarkStart w:id="40" w:name="_Toc15396609"/>
      <w:bookmarkStart w:id="41" w:name="_Toc15377215"/>
      <w:r>
        <w:rPr>
          <w:rFonts w:hint="eastAsia" w:ascii="黑体" w:eastAsia="黑体"/>
          <w:b w:val="0"/>
          <w:bCs w:val="0"/>
          <w:color w:val="000000"/>
          <w:sz w:val="32"/>
          <w:szCs w:val="32"/>
        </w:rPr>
        <w:t>七、</w:t>
      </w:r>
      <w:r>
        <w:rPr>
          <w:rStyle w:val="26"/>
          <w:rFonts w:hint="eastAsia" w:ascii="黑体" w:hAnsi="黑体" w:eastAsia="黑体"/>
          <w:b w:val="0"/>
          <w:bCs w:val="0"/>
        </w:rPr>
        <w:t>“三公”经费财政拨款支出决算情况说明</w:t>
      </w:r>
      <w:bookmarkEnd w:id="40"/>
      <w:bookmarkEnd w:id="41"/>
    </w:p>
    <w:p w14:paraId="077BA62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楷体" w:hAnsi="楷体" w:eastAsia="楷体" w:cs="楷体"/>
          <w:b/>
          <w:color w:val="000000"/>
          <w:sz w:val="32"/>
          <w:szCs w:val="32"/>
        </w:rPr>
      </w:pPr>
      <w:bookmarkStart w:id="42" w:name="_Toc15377216"/>
      <w:r>
        <w:rPr>
          <w:rFonts w:hint="eastAsia" w:ascii="楷体" w:hAnsi="楷体" w:eastAsia="楷体" w:cs="楷体"/>
          <w:b/>
          <w:color w:val="000000"/>
          <w:sz w:val="32"/>
          <w:szCs w:val="32"/>
        </w:rPr>
        <w:t>（一）“三公”经费财政拨款支出决算总体情况说明</w:t>
      </w:r>
      <w:bookmarkEnd w:id="42"/>
    </w:p>
    <w:p w14:paraId="69AB734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83.33%</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增加0.53万元，升上17.85%。</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市县交流学习次数减少</w:t>
      </w:r>
      <w:r>
        <w:rPr>
          <w:rFonts w:hint="eastAsia" w:ascii="仿宋" w:hAnsi="仿宋" w:eastAsia="仿宋"/>
          <w:color w:val="auto"/>
          <w:sz w:val="32"/>
          <w:szCs w:val="32"/>
          <w:highlight w:val="none"/>
        </w:rPr>
        <w:t>。</w:t>
      </w:r>
    </w:p>
    <w:p w14:paraId="7887157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楷体" w:hAnsi="楷体" w:eastAsia="楷体" w:cs="楷体"/>
          <w:b/>
          <w:color w:val="000000"/>
          <w:sz w:val="32"/>
          <w:szCs w:val="32"/>
        </w:rPr>
      </w:pPr>
      <w:bookmarkStart w:id="43" w:name="_Toc15377217"/>
      <w:r>
        <w:rPr>
          <w:rFonts w:hint="eastAsia" w:ascii="楷体" w:hAnsi="楷体" w:eastAsia="楷体" w:cs="楷体"/>
          <w:b/>
          <w:color w:val="000000"/>
          <w:sz w:val="32"/>
          <w:szCs w:val="32"/>
        </w:rPr>
        <w:t>（二）“三公”经费财政拨款支出决算具体情况说明</w:t>
      </w:r>
      <w:bookmarkEnd w:id="43"/>
    </w:p>
    <w:p w14:paraId="7096D32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 w:hAnsi="仿宋" w:eastAsia="仿宋"/>
          <w:color w:val="000000"/>
          <w:sz w:val="32"/>
          <w:szCs w:val="32"/>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85.71</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14.29</w:t>
      </w:r>
      <w:r>
        <w:rPr>
          <w:rFonts w:ascii="仿宋" w:hAnsi="仿宋" w:eastAsia="仿宋"/>
          <w:color w:val="000000"/>
          <w:sz w:val="32"/>
          <w:szCs w:val="32"/>
        </w:rPr>
        <w:t>%</w:t>
      </w:r>
      <w:r>
        <w:rPr>
          <w:rFonts w:hint="eastAsia" w:ascii="仿宋" w:hAnsi="仿宋" w:eastAsia="仿宋"/>
          <w:color w:val="000000"/>
          <w:sz w:val="32"/>
          <w:szCs w:val="32"/>
        </w:rPr>
        <w:t>。具体情况如下：</w:t>
      </w:r>
    </w:p>
    <w:p w14:paraId="77395BD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仿宋" w:hAnsi="仿宋" w:eastAsia="仿宋"/>
          <w:color w:val="FF0000"/>
          <w:sz w:val="32"/>
          <w:szCs w:val="32"/>
        </w:rPr>
      </w:pPr>
      <w:r>
        <w:rPr>
          <w:rFonts w:hint="eastAsia" w:ascii="仿宋" w:hAnsi="仿宋" w:eastAsia="仿宋"/>
          <w:color w:val="FF0000"/>
          <w:sz w:val="32"/>
          <w:szCs w:val="32"/>
        </w:rPr>
        <w:t>图7：“三公”经费财政拨款支出结构（</w:t>
      </w:r>
      <w:r>
        <w:rPr>
          <w:rFonts w:hint="eastAsia" w:ascii="仿宋" w:hAnsi="仿宋" w:eastAsia="仿宋"/>
          <w:color w:val="FF0000"/>
          <w:sz w:val="32"/>
          <w:szCs w:val="32"/>
          <w:lang w:eastAsia="zh-CN"/>
        </w:rPr>
        <w:t>单位：万元</w:t>
      </w:r>
      <w:r>
        <w:rPr>
          <w:rFonts w:hint="eastAsia" w:ascii="仿宋" w:hAnsi="仿宋" w:eastAsia="仿宋"/>
          <w:color w:val="FF0000"/>
          <w:sz w:val="32"/>
          <w:szCs w:val="32"/>
        </w:rPr>
        <w:t>）</w:t>
      </w:r>
    </w:p>
    <w:p w14:paraId="026C47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drawing>
          <wp:inline distT="0" distB="0" distL="114300" distR="114300">
            <wp:extent cx="4488180" cy="2266950"/>
            <wp:effectExtent l="4445" t="4445" r="2222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9DE527">
      <w:pPr>
        <w:keepNext w:val="0"/>
        <w:keepLines w:val="0"/>
        <w:pageBreakBefore w:val="0"/>
        <w:kinsoku/>
        <w:wordWrap/>
        <w:overflowPunct/>
        <w:topLinePunct w:val="0"/>
        <w:bidi w:val="0"/>
        <w:snapToGrid/>
        <w:spacing w:line="578" w:lineRule="exact"/>
        <w:ind w:firstLine="640"/>
        <w:textAlignment w:val="auto"/>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。主要原因是未安排因公出国（境）事项</w:t>
      </w:r>
      <w:r>
        <w:rPr>
          <w:rFonts w:hint="eastAsia" w:ascii="仿宋_GB2312" w:eastAsia="仿宋_GB2312"/>
          <w:color w:val="000000"/>
          <w:sz w:val="32"/>
          <w:szCs w:val="32"/>
          <w:lang w:eastAsia="zh-CN"/>
        </w:rPr>
        <w:t>。</w:t>
      </w:r>
    </w:p>
    <w:p w14:paraId="3744C774">
      <w:pPr>
        <w:keepNext w:val="0"/>
        <w:keepLines w:val="0"/>
        <w:pageBreakBefore w:val="0"/>
        <w:kinsoku/>
        <w:wordWrap/>
        <w:overflowPunct/>
        <w:topLinePunct w:val="0"/>
        <w:bidi w:val="0"/>
        <w:snapToGrid/>
        <w:spacing w:line="578" w:lineRule="exact"/>
        <w:ind w:firstLine="640"/>
        <w:textAlignment w:val="auto"/>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增加0.06</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 xml:space="preserve">增加2.04 </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车辆运行维护费增加</w:t>
      </w:r>
      <w:r>
        <w:rPr>
          <w:rFonts w:hint="eastAsia" w:ascii="仿宋_GB2312" w:hAnsi="仿宋_GB2312" w:eastAsia="仿宋_GB2312" w:cs="仿宋_GB2312"/>
          <w:sz w:val="32"/>
          <w:szCs w:val="32"/>
          <w:lang w:eastAsia="zh-CN"/>
        </w:rPr>
        <w:t>。</w:t>
      </w:r>
    </w:p>
    <w:p w14:paraId="646D99CE">
      <w:pPr>
        <w:keepNext w:val="0"/>
        <w:keepLines w:val="0"/>
        <w:pageBreakBefore w:val="0"/>
        <w:kinsoku/>
        <w:wordWrap/>
        <w:overflowPunct/>
        <w:topLinePunct w:val="0"/>
        <w:bidi w:val="0"/>
        <w:snapToGrid/>
        <w:spacing w:line="578"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lang w:eastAsia="zh-CN"/>
        </w:rPr>
        <w:t>业务用</w:t>
      </w:r>
      <w:r>
        <w:rPr>
          <w:rFonts w:hint="eastAsia" w:ascii="仿宋_GB2312" w:hAnsi="仿宋_GB2312" w:eastAsia="仿宋_GB2312" w:cs="仿宋_GB2312"/>
          <w:sz w:val="32"/>
          <w:szCs w:val="32"/>
        </w:rPr>
        <w:t>车1辆</w:t>
      </w:r>
      <w:r>
        <w:rPr>
          <w:rFonts w:hint="eastAsia" w:ascii="仿宋_GB2312" w:hAnsi="仿宋_GB2312" w:eastAsia="仿宋_GB2312" w:cs="仿宋_GB2312"/>
          <w:sz w:val="32"/>
          <w:szCs w:val="32"/>
          <w:lang w:eastAsia="zh-CN"/>
        </w:rPr>
        <w:t>。</w:t>
      </w:r>
    </w:p>
    <w:p w14:paraId="42B38CA0">
      <w:pPr>
        <w:keepNext w:val="0"/>
        <w:keepLines w:val="0"/>
        <w:pageBreakBefore w:val="0"/>
        <w:kinsoku/>
        <w:wordWrap/>
        <w:overflowPunct/>
        <w:topLinePunct w:val="0"/>
        <w:bidi w:val="0"/>
        <w:snapToGrid/>
        <w:spacing w:line="578" w:lineRule="exact"/>
        <w:ind w:firstLine="640"/>
        <w:textAlignment w:val="auto"/>
        <w:rPr>
          <w:rFonts w:ascii="仿宋_GB2312" w:eastAsia="仿宋_GB2312"/>
          <w:color w:val="000000"/>
          <w:sz w:val="32"/>
          <w:szCs w:val="32"/>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万元。主要用于</w:t>
      </w:r>
      <w:r>
        <w:rPr>
          <w:rFonts w:hint="eastAsia" w:ascii="仿宋_GB2312" w:eastAsia="仿宋_GB2312"/>
          <w:sz w:val="32"/>
          <w:szCs w:val="32"/>
        </w:rPr>
        <w:t>城乡规划</w:t>
      </w:r>
      <w:r>
        <w:rPr>
          <w:rFonts w:hint="eastAsia" w:ascii="仿宋_GB2312" w:eastAsia="仿宋_GB2312"/>
          <w:sz w:val="32"/>
          <w:szCs w:val="32"/>
          <w:lang w:eastAsia="zh-CN"/>
        </w:rPr>
        <w:t>编制、管理及</w:t>
      </w:r>
      <w:r>
        <w:rPr>
          <w:rFonts w:hint="eastAsia" w:ascii="仿宋_GB2312" w:eastAsia="仿宋_GB2312"/>
          <w:sz w:val="32"/>
          <w:szCs w:val="32"/>
        </w:rPr>
        <w:t>勘</w:t>
      </w:r>
      <w:r>
        <w:rPr>
          <w:rFonts w:hint="eastAsia" w:ascii="仿宋_GB2312" w:eastAsia="仿宋_GB2312"/>
          <w:sz w:val="32"/>
          <w:szCs w:val="32"/>
          <w:lang w:eastAsia="zh-CN"/>
        </w:rPr>
        <w:t>测</w:t>
      </w:r>
      <w:r>
        <w:rPr>
          <w:rFonts w:hint="eastAsia" w:ascii="仿宋_GB2312" w:eastAsia="仿宋_GB2312"/>
          <w:sz w:val="32"/>
          <w:szCs w:val="32"/>
        </w:rPr>
        <w:t>设计</w:t>
      </w:r>
      <w:r>
        <w:rPr>
          <w:rFonts w:hint="eastAsia" w:ascii="仿宋_GB2312" w:eastAsia="仿宋_GB2312"/>
          <w:color w:val="000000"/>
          <w:sz w:val="32"/>
          <w:szCs w:val="32"/>
        </w:rPr>
        <w:t>等所需的公务用车燃料费、维修费、过路过桥费、保险费等支出。</w:t>
      </w:r>
    </w:p>
    <w:p w14:paraId="302F304F">
      <w:pPr>
        <w:keepNext w:val="0"/>
        <w:keepLines w:val="0"/>
        <w:pageBreakBefore w:val="0"/>
        <w:numPr>
          <w:ilvl w:val="0"/>
          <w:numId w:val="0"/>
        </w:numPr>
        <w:kinsoku/>
        <w:wordWrap/>
        <w:overflowPunct/>
        <w:topLinePunct w:val="0"/>
        <w:bidi w:val="0"/>
        <w:snapToGrid/>
        <w:spacing w:line="578" w:lineRule="exact"/>
        <w:ind w:firstLine="643" w:firstLineChars="200"/>
        <w:textAlignment w:val="auto"/>
        <w:rPr>
          <w:rFonts w:ascii="仿宋_GB2312" w:eastAsia="仿宋_GB2312"/>
          <w:color w:val="000000"/>
          <w:sz w:val="32"/>
          <w:szCs w:val="32"/>
        </w:rPr>
      </w:pP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41.67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增加0.47</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增加156.67%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市县相互交流、学习次数比去年相对较多</w:t>
      </w:r>
      <w:r>
        <w:rPr>
          <w:rFonts w:hint="eastAsia" w:ascii="仿宋" w:hAnsi="仿宋" w:eastAsia="仿宋" w:cs="仿宋"/>
          <w:color w:val="000000"/>
          <w:sz w:val="32"/>
          <w:szCs w:val="32"/>
          <w:lang w:eastAsia="zh-CN"/>
        </w:rPr>
        <w:t>。</w:t>
      </w:r>
      <w:r>
        <w:rPr>
          <w:rFonts w:hint="eastAsia" w:ascii="仿宋_GB2312" w:eastAsia="仿宋_GB2312"/>
          <w:color w:val="000000"/>
          <w:sz w:val="32"/>
          <w:szCs w:val="32"/>
        </w:rPr>
        <w:t>其中：</w:t>
      </w:r>
    </w:p>
    <w:p w14:paraId="03820AFE">
      <w:pPr>
        <w:keepNext w:val="0"/>
        <w:keepLines w:val="0"/>
        <w:pageBreakBefore w:val="0"/>
        <w:kinsoku/>
        <w:wordWrap/>
        <w:overflowPunct/>
        <w:topLinePunct w:val="0"/>
        <w:bidi w:val="0"/>
        <w:snapToGrid/>
        <w:spacing w:line="578" w:lineRule="exact"/>
        <w:ind w:firstLine="640"/>
        <w:textAlignment w:val="auto"/>
        <w:rPr>
          <w:rFonts w:ascii="仿宋_GB2312" w:eastAsia="仿宋_GB2312"/>
          <w:color w:val="000000"/>
          <w:sz w:val="32"/>
          <w:szCs w:val="32"/>
        </w:rPr>
      </w:pPr>
      <w:r>
        <w:rPr>
          <w:rFonts w:hint="eastAsia" w:ascii="仿宋" w:hAnsi="仿宋" w:eastAsia="仿宋"/>
          <w:b/>
          <w:color w:val="000000"/>
          <w:sz w:val="32"/>
          <w:szCs w:val="32"/>
          <w:lang w:val="en-US" w:eastAsia="zh-CN"/>
        </w:rPr>
        <w:t>5.</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规划编制、管理及勘测设计、检查工作、市县相互交流学习等方面（</w:t>
      </w:r>
      <w:r>
        <w:rPr>
          <w:rFonts w:hint="eastAsia" w:ascii="仿宋_GB2312" w:eastAsia="仿宋_GB2312"/>
          <w:color w:val="000000"/>
          <w:sz w:val="32"/>
          <w:szCs w:val="32"/>
        </w:rPr>
        <w:t>执行公务、开展业务活动开支的交通费、住宿费、用餐费等</w:t>
      </w:r>
      <w:r>
        <w:rPr>
          <w:rFonts w:hint="eastAsia" w:ascii="仿宋_GB2312" w:eastAsia="仿宋_GB2312"/>
          <w:color w:val="000000"/>
          <w:sz w:val="32"/>
          <w:szCs w:val="32"/>
          <w:lang w:eastAsia="zh-CN"/>
        </w:rPr>
        <w:t>）</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110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来省市县检查工作等</w:t>
      </w:r>
      <w:r>
        <w:rPr>
          <w:rFonts w:hint="eastAsia" w:ascii="仿宋_GB2312" w:eastAsia="仿宋_GB2312"/>
          <w:color w:val="000000"/>
          <w:sz w:val="32"/>
          <w:szCs w:val="32"/>
        </w:rPr>
        <w:t>。</w:t>
      </w:r>
    </w:p>
    <w:p w14:paraId="633465C5">
      <w:pPr>
        <w:keepNext w:val="0"/>
        <w:keepLines w:val="0"/>
        <w:pageBreakBefore w:val="0"/>
        <w:kinsoku/>
        <w:wordWrap/>
        <w:overflowPunct/>
        <w:topLinePunct w:val="0"/>
        <w:bidi w:val="0"/>
        <w:snapToGrid/>
        <w:spacing w:line="578" w:lineRule="exact"/>
        <w:ind w:firstLine="643" w:firstLineChars="200"/>
        <w:textAlignment w:val="auto"/>
        <w:rPr>
          <w:rFonts w:hint="eastAsia" w:ascii="黑体" w:eastAsia="仿宋_GB2312"/>
          <w:color w:val="000000"/>
          <w:sz w:val="32"/>
          <w:szCs w:val="32"/>
          <w:lang w:eastAsia="zh-CN"/>
        </w:rPr>
      </w:pPr>
      <w:r>
        <w:rPr>
          <w:rFonts w:hint="eastAsia" w:ascii="仿宋" w:hAnsi="仿宋" w:eastAsia="仿宋"/>
          <w:b/>
          <w:color w:val="000000"/>
          <w:sz w:val="32"/>
          <w:szCs w:val="32"/>
          <w:lang w:val="en-US" w:eastAsia="zh-CN"/>
        </w:rPr>
        <w:t>6.</w:t>
      </w: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bookmarkStart w:id="44" w:name="_Toc15377218"/>
      <w:bookmarkStart w:id="45" w:name="_Toc15396610"/>
      <w:r>
        <w:rPr>
          <w:rFonts w:hint="eastAsia" w:ascii="仿宋_GB2312" w:eastAsia="仿宋_GB2312"/>
          <w:color w:val="000000" w:themeColor="text1"/>
          <w:sz w:val="32"/>
          <w:szCs w:val="32"/>
          <w:lang w:eastAsia="zh-CN"/>
          <w14:textFill>
            <w14:solidFill>
              <w14:schemeClr w14:val="tx1"/>
            </w14:solidFill>
          </w14:textFill>
        </w:rPr>
        <w:t>。</w:t>
      </w:r>
    </w:p>
    <w:p w14:paraId="50CDC5BB">
      <w:pPr>
        <w:keepNext w:val="0"/>
        <w:keepLines w:val="0"/>
        <w:pageBreakBefore w:val="0"/>
        <w:kinsoku/>
        <w:wordWrap/>
        <w:overflowPunct/>
        <w:topLinePunct w:val="0"/>
        <w:bidi w:val="0"/>
        <w:snapToGrid/>
        <w:spacing w:line="578" w:lineRule="exact"/>
        <w:ind w:firstLine="640"/>
        <w:textAlignment w:val="auto"/>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14:paraId="77F94300">
      <w:pPr>
        <w:keepNext w:val="0"/>
        <w:keepLines w:val="0"/>
        <w:pageBreakBefore w:val="0"/>
        <w:kinsoku/>
        <w:wordWrap/>
        <w:overflowPunct/>
        <w:topLinePunct w:val="0"/>
        <w:bidi w:val="0"/>
        <w:snapToGrid/>
        <w:spacing w:line="578"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万元。</w:t>
      </w:r>
    </w:p>
    <w:p w14:paraId="05D8CE89">
      <w:pPr>
        <w:keepNext w:val="0"/>
        <w:keepLines w:val="0"/>
        <w:pageBreakBefore w:val="0"/>
        <w:numPr>
          <w:ilvl w:val="0"/>
          <w:numId w:val="1"/>
        </w:numPr>
        <w:kinsoku/>
        <w:wordWrap/>
        <w:overflowPunct/>
        <w:topLinePunct w:val="0"/>
        <w:bidi w:val="0"/>
        <w:snapToGrid/>
        <w:spacing w:line="578" w:lineRule="exact"/>
        <w:ind w:firstLine="640"/>
        <w:textAlignment w:val="auto"/>
        <w:outlineLvl w:val="1"/>
        <w:rPr>
          <w:rStyle w:val="26"/>
          <w:rFonts w:ascii="黑体" w:hAnsi="黑体" w:eastAsia="黑体"/>
          <w:b w:val="0"/>
        </w:rPr>
      </w:pPr>
      <w:bookmarkStart w:id="46" w:name="_Toc15377219"/>
      <w:bookmarkStart w:id="47" w:name="_Toc15396611"/>
      <w:r>
        <w:rPr>
          <w:rStyle w:val="26"/>
          <w:rFonts w:hint="eastAsia" w:ascii="黑体" w:hAnsi="黑体" w:eastAsia="黑体"/>
          <w:b w:val="0"/>
        </w:rPr>
        <w:t>国有资本经营预算支出决算情况说明</w:t>
      </w:r>
      <w:bookmarkEnd w:id="46"/>
      <w:bookmarkEnd w:id="47"/>
    </w:p>
    <w:p w14:paraId="786F14F4">
      <w:pPr>
        <w:keepNext w:val="0"/>
        <w:keepLines w:val="0"/>
        <w:pageBreakBefore w:val="0"/>
        <w:kinsoku/>
        <w:wordWrap/>
        <w:overflowPunct/>
        <w:topLinePunct w:val="0"/>
        <w:bidi w:val="0"/>
        <w:snapToGrid/>
        <w:spacing w:line="578"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A8F4C03">
      <w:pPr>
        <w:keepNext w:val="0"/>
        <w:keepLines w:val="0"/>
        <w:pageBreakBefore w:val="0"/>
        <w:kinsoku/>
        <w:wordWrap/>
        <w:overflowPunct/>
        <w:topLinePunct w:val="0"/>
        <w:bidi w:val="0"/>
        <w:snapToGrid/>
        <w:spacing w:line="578" w:lineRule="exact"/>
        <w:ind w:firstLine="640" w:firstLineChars="200"/>
        <w:textAlignment w:val="auto"/>
        <w:outlineLvl w:val="1"/>
        <w:rPr>
          <w:rStyle w:val="26"/>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8"/>
      <w:bookmarkEnd w:id="49"/>
    </w:p>
    <w:p w14:paraId="1F01672F">
      <w:pPr>
        <w:keepNext w:val="0"/>
        <w:keepLines w:val="0"/>
        <w:pageBreakBefore w:val="0"/>
        <w:kinsoku/>
        <w:wordWrap/>
        <w:overflowPunct/>
        <w:topLinePunct w:val="0"/>
        <w:bidi w:val="0"/>
        <w:snapToGrid/>
        <w:spacing w:line="578" w:lineRule="exact"/>
        <w:ind w:firstLine="643" w:firstLineChars="200"/>
        <w:textAlignment w:val="auto"/>
        <w:outlineLvl w:val="2"/>
        <w:rPr>
          <w:rFonts w:hint="eastAsia" w:ascii="楷体" w:hAnsi="楷体" w:eastAsia="楷体" w:cs="楷体"/>
          <w:color w:val="000000"/>
          <w:sz w:val="32"/>
          <w:szCs w:val="32"/>
        </w:rPr>
      </w:pPr>
      <w:bookmarkStart w:id="50" w:name="_Toc15377222"/>
      <w:r>
        <w:rPr>
          <w:rFonts w:hint="eastAsia" w:ascii="楷体" w:hAnsi="楷体" w:eastAsia="楷体" w:cs="楷体"/>
          <w:b/>
          <w:color w:val="000000"/>
          <w:sz w:val="32"/>
          <w:szCs w:val="32"/>
        </w:rPr>
        <w:t>（一）</w:t>
      </w:r>
      <w:r>
        <w:rPr>
          <w:rFonts w:hint="eastAsia" w:ascii="楷体" w:hAnsi="楷体" w:eastAsia="楷体" w:cs="楷体"/>
          <w:b/>
          <w:color w:val="000000"/>
          <w:sz w:val="32"/>
          <w:szCs w:val="32"/>
          <w:lang w:eastAsia="zh-CN"/>
        </w:rPr>
        <w:t>事业</w:t>
      </w:r>
      <w:r>
        <w:rPr>
          <w:rFonts w:hint="eastAsia" w:ascii="楷体" w:hAnsi="楷体" w:eastAsia="楷体" w:cs="楷体"/>
          <w:b/>
          <w:color w:val="000000"/>
          <w:sz w:val="32"/>
          <w:szCs w:val="32"/>
        </w:rPr>
        <w:t>运行经费支出情况</w:t>
      </w:r>
      <w:bookmarkEnd w:id="50"/>
    </w:p>
    <w:p w14:paraId="506FC044">
      <w:pPr>
        <w:keepNext w:val="0"/>
        <w:keepLines w:val="0"/>
        <w:pageBreakBefore w:val="0"/>
        <w:numPr>
          <w:ilvl w:val="0"/>
          <w:numId w:val="0"/>
        </w:numPr>
        <w:kinsoku/>
        <w:wordWrap/>
        <w:overflowPunct/>
        <w:topLinePunct w:val="0"/>
        <w:bidi w:val="0"/>
        <w:snapToGrid/>
        <w:spacing w:line="578"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大竹县城乡规划编制中心</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112.84</w:t>
      </w:r>
      <w:r>
        <w:rPr>
          <w:rFonts w:hint="eastAsia" w:ascii="仿宋_GB2312" w:eastAsia="仿宋_GB2312"/>
          <w:color w:val="000000"/>
          <w:sz w:val="32"/>
          <w:szCs w:val="32"/>
        </w:rPr>
        <w:t>万元，比</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增加62.99</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增加126.36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sz w:val="32"/>
          <w:szCs w:val="32"/>
          <w:lang w:val="en-US" w:eastAsia="zh-CN"/>
        </w:rPr>
        <w:t>业务量增加，运行经费增加</w:t>
      </w:r>
      <w:r>
        <w:rPr>
          <w:rFonts w:hint="eastAsia" w:ascii="仿宋" w:hAnsi="仿宋" w:eastAsia="仿宋" w:cs="仿宋"/>
          <w:color w:val="000000"/>
          <w:sz w:val="32"/>
          <w:szCs w:val="32"/>
          <w:lang w:eastAsia="zh-CN"/>
        </w:rPr>
        <w:t>。</w:t>
      </w:r>
    </w:p>
    <w:p w14:paraId="40B10DA6">
      <w:pPr>
        <w:keepNext w:val="0"/>
        <w:keepLines w:val="0"/>
        <w:pageBreakBefore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hint="eastAsia" w:ascii="楷体" w:hAnsi="楷体" w:eastAsia="楷体" w:cs="楷体"/>
          <w:b/>
          <w:color w:val="000000"/>
          <w:sz w:val="32"/>
          <w:szCs w:val="32"/>
        </w:rPr>
      </w:pPr>
      <w:bookmarkStart w:id="51" w:name="_Toc15377223"/>
      <w:r>
        <w:rPr>
          <w:rFonts w:hint="eastAsia" w:ascii="楷体" w:hAnsi="楷体" w:eastAsia="楷体" w:cs="楷体"/>
          <w:b/>
          <w:color w:val="000000"/>
          <w:sz w:val="32"/>
          <w:szCs w:val="32"/>
        </w:rPr>
        <w:t>（二）政府采购支出情况</w:t>
      </w:r>
      <w:bookmarkEnd w:id="51"/>
    </w:p>
    <w:p w14:paraId="4CE22589">
      <w:pPr>
        <w:keepNext w:val="0"/>
        <w:keepLines w:val="0"/>
        <w:pageBreakBefore w:val="0"/>
        <w:kinsoku/>
        <w:wordWrap/>
        <w:overflowPunct/>
        <w:topLinePunct w:val="0"/>
        <w:bidi w:val="0"/>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大竹县城乡规划编中心</w:t>
      </w:r>
      <w:r>
        <w:rPr>
          <w:rFonts w:hint="eastAsia" w:ascii="仿宋_GB2312" w:eastAsia="仿宋_GB2312"/>
          <w:color w:val="000000"/>
          <w:sz w:val="32"/>
          <w:szCs w:val="32"/>
        </w:rPr>
        <w:t>政府采购支出总额</w:t>
      </w:r>
      <w:r>
        <w:rPr>
          <w:rFonts w:hint="eastAsia" w:ascii="仿宋_GB2312" w:eastAsia="仿宋_GB2312"/>
          <w:color w:val="auto"/>
          <w:sz w:val="32"/>
          <w:szCs w:val="32"/>
          <w:lang w:val="en-US" w:eastAsia="zh-CN"/>
        </w:rPr>
        <w:t>230</w:t>
      </w:r>
      <w:r>
        <w:rPr>
          <w:rFonts w:hint="eastAsia" w:ascii="仿宋_GB2312" w:eastAsia="仿宋_GB2312"/>
          <w:color w:val="auto"/>
          <w:sz w:val="32"/>
          <w:szCs w:val="32"/>
        </w:rPr>
        <w:t>万元</w:t>
      </w:r>
      <w:r>
        <w:rPr>
          <w:rFonts w:hint="eastAsia" w:ascii="仿宋_GB2312" w:eastAsia="仿宋_GB2312"/>
          <w:color w:val="000000"/>
          <w:sz w:val="32"/>
          <w:szCs w:val="32"/>
        </w:rPr>
        <w:t>，其中：政府采购货物支出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auto"/>
          <w:sz w:val="32"/>
          <w:szCs w:val="32"/>
          <w:lang w:val="en-US" w:eastAsia="zh-CN"/>
        </w:rPr>
        <w:t>230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主要用途国土空间规划、城区地下管网勘测及普查、高铁片区地形图测绘项目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684783B1">
      <w:pPr>
        <w:keepNext w:val="0"/>
        <w:keepLines w:val="0"/>
        <w:pageBreakBefore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hint="eastAsia" w:ascii="楷体" w:hAnsi="楷体" w:eastAsia="楷体" w:cs="楷体"/>
          <w:b/>
          <w:color w:val="000000"/>
          <w:sz w:val="32"/>
          <w:szCs w:val="32"/>
        </w:rPr>
      </w:pPr>
      <w:bookmarkStart w:id="52" w:name="_Toc15377224"/>
      <w:r>
        <w:rPr>
          <w:rFonts w:hint="eastAsia" w:ascii="楷体" w:hAnsi="楷体" w:eastAsia="楷体" w:cs="楷体"/>
          <w:b/>
          <w:color w:val="000000"/>
          <w:sz w:val="32"/>
          <w:szCs w:val="32"/>
        </w:rPr>
        <w:t>（三）国有资产占有使用情况</w:t>
      </w:r>
      <w:bookmarkEnd w:id="52"/>
    </w:p>
    <w:p w14:paraId="76528F83">
      <w:pPr>
        <w:keepNext w:val="0"/>
        <w:keepLines w:val="0"/>
        <w:pageBreakBefore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大竹县城乡规划编制中心</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规划管理、勘测设计业务，</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eastAsia="zh-CN"/>
        </w:rPr>
        <w:t>。</w:t>
      </w:r>
    </w:p>
    <w:p w14:paraId="4F30A20E">
      <w:pPr>
        <w:keepNext w:val="0"/>
        <w:keepLines w:val="0"/>
        <w:pageBreakBefore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hint="eastAsia" w:ascii="楷体" w:hAnsi="楷体" w:eastAsia="楷体" w:cs="楷体"/>
          <w:b/>
          <w:color w:val="000000"/>
          <w:sz w:val="32"/>
          <w:szCs w:val="32"/>
        </w:rPr>
      </w:pPr>
      <w:r>
        <w:rPr>
          <w:rFonts w:hint="eastAsia" w:ascii="楷体" w:hAnsi="楷体" w:eastAsia="楷体" w:cs="楷体"/>
          <w:b/>
          <w:color w:val="000000"/>
          <w:sz w:val="32"/>
          <w:szCs w:val="32"/>
        </w:rPr>
        <w:t>（四）预算绩效管理情况。</w:t>
      </w:r>
    </w:p>
    <w:p w14:paraId="2D1A2C83">
      <w:pPr>
        <w:keepNext w:val="0"/>
        <w:keepLines w:val="0"/>
        <w:pageBreakBefore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大竹县国土空间规划2021年度城市体检评估</w:t>
      </w:r>
      <w:r>
        <w:rPr>
          <w:rFonts w:hint="eastAsia" w:ascii="仿宋_GB2312" w:hAnsi="仿宋_GB2312" w:eastAsia="仿宋_GB2312" w:cs="仿宋_GB2312"/>
          <w:sz w:val="32"/>
          <w:szCs w:val="32"/>
          <w:lang w:eastAsia="zh-CN"/>
        </w:rPr>
        <w:t>”、“大竹县高铁组团详细规划编制项目”</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14:paraId="3D6D4675">
      <w:pPr>
        <w:keepNext w:val="0"/>
        <w:keepLines w:val="0"/>
        <w:pageBreakBefore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年部门整体支出开展绩效自评，</w:t>
      </w:r>
      <w:r>
        <w:rPr>
          <w:rFonts w:hint="eastAsia" w:ascii="仿宋_GB2312" w:hAnsi="仿宋_GB2312" w:eastAsia="仿宋_GB2312" w:cs="仿宋_GB2312"/>
          <w:sz w:val="32"/>
          <w:szCs w:val="32"/>
          <w:lang w:val="en-US" w:eastAsia="zh-CN"/>
        </w:rPr>
        <w:t>主要从预算管理、评价应用、存在的问题及建议等多方面进行了自评</w:t>
      </w:r>
      <w:r>
        <w:rPr>
          <w:rFonts w:hint="eastAsia" w:ascii="仿宋_GB2312" w:hAnsi="仿宋_GB2312" w:eastAsia="仿宋_GB2312" w:cs="仿宋_GB2312"/>
          <w:sz w:val="32"/>
          <w:szCs w:val="32"/>
        </w:rPr>
        <w:t>。从评价情况来看</w:t>
      </w:r>
      <w:r>
        <w:rPr>
          <w:rFonts w:hint="eastAsia" w:ascii="仿宋_GB2312" w:hAnsi="仿宋_GB2312" w:eastAsia="仿宋_GB2312" w:cs="仿宋_GB2312"/>
          <w:sz w:val="32"/>
          <w:szCs w:val="32"/>
          <w:lang w:eastAsia="zh-CN"/>
        </w:rPr>
        <w:t>效果良好。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个项目支出绩效评价（本部门无</w:t>
      </w:r>
      <w:r>
        <w:rPr>
          <w:rFonts w:hint="eastAsia" w:ascii="仿宋_GB2312" w:hAnsi="仿宋_GB2312" w:eastAsia="仿宋_GB2312" w:cs="仿宋_GB2312"/>
          <w:sz w:val="32"/>
          <w:szCs w:val="32"/>
          <w:lang w:val="en-US" w:eastAsia="zh-CN"/>
        </w:rPr>
        <w:t>规定标准以上的</w:t>
      </w:r>
      <w:r>
        <w:rPr>
          <w:rFonts w:hint="eastAsia" w:ascii="仿宋_GB2312" w:hAnsi="仿宋_GB2312" w:eastAsia="仿宋_GB2312" w:cs="仿宋_GB2312"/>
          <w:sz w:val="32"/>
          <w:szCs w:val="32"/>
        </w:rPr>
        <w:t>专项预算项目，因此未组织开展项目支出绩效评价）。</w:t>
      </w:r>
    </w:p>
    <w:p w14:paraId="693F0AD1">
      <w:pPr>
        <w:keepNext w:val="0"/>
        <w:keepLines w:val="0"/>
        <w:pageBreakBefore w:val="0"/>
        <w:kinsoku/>
        <w:wordWrap/>
        <w:overflowPunct/>
        <w:topLinePunct w:val="0"/>
        <w:bidi w:val="0"/>
        <w:snapToGrid/>
        <w:spacing w:line="578"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1.项目绩效目标完成情况。</w:t>
      </w:r>
    </w:p>
    <w:p w14:paraId="66B55628">
      <w:pPr>
        <w:keepNext w:val="0"/>
        <w:keepLines w:val="0"/>
        <w:pageBreakBefore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大竹县国土空间规划2021年度城市体检评估</w:t>
      </w:r>
      <w:r>
        <w:rPr>
          <w:rFonts w:hint="eastAsia" w:ascii="仿宋_GB2312" w:hAnsi="仿宋_GB2312" w:eastAsia="仿宋_GB2312" w:cs="仿宋_GB2312"/>
          <w:sz w:val="32"/>
          <w:szCs w:val="32"/>
          <w:lang w:eastAsia="zh-CN"/>
        </w:rPr>
        <w:t>”、“大竹县高铁组团详细规划编制项目”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14:paraId="14E6E17A">
      <w:pPr>
        <w:pStyle w:val="31"/>
        <w:keepNext w:val="0"/>
        <w:keepLines w:val="0"/>
        <w:pageBreakBefore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大竹县国土空间规划2021年度城市体检评估项目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进一步促进城市高质量发展、提升城市治理水平现代化。</w:t>
      </w:r>
    </w:p>
    <w:p w14:paraId="1CCF177F">
      <w:pPr>
        <w:keepNext w:val="0"/>
        <w:keepLines w:val="0"/>
        <w:pageBreakBefore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大竹县高铁组团详细规划编制项目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%。为后续国土空间规划编制、管理和实施工作提供有效支撑，从而进一步促进城北高铁组团高效建设与发展。</w:t>
      </w:r>
    </w:p>
    <w:p w14:paraId="51659BCC">
      <w:pPr>
        <w:keepNext w:val="0"/>
        <w:keepLines w:val="0"/>
        <w:pageBreakBefore w:val="0"/>
        <w:kinsoku/>
        <w:wordWrap/>
        <w:overflowPunct/>
        <w:topLinePunct w:val="0"/>
        <w:bidi w:val="0"/>
        <w:snapToGrid/>
        <w:spacing w:line="578" w:lineRule="exact"/>
        <w:ind w:left="63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2.部门绩效评价结果。</w:t>
      </w:r>
    </w:p>
    <w:p w14:paraId="2C716DF7">
      <w:pPr>
        <w:keepNext w:val="0"/>
        <w:keepLines w:val="0"/>
        <w:pageBreakBefore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年度组织对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个项目开展绩效自评</w:t>
      </w:r>
      <w:r>
        <w:rPr>
          <w:rFonts w:hint="eastAsia" w:ascii="仿宋_GB2312" w:hAnsi="仿宋_GB2312" w:eastAsia="仿宋_GB2312" w:cs="仿宋_GB2312"/>
          <w:sz w:val="32"/>
          <w:szCs w:val="32"/>
        </w:rPr>
        <w:t>，绩效自评表详见</w:t>
      </w:r>
      <w:r>
        <w:rPr>
          <w:rFonts w:hint="eastAsia" w:ascii="仿宋_GB2312" w:hAnsi="仿宋_GB2312" w:eastAsia="仿宋_GB2312" w:cs="仿宋_GB2312"/>
          <w:sz w:val="32"/>
          <w:szCs w:val="32"/>
          <w:lang w:eastAsia="zh-CN"/>
        </w:rPr>
        <w:t>第四部分</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426A2693">
      <w:pPr>
        <w:keepNext w:val="0"/>
        <w:keepLines w:val="0"/>
        <w:pageBreakBefore w:val="0"/>
        <w:widowControl/>
        <w:kinsoku/>
        <w:wordWrap/>
        <w:overflowPunct/>
        <w:topLinePunct w:val="0"/>
        <w:bidi w:val="0"/>
        <w:snapToGrid/>
        <w:spacing w:line="578" w:lineRule="exact"/>
        <w:jc w:val="left"/>
        <w:textAlignment w:val="auto"/>
        <w:rPr>
          <w:rFonts w:ascii="仿宋_GB2312" w:eastAsia="仿宋_GB2312"/>
          <w:b/>
          <w:color w:val="000000"/>
          <w:sz w:val="32"/>
          <w:szCs w:val="32"/>
        </w:rPr>
      </w:pPr>
      <w:r>
        <w:rPr>
          <w:rFonts w:ascii="仿宋_GB2312" w:eastAsia="仿宋_GB2312"/>
          <w:b/>
          <w:color w:val="000000"/>
          <w:sz w:val="32"/>
          <w:szCs w:val="32"/>
        </w:rPr>
        <w:br w:type="page"/>
      </w:r>
    </w:p>
    <w:p w14:paraId="6F785038">
      <w:pPr>
        <w:keepNext w:val="0"/>
        <w:keepLines w:val="0"/>
        <w:pageBreakBefore w:val="0"/>
        <w:widowControl w:val="0"/>
        <w:numPr>
          <w:ilvl w:val="0"/>
          <w:numId w:val="0"/>
        </w:numPr>
        <w:kinsoku/>
        <w:wordWrap/>
        <w:overflowPunct/>
        <w:topLinePunct w:val="0"/>
        <w:bidi w:val="0"/>
        <w:snapToGrid/>
        <w:spacing w:line="578" w:lineRule="exact"/>
        <w:jc w:val="center"/>
        <w:textAlignment w:val="auto"/>
        <w:outlineLvl w:val="0"/>
        <w:rPr>
          <w:rStyle w:val="25"/>
          <w:rFonts w:hint="eastAsia" w:ascii="方正小标宋简体" w:hAnsi="方正小标宋简体" w:eastAsia="方正小标宋简体" w:cs="方正小标宋简体"/>
          <w:b w:val="0"/>
        </w:rPr>
      </w:pPr>
      <w:bookmarkStart w:id="53" w:name="_Toc15396613"/>
      <w:bookmarkStart w:id="54" w:name="_Toc15377225"/>
      <w:r>
        <w:rPr>
          <w:rFonts w:hint="eastAsia" w:ascii="方正小标宋简体" w:hAnsi="方正小标宋简体" w:eastAsia="方正小标宋简体" w:cs="方正小标宋简体"/>
          <w:color w:val="000000"/>
          <w:sz w:val="44"/>
          <w:szCs w:val="44"/>
          <w:lang w:eastAsia="zh-CN"/>
        </w:rPr>
        <w:t>第三部分</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名</w:t>
      </w:r>
      <w:r>
        <w:rPr>
          <w:rStyle w:val="25"/>
          <w:rFonts w:hint="eastAsia" w:ascii="方正小标宋简体" w:hAnsi="方正小标宋简体" w:eastAsia="方正小标宋简体" w:cs="方正小标宋简体"/>
          <w:b w:val="0"/>
        </w:rPr>
        <w:t>词解释</w:t>
      </w:r>
      <w:bookmarkEnd w:id="53"/>
      <w:bookmarkEnd w:id="54"/>
    </w:p>
    <w:p w14:paraId="53A40613">
      <w:pPr>
        <w:keepNext w:val="0"/>
        <w:keepLines w:val="0"/>
        <w:pageBreakBefore w:val="0"/>
        <w:widowControl w:val="0"/>
        <w:kinsoku/>
        <w:wordWrap/>
        <w:overflowPunct/>
        <w:topLinePunct w:val="0"/>
        <w:bidi w:val="0"/>
        <w:snapToGrid/>
        <w:spacing w:line="578" w:lineRule="exact"/>
        <w:jc w:val="left"/>
        <w:textAlignment w:val="auto"/>
        <w:rPr>
          <w:rFonts w:ascii="宋体"/>
          <w:b/>
          <w:color w:val="000000"/>
          <w:sz w:val="44"/>
          <w:szCs w:val="44"/>
        </w:rPr>
      </w:pPr>
    </w:p>
    <w:p w14:paraId="3AB82A37">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24C02A9E">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0F3193A4">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71C52E4C">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56973F38">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28FDEDD1">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0A3E795E">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7FA6F938">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2FE57B85">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2080502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反映事业单位开支的离退休经费</w:t>
      </w:r>
    </w:p>
    <w:p w14:paraId="1FDF5AD3">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机关事业单位基本养老保险缴费支出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2080505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机关事业单位实施养老保险制度由单位缴纳的基本养老保险支出。</w:t>
      </w:r>
    </w:p>
    <w:p w14:paraId="5FD9CD80">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机关事业单位职业年金缴费支出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2080506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机关事业单位实施</w:t>
      </w:r>
      <w:r>
        <w:rPr>
          <w:rFonts w:hint="eastAsia" w:ascii="仿宋_GB2312" w:hAnsi="仿宋_GB2312" w:eastAsia="仿宋_GB2312" w:cs="仿宋_GB2312"/>
          <w:sz w:val="32"/>
          <w:szCs w:val="32"/>
          <w:lang w:val="en-US" w:eastAsia="zh-CN"/>
        </w:rPr>
        <w:t>职业年金</w:t>
      </w:r>
      <w:r>
        <w:rPr>
          <w:rFonts w:hint="eastAsia" w:ascii="仿宋_GB2312" w:hAnsi="仿宋_GB2312" w:eastAsia="仿宋_GB2312" w:cs="仿宋_GB2312"/>
          <w:sz w:val="32"/>
          <w:szCs w:val="32"/>
        </w:rPr>
        <w:t>制度由单位缴纳的</w:t>
      </w:r>
      <w:r>
        <w:rPr>
          <w:rFonts w:hint="eastAsia" w:ascii="仿宋_GB2312" w:hAnsi="仿宋_GB2312" w:eastAsia="仿宋_GB2312" w:cs="仿宋_GB2312"/>
          <w:sz w:val="32"/>
          <w:szCs w:val="32"/>
          <w:lang w:val="en-US" w:eastAsia="zh-CN"/>
        </w:rPr>
        <w:t>职业年金</w:t>
      </w:r>
      <w:r>
        <w:rPr>
          <w:rFonts w:hint="eastAsia" w:ascii="仿宋_GB2312" w:hAnsi="仿宋_GB2312" w:eastAsia="仿宋_GB2312" w:cs="仿宋_GB2312"/>
          <w:sz w:val="32"/>
          <w:szCs w:val="32"/>
        </w:rPr>
        <w:t>保险支出。</w:t>
      </w:r>
    </w:p>
    <w:p w14:paraId="15058424">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2080599</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机关事业单位实施养老保险制度由单位缴纳的</w:t>
      </w:r>
      <w:r>
        <w:rPr>
          <w:rFonts w:hint="eastAsia" w:ascii="仿宋_GB2312" w:hAnsi="仿宋_GB2312" w:eastAsia="仿宋_GB2312" w:cs="仿宋_GB2312"/>
          <w:sz w:val="32"/>
          <w:szCs w:val="32"/>
          <w:lang w:val="en-US" w:eastAsia="zh-CN"/>
        </w:rPr>
        <w:t>其他养老保</w:t>
      </w:r>
      <w:r>
        <w:rPr>
          <w:rFonts w:hint="eastAsia" w:ascii="仿宋_GB2312" w:hAnsi="仿宋_GB2312" w:eastAsia="仿宋_GB2312" w:cs="仿宋_GB2312"/>
          <w:sz w:val="32"/>
          <w:szCs w:val="32"/>
        </w:rPr>
        <w:t>险支出。</w:t>
      </w:r>
    </w:p>
    <w:p w14:paraId="129BC951">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2089999</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机关事业单位</w:t>
      </w:r>
      <w:r>
        <w:rPr>
          <w:rFonts w:hint="eastAsia" w:ascii="仿宋_GB2312" w:hAnsi="仿宋_GB2312" w:eastAsia="仿宋_GB2312" w:cs="仿宋_GB2312"/>
          <w:sz w:val="32"/>
          <w:szCs w:val="32"/>
          <w:lang w:val="en-US" w:eastAsia="zh-CN"/>
        </w:rPr>
        <w:t>其他社会保障和就业</w:t>
      </w:r>
      <w:r>
        <w:rPr>
          <w:rFonts w:hint="eastAsia" w:ascii="仿宋_GB2312" w:hAnsi="仿宋_GB2312" w:eastAsia="仿宋_GB2312" w:cs="仿宋_GB2312"/>
          <w:sz w:val="32"/>
          <w:szCs w:val="32"/>
        </w:rPr>
        <w:t>支出。</w:t>
      </w:r>
    </w:p>
    <w:p w14:paraId="14C9A633">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21011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事业单位医疗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2101102</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反映财政部门安排的事业单位基本医疗保险缴费经费，未参加医疗保险的事业单位的公费医疗经费，按国家规定享受离休人员待遇的医疗经费</w:t>
      </w:r>
      <w:r>
        <w:rPr>
          <w:rFonts w:hint="eastAsia" w:ascii="仿宋_GB2312" w:hAnsi="仿宋_GB2312" w:eastAsia="仿宋_GB2312" w:cs="仿宋_GB2312"/>
          <w:sz w:val="32"/>
          <w:szCs w:val="32"/>
        </w:rPr>
        <w:t>。</w:t>
      </w:r>
    </w:p>
    <w:p w14:paraId="6B94FCE9">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城乡社区支出（212）城乡社区管理事务（2120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）其他城乡社区管理事务支出（2120199）：</w:t>
      </w:r>
      <w:r>
        <w:rPr>
          <w:rFonts w:hint="eastAsia" w:ascii="仿宋_GB2312" w:hAnsi="仿宋_GB2312" w:eastAsia="仿宋_GB2312" w:cs="仿宋_GB2312"/>
          <w:sz w:val="32"/>
          <w:szCs w:val="32"/>
          <w:lang w:val="en-US" w:eastAsia="zh-CN"/>
        </w:rPr>
        <w:t>反应城乡社区其他以外的事务支出</w:t>
      </w:r>
      <w:r>
        <w:rPr>
          <w:rFonts w:hint="eastAsia" w:ascii="仿宋_GB2312" w:hAnsi="仿宋_GB2312" w:eastAsia="仿宋_GB2312" w:cs="仿宋_GB2312"/>
          <w:sz w:val="32"/>
          <w:szCs w:val="32"/>
        </w:rPr>
        <w:t>。</w:t>
      </w:r>
    </w:p>
    <w:p w14:paraId="1A912BB0">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城乡社区支出（212）城乡社区规划与管理（21202）城乡社区规划与管理（2120201）：指反映社区、防灾减灾、历史名城规划制定与管理等方面的支出。</w:t>
      </w:r>
    </w:p>
    <w:p w14:paraId="6FF4592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5ED9C31E">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11B86E54">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6D11C64B">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6FE7F29">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A378CB4">
      <w:pPr>
        <w:pStyle w:val="23"/>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s="黑体"/>
          <w:sz w:val="32"/>
          <w:szCs w:val="32"/>
        </w:rPr>
      </w:pPr>
    </w:p>
    <w:p w14:paraId="18ED13C3">
      <w:pPr>
        <w:keepNext w:val="0"/>
        <w:keepLines w:val="0"/>
        <w:pageBreakBefore w:val="0"/>
        <w:widowControl w:val="0"/>
        <w:kinsoku/>
        <w:wordWrap/>
        <w:overflowPunct/>
        <w:topLinePunct w:val="0"/>
        <w:bidi w:val="0"/>
        <w:snapToGrid/>
        <w:spacing w:line="578" w:lineRule="exact"/>
        <w:jc w:val="center"/>
        <w:textAlignment w:val="auto"/>
        <w:outlineLvl w:val="0"/>
        <w:rPr>
          <w:rFonts w:hint="eastAsia" w:ascii="黑体" w:hAnsi="黑体" w:eastAsia="黑体"/>
          <w:color w:val="000000"/>
          <w:sz w:val="44"/>
          <w:szCs w:val="44"/>
        </w:rPr>
      </w:pPr>
      <w:bookmarkStart w:id="55" w:name="_Toc15396614"/>
      <w:bookmarkStart w:id="56" w:name="_Toc15377226"/>
    </w:p>
    <w:p w14:paraId="5CFE233E">
      <w:pPr>
        <w:keepNext w:val="0"/>
        <w:keepLines w:val="0"/>
        <w:pageBreakBefore w:val="0"/>
        <w:widowControl w:val="0"/>
        <w:kinsoku/>
        <w:wordWrap/>
        <w:overflowPunct/>
        <w:topLinePunct w:val="0"/>
        <w:bidi w:val="0"/>
        <w:snapToGrid/>
        <w:spacing w:line="578" w:lineRule="exact"/>
        <w:jc w:val="center"/>
        <w:textAlignment w:val="auto"/>
        <w:outlineLvl w:val="0"/>
        <w:rPr>
          <w:rFonts w:hint="eastAsia" w:ascii="黑体" w:hAnsi="黑体" w:eastAsia="黑体"/>
          <w:color w:val="000000"/>
          <w:sz w:val="44"/>
          <w:szCs w:val="44"/>
        </w:rPr>
      </w:pPr>
    </w:p>
    <w:p w14:paraId="7E023F28">
      <w:pPr>
        <w:spacing w:line="600" w:lineRule="exact"/>
        <w:jc w:val="both"/>
        <w:outlineLvl w:val="0"/>
        <w:rPr>
          <w:rFonts w:hint="eastAsia" w:ascii="黑体" w:hAnsi="黑体" w:eastAsia="黑体"/>
          <w:color w:val="000000"/>
          <w:sz w:val="44"/>
          <w:szCs w:val="44"/>
        </w:rPr>
      </w:pPr>
    </w:p>
    <w:p w14:paraId="738F9566">
      <w:pPr>
        <w:spacing w:line="600" w:lineRule="exact"/>
        <w:jc w:val="both"/>
        <w:outlineLvl w:val="0"/>
        <w:rPr>
          <w:rFonts w:hint="eastAsia" w:ascii="黑体" w:hAnsi="黑体" w:eastAsia="黑体"/>
          <w:color w:val="000000"/>
          <w:sz w:val="44"/>
          <w:szCs w:val="44"/>
        </w:rPr>
      </w:pPr>
    </w:p>
    <w:p w14:paraId="414B2B56">
      <w:pPr>
        <w:spacing w:line="600" w:lineRule="exact"/>
        <w:jc w:val="center"/>
        <w:outlineLvl w:val="0"/>
        <w:rPr>
          <w:rStyle w:val="25"/>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color w:val="000000"/>
          <w:sz w:val="44"/>
          <w:szCs w:val="44"/>
        </w:rPr>
        <w:t>第</w:t>
      </w:r>
      <w:r>
        <w:rPr>
          <w:rStyle w:val="25"/>
          <w:rFonts w:hint="eastAsia" w:ascii="方正小标宋简体" w:hAnsi="方正小标宋简体" w:eastAsia="方正小标宋简体" w:cs="方正小标宋简体"/>
          <w:b w:val="0"/>
        </w:rPr>
        <w:t>四部分 附件</w:t>
      </w:r>
      <w:bookmarkEnd w:id="55"/>
    </w:p>
    <w:p w14:paraId="443C7FC9">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tbl>
      <w:tblPr>
        <w:tblStyle w:val="13"/>
        <w:tblW w:w="91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2"/>
        <w:gridCol w:w="528"/>
        <w:gridCol w:w="1281"/>
        <w:gridCol w:w="1773"/>
        <w:gridCol w:w="1254"/>
        <w:gridCol w:w="1399"/>
        <w:gridCol w:w="721"/>
        <w:gridCol w:w="1633"/>
      </w:tblGrid>
      <w:tr w14:paraId="326B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141" w:type="dxa"/>
            <w:gridSpan w:val="8"/>
            <w:tcBorders>
              <w:top w:val="nil"/>
              <w:left w:val="nil"/>
              <w:bottom w:val="nil"/>
              <w:right w:val="nil"/>
            </w:tcBorders>
            <w:shd w:val="clear" w:color="auto" w:fill="auto"/>
            <w:vAlign w:val="center"/>
          </w:tcPr>
          <w:p w14:paraId="30F6193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大竹县国土空间规划2021年度城市体检评估绩效目标自评表</w:t>
            </w:r>
            <w:r>
              <w:rPr>
                <w:rStyle w:val="39"/>
                <w:lang w:val="en-US" w:eastAsia="zh-CN" w:bidi="ar"/>
              </w:rPr>
              <w:t xml:space="preserve"> </w:t>
            </w:r>
          </w:p>
        </w:tc>
      </w:tr>
      <w:tr w14:paraId="53E5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41" w:type="dxa"/>
            <w:gridSpan w:val="8"/>
            <w:tcBorders>
              <w:top w:val="nil"/>
              <w:left w:val="nil"/>
              <w:bottom w:val="single" w:color="000000" w:sz="4" w:space="0"/>
              <w:right w:val="nil"/>
            </w:tcBorders>
            <w:shd w:val="clear" w:color="auto" w:fill="auto"/>
            <w:vAlign w:val="top"/>
          </w:tcPr>
          <w:p w14:paraId="7BD4B56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r>
      <w:tr w14:paraId="4812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F2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XX项目/单位名称</w:t>
            </w:r>
          </w:p>
        </w:tc>
        <w:tc>
          <w:tcPr>
            <w:tcW w:w="6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59C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大竹县国土空间规划2021年度城市体检评估</w:t>
            </w:r>
          </w:p>
        </w:tc>
      </w:tr>
      <w:tr w14:paraId="3BAD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EB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91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大竹县城乡规划编制中心部门</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6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6F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大竹县城乡规划编制中心</w:t>
            </w:r>
          </w:p>
        </w:tc>
      </w:tr>
      <w:tr w14:paraId="3D98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0E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8BAA">
            <w:pP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9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84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7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预算执行率（B/A)</w:t>
            </w:r>
          </w:p>
        </w:tc>
      </w:tr>
      <w:tr w14:paraId="5754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1EC3A">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2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05A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25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7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p>
        </w:tc>
      </w:tr>
      <w:tr w14:paraId="5437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DE8B">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BE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上级财政资金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0316">
            <w:pPr>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67C08">
            <w:pPr>
              <w:jc w:val="center"/>
              <w:rPr>
                <w:rFonts w:hint="eastAsia" w:ascii="宋体" w:hAnsi="宋体" w:eastAsia="宋体" w:cs="宋体"/>
                <w:i w:val="0"/>
                <w:iCs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A052">
            <w:pPr>
              <w:jc w:val="center"/>
              <w:rPr>
                <w:rFonts w:hint="eastAsia" w:ascii="宋体" w:hAnsi="宋体" w:eastAsia="宋体" w:cs="宋体"/>
                <w:i w:val="0"/>
                <w:iCs w:val="0"/>
                <w:color w:val="000000"/>
                <w:sz w:val="18"/>
                <w:szCs w:val="18"/>
                <w:u w:val="none"/>
              </w:rPr>
            </w:pPr>
          </w:p>
        </w:tc>
      </w:tr>
      <w:tr w14:paraId="0E08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E7053">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9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40"/>
                <w:lang w:val="en-US" w:eastAsia="zh-CN" w:bidi="ar"/>
              </w:rPr>
              <w:t xml:space="preserve">     县级资金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BE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D1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3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p>
        </w:tc>
      </w:tr>
      <w:tr w14:paraId="4910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5A93">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C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40"/>
                <w:lang w:val="en-US" w:eastAsia="zh-CN" w:bidi="ar"/>
              </w:rPr>
              <w:t>其他资金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42A">
            <w:pPr>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617D4">
            <w:pPr>
              <w:jc w:val="center"/>
              <w:rPr>
                <w:rFonts w:hint="eastAsia" w:ascii="宋体" w:hAnsi="宋体" w:eastAsia="宋体" w:cs="宋体"/>
                <w:i w:val="0"/>
                <w:iCs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2161">
            <w:pPr>
              <w:jc w:val="left"/>
              <w:rPr>
                <w:rFonts w:hint="eastAsia" w:ascii="宋体" w:hAnsi="宋体" w:eastAsia="宋体" w:cs="宋体"/>
                <w:i w:val="0"/>
                <w:iCs w:val="0"/>
                <w:color w:val="000000"/>
                <w:sz w:val="18"/>
                <w:szCs w:val="18"/>
                <w:u w:val="none"/>
              </w:rPr>
            </w:pPr>
          </w:p>
        </w:tc>
      </w:tr>
      <w:tr w14:paraId="5144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D8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4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58A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3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8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34E27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300EA">
            <w:pPr>
              <w:jc w:val="center"/>
              <w:rPr>
                <w:rFonts w:hint="eastAsia" w:ascii="宋体" w:hAnsi="宋体" w:eastAsia="宋体" w:cs="宋体"/>
                <w:i w:val="0"/>
                <w:iCs w:val="0"/>
                <w:color w:val="000000"/>
                <w:sz w:val="18"/>
                <w:szCs w:val="18"/>
                <w:u w:val="none"/>
              </w:rPr>
            </w:pPr>
          </w:p>
        </w:tc>
        <w:tc>
          <w:tcPr>
            <w:tcW w:w="4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6AC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通过开展国土空间规划城市体检评估工作，及时揭示城市空间治理中存在的问题和短板，提出改进工作的思路和方法。为国土空间规划的编制、管理和实施工作提供有效支撑，进一步促进城市高质量发展、提升城市治理水平现代化。</w:t>
            </w:r>
          </w:p>
        </w:tc>
        <w:tc>
          <w:tcPr>
            <w:tcW w:w="3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C95F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通过开展国土空间规划城市体检评估工作，及时揭示城市空间治理中存在的问题和短板，提出改进工作的思路和方法。为国土空间规划的编制、管理和实施工作提供有效支撑，进一步促进城市高质量发展、提升城市治理水平现代化</w:t>
            </w:r>
            <w:r>
              <w:rPr>
                <w:rFonts w:hint="eastAsia" w:ascii="宋体" w:hAnsi="宋体" w:cs="宋体"/>
                <w:i w:val="0"/>
                <w:iCs w:val="0"/>
                <w:color w:val="000000"/>
                <w:sz w:val="18"/>
                <w:szCs w:val="18"/>
                <w:u w:val="none"/>
                <w:lang w:val="en-US" w:eastAsia="zh-CN"/>
              </w:rPr>
              <w:t>。</w:t>
            </w:r>
          </w:p>
        </w:tc>
      </w:tr>
      <w:tr w14:paraId="0697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017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9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E9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6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全年实际完成值</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F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14:paraId="6957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C02743">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C8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1281" w:type="dxa"/>
            <w:vMerge w:val="restart"/>
            <w:tcBorders>
              <w:top w:val="single" w:color="000000" w:sz="4" w:space="0"/>
              <w:left w:val="single" w:color="000000" w:sz="4" w:space="0"/>
              <w:bottom w:val="nil"/>
              <w:right w:val="single" w:color="000000" w:sz="4" w:space="0"/>
            </w:tcBorders>
            <w:shd w:val="clear" w:color="auto" w:fill="auto"/>
            <w:vAlign w:val="center"/>
          </w:tcPr>
          <w:p w14:paraId="254A2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14:paraId="6DE1EAE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常住人口数量</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62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等于83万人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D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48E0">
            <w:pPr>
              <w:jc w:val="center"/>
              <w:rPr>
                <w:rFonts w:hint="eastAsia" w:ascii="宋体" w:hAnsi="宋体" w:eastAsia="宋体" w:cs="宋体"/>
                <w:i w:val="0"/>
                <w:iCs w:val="0"/>
                <w:color w:val="000000"/>
                <w:sz w:val="18"/>
                <w:szCs w:val="18"/>
                <w:u w:val="none"/>
              </w:rPr>
            </w:pPr>
          </w:p>
        </w:tc>
      </w:tr>
      <w:tr w14:paraId="765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E19E79">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C0F3E">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75F4CBE9">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14:paraId="20E109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人均城镇建设用地面积</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B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r>
              <w:rPr>
                <w:rFonts w:hint="eastAsia" w:ascii="宋体" w:hAnsi="宋体" w:cs="宋体"/>
                <w:i w:val="0"/>
                <w:iCs w:val="0"/>
                <w:color w:val="000000"/>
                <w:kern w:val="0"/>
                <w:sz w:val="18"/>
                <w:szCs w:val="18"/>
                <w:u w:val="none"/>
                <w:lang w:val="en-US" w:eastAsia="zh-CN" w:bidi="ar"/>
              </w:rPr>
              <w:t>63</w:t>
            </w:r>
            <w:r>
              <w:rPr>
                <w:rFonts w:hint="eastAsia" w:ascii="宋体" w:hAnsi="宋体" w:eastAsia="宋体" w:cs="宋体"/>
                <w:i w:val="0"/>
                <w:iCs w:val="0"/>
                <w:color w:val="000000"/>
                <w:kern w:val="0"/>
                <w:sz w:val="18"/>
                <w:szCs w:val="18"/>
                <w:u w:val="none"/>
                <w:lang w:val="en-US" w:eastAsia="zh-CN" w:bidi="ar"/>
              </w:rPr>
              <w:t>平方米</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33F5">
            <w:pPr>
              <w:jc w:val="center"/>
              <w:rPr>
                <w:rFonts w:hint="eastAsia" w:ascii="宋体" w:hAnsi="宋体" w:eastAsia="宋体" w:cs="宋体"/>
                <w:i w:val="0"/>
                <w:iCs w:val="0"/>
                <w:color w:val="000000"/>
                <w:sz w:val="18"/>
                <w:szCs w:val="18"/>
                <w:u w:val="none"/>
              </w:rPr>
            </w:pPr>
          </w:p>
        </w:tc>
      </w:tr>
      <w:tr w14:paraId="0C8A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6A86A8">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8C05">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7D1E1A3A">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14:paraId="364976A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城市体检城区范围划定</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A43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大于等于</w:t>
            </w:r>
            <w:r>
              <w:rPr>
                <w:rFonts w:hint="eastAsia" w:ascii="宋体" w:hAnsi="宋体" w:cs="宋体"/>
                <w:i w:val="0"/>
                <w:iCs w:val="0"/>
                <w:color w:val="000000"/>
                <w:kern w:val="0"/>
                <w:sz w:val="18"/>
                <w:szCs w:val="18"/>
                <w:u w:val="none"/>
                <w:lang w:val="en-US" w:eastAsia="zh-CN" w:bidi="ar"/>
              </w:rPr>
              <w:t>28.75平方千米</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3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3A1">
            <w:pPr>
              <w:jc w:val="center"/>
              <w:rPr>
                <w:rFonts w:hint="eastAsia" w:ascii="宋体" w:hAnsi="宋体" w:eastAsia="宋体" w:cs="宋体"/>
                <w:i w:val="0"/>
                <w:iCs w:val="0"/>
                <w:color w:val="000000"/>
                <w:sz w:val="18"/>
                <w:szCs w:val="18"/>
                <w:u w:val="none"/>
              </w:rPr>
            </w:pPr>
          </w:p>
        </w:tc>
      </w:tr>
      <w:tr w14:paraId="3963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8FFE83">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BD06">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21309E78">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14:paraId="57B3612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城区道路网密度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F3A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大于等于</w:t>
            </w:r>
            <w:r>
              <w:rPr>
                <w:rFonts w:hint="eastAsia" w:ascii="宋体" w:hAnsi="宋体" w:cs="宋体"/>
                <w:i w:val="0"/>
                <w:iCs w:val="0"/>
                <w:color w:val="000000"/>
                <w:kern w:val="0"/>
                <w:sz w:val="18"/>
                <w:szCs w:val="18"/>
                <w:u w:val="none"/>
                <w:lang w:val="en-US" w:eastAsia="zh-CN" w:bidi="ar"/>
              </w:rPr>
              <w:t>6公里/平方公里</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F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1AF7">
            <w:pPr>
              <w:jc w:val="center"/>
              <w:rPr>
                <w:rFonts w:hint="eastAsia" w:ascii="宋体" w:hAnsi="宋体" w:eastAsia="宋体" w:cs="宋体"/>
                <w:i w:val="0"/>
                <w:iCs w:val="0"/>
                <w:color w:val="000000"/>
                <w:sz w:val="18"/>
                <w:szCs w:val="18"/>
                <w:u w:val="none"/>
              </w:rPr>
            </w:pPr>
          </w:p>
        </w:tc>
      </w:tr>
      <w:tr w14:paraId="46AC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707ECE">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0195">
            <w:pPr>
              <w:jc w:val="center"/>
              <w:rPr>
                <w:rFonts w:hint="eastAsia" w:ascii="宋体" w:hAnsi="宋体" w:eastAsia="宋体" w:cs="宋体"/>
                <w:i w:val="0"/>
                <w:iCs w:val="0"/>
                <w:color w:val="000000"/>
                <w:sz w:val="18"/>
                <w:szCs w:val="18"/>
                <w:u w:val="none"/>
              </w:rPr>
            </w:pPr>
          </w:p>
        </w:tc>
        <w:tc>
          <w:tcPr>
            <w:tcW w:w="1281" w:type="dxa"/>
            <w:vMerge w:val="restart"/>
            <w:tcBorders>
              <w:top w:val="single" w:color="000000" w:sz="4" w:space="0"/>
              <w:left w:val="single" w:color="000000" w:sz="4" w:space="0"/>
              <w:bottom w:val="nil"/>
              <w:right w:val="single" w:color="000000" w:sz="4" w:space="0"/>
            </w:tcBorders>
            <w:shd w:val="clear" w:color="auto" w:fill="auto"/>
            <w:vAlign w:val="center"/>
          </w:tcPr>
          <w:p w14:paraId="071C1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992F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城区建筑密度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BD3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小于等于25%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4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C319">
            <w:pPr>
              <w:jc w:val="center"/>
              <w:rPr>
                <w:rFonts w:hint="eastAsia" w:ascii="宋体" w:hAnsi="宋体" w:eastAsia="宋体" w:cs="宋体"/>
                <w:i w:val="0"/>
                <w:iCs w:val="0"/>
                <w:color w:val="000000"/>
                <w:sz w:val="18"/>
                <w:szCs w:val="18"/>
                <w:u w:val="none"/>
              </w:rPr>
            </w:pPr>
          </w:p>
        </w:tc>
      </w:tr>
      <w:tr w14:paraId="0180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5B01B1">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4C4D">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0B50D376">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09D8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GDP地耗</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20D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小于等于32万元/平方米</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989">
            <w:pPr>
              <w:jc w:val="center"/>
              <w:rPr>
                <w:rFonts w:hint="eastAsia" w:ascii="宋体" w:hAnsi="宋体" w:eastAsia="宋体" w:cs="宋体"/>
                <w:i w:val="0"/>
                <w:iCs w:val="0"/>
                <w:color w:val="000000"/>
                <w:sz w:val="18"/>
                <w:szCs w:val="18"/>
                <w:u w:val="none"/>
              </w:rPr>
            </w:pPr>
          </w:p>
        </w:tc>
      </w:tr>
      <w:tr w14:paraId="425C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864C73">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BF5D">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0E0E4A60">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6055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常住人口城镇化水平</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CD3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大于等于51%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C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5A7D">
            <w:pPr>
              <w:jc w:val="center"/>
              <w:rPr>
                <w:rFonts w:hint="eastAsia" w:ascii="宋体" w:hAnsi="宋体" w:eastAsia="宋体" w:cs="宋体"/>
                <w:i w:val="0"/>
                <w:iCs w:val="0"/>
                <w:color w:val="000000"/>
                <w:sz w:val="18"/>
                <w:szCs w:val="18"/>
                <w:u w:val="none"/>
              </w:rPr>
            </w:pPr>
          </w:p>
        </w:tc>
      </w:tr>
      <w:tr w14:paraId="6A4F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DE1341">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2A1B1">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nil"/>
              <w:right w:val="single" w:color="000000" w:sz="4" w:space="0"/>
            </w:tcBorders>
            <w:shd w:val="clear" w:color="auto" w:fill="auto"/>
            <w:vAlign w:val="center"/>
          </w:tcPr>
          <w:p w14:paraId="2945EDFB">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1E2F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消费救援5分钟可达覆盖率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E51B">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大于等于90%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A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7DED">
            <w:pPr>
              <w:jc w:val="center"/>
              <w:rPr>
                <w:rFonts w:hint="eastAsia" w:ascii="宋体" w:hAnsi="宋体" w:eastAsia="宋体" w:cs="宋体"/>
                <w:i w:val="0"/>
                <w:iCs w:val="0"/>
                <w:color w:val="000000"/>
                <w:sz w:val="18"/>
                <w:szCs w:val="18"/>
                <w:u w:val="none"/>
              </w:rPr>
            </w:pPr>
          </w:p>
        </w:tc>
      </w:tr>
      <w:tr w14:paraId="7525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841DA2">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nil"/>
              <w:right w:val="single" w:color="000000" w:sz="4" w:space="0"/>
            </w:tcBorders>
            <w:shd w:val="clear" w:color="auto" w:fill="auto"/>
            <w:noWrap/>
            <w:textDirection w:val="tbRlV"/>
            <w:vAlign w:val="center"/>
          </w:tcPr>
          <w:p w14:paraId="4568F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0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68E2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单位成本</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BCC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小于等于50万</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83A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21C5">
            <w:pPr>
              <w:jc w:val="center"/>
              <w:rPr>
                <w:rFonts w:hint="eastAsia" w:ascii="宋体" w:hAnsi="宋体" w:eastAsia="宋体" w:cs="宋体"/>
                <w:i w:val="0"/>
                <w:iCs w:val="0"/>
                <w:color w:val="000000"/>
                <w:sz w:val="18"/>
                <w:szCs w:val="18"/>
                <w:u w:val="none"/>
              </w:rPr>
            </w:pPr>
          </w:p>
        </w:tc>
      </w:tr>
      <w:tr w14:paraId="7928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BEA9D6">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right w:val="single" w:color="000000" w:sz="4" w:space="0"/>
            </w:tcBorders>
            <w:shd w:val="clear" w:color="auto" w:fill="auto"/>
            <w:vAlign w:val="center"/>
          </w:tcPr>
          <w:p w14:paraId="224A8A40">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nil"/>
              <w:right w:val="single" w:color="000000" w:sz="4" w:space="0"/>
            </w:tcBorders>
            <w:shd w:val="clear" w:color="auto" w:fill="auto"/>
            <w:vAlign w:val="center"/>
          </w:tcPr>
          <w:p w14:paraId="7230FAA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社会效益指标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1792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强化城市职能，优化调整城市功能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E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4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1D8B">
            <w:pPr>
              <w:jc w:val="center"/>
              <w:rPr>
                <w:rFonts w:hint="eastAsia" w:ascii="宋体" w:hAnsi="宋体" w:eastAsia="宋体" w:cs="宋体"/>
                <w:i w:val="0"/>
                <w:iCs w:val="0"/>
                <w:color w:val="000000"/>
                <w:sz w:val="18"/>
                <w:szCs w:val="18"/>
                <w:u w:val="none"/>
              </w:rPr>
            </w:pPr>
          </w:p>
        </w:tc>
      </w:tr>
      <w:tr w14:paraId="60BB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837CD8">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6386">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F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027" w:type="dxa"/>
            <w:gridSpan w:val="2"/>
            <w:tcBorders>
              <w:top w:val="nil"/>
              <w:left w:val="single" w:color="000000" w:sz="4" w:space="0"/>
              <w:bottom w:val="single" w:color="000000" w:sz="4" w:space="0"/>
              <w:right w:val="single" w:color="000000" w:sz="4" w:space="0"/>
            </w:tcBorders>
            <w:shd w:val="clear" w:color="auto" w:fill="auto"/>
            <w:vAlign w:val="center"/>
          </w:tcPr>
          <w:p w14:paraId="2E72317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检查规划约束性指标和强制性指标内容执行情况，预判城市发展趋势</w:t>
            </w:r>
          </w:p>
        </w:tc>
        <w:tc>
          <w:tcPr>
            <w:tcW w:w="1399" w:type="dxa"/>
            <w:tcBorders>
              <w:top w:val="nil"/>
              <w:left w:val="single" w:color="000000" w:sz="4" w:space="0"/>
              <w:bottom w:val="single" w:color="000000" w:sz="4" w:space="0"/>
              <w:right w:val="single" w:color="000000" w:sz="4" w:space="0"/>
            </w:tcBorders>
            <w:shd w:val="clear" w:color="auto" w:fill="auto"/>
            <w:vAlign w:val="center"/>
          </w:tcPr>
          <w:p w14:paraId="5FB85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1" w:type="dxa"/>
            <w:tcBorders>
              <w:top w:val="nil"/>
              <w:left w:val="single" w:color="000000" w:sz="4" w:space="0"/>
              <w:bottom w:val="single" w:color="000000" w:sz="4" w:space="0"/>
              <w:right w:val="single" w:color="000000" w:sz="4" w:space="0"/>
            </w:tcBorders>
            <w:shd w:val="clear" w:color="auto" w:fill="auto"/>
            <w:vAlign w:val="center"/>
          </w:tcPr>
          <w:p w14:paraId="374B3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33" w:type="dxa"/>
            <w:tcBorders>
              <w:top w:val="nil"/>
              <w:left w:val="single" w:color="000000" w:sz="4" w:space="0"/>
              <w:bottom w:val="single" w:color="000000" w:sz="4" w:space="0"/>
              <w:right w:val="single" w:color="000000" w:sz="4" w:space="0"/>
            </w:tcBorders>
            <w:shd w:val="clear" w:color="auto" w:fill="auto"/>
            <w:vAlign w:val="center"/>
          </w:tcPr>
          <w:p w14:paraId="7A689C04">
            <w:pPr>
              <w:jc w:val="center"/>
              <w:rPr>
                <w:rFonts w:hint="eastAsia" w:ascii="宋体" w:hAnsi="宋体" w:eastAsia="宋体" w:cs="宋体"/>
                <w:i w:val="0"/>
                <w:iCs w:val="0"/>
                <w:color w:val="000000"/>
                <w:sz w:val="18"/>
                <w:szCs w:val="18"/>
                <w:u w:val="none"/>
              </w:rPr>
            </w:pPr>
          </w:p>
        </w:tc>
      </w:tr>
      <w:tr w14:paraId="113A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6D4424">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D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E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060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群众满意度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6EC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大于等于95%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F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A3E5">
            <w:pPr>
              <w:jc w:val="center"/>
              <w:rPr>
                <w:rFonts w:hint="eastAsia" w:ascii="宋体" w:hAnsi="宋体" w:eastAsia="宋体" w:cs="宋体"/>
                <w:i w:val="0"/>
                <w:iCs w:val="0"/>
                <w:color w:val="000000"/>
                <w:sz w:val="18"/>
                <w:szCs w:val="18"/>
                <w:u w:val="none"/>
              </w:rPr>
            </w:pPr>
          </w:p>
        </w:tc>
      </w:tr>
      <w:tr w14:paraId="2DE9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D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85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28C845">
            <w:pPr>
              <w:jc w:val="center"/>
              <w:rPr>
                <w:rFonts w:hint="eastAsia" w:ascii="宋体" w:hAnsi="宋体" w:eastAsia="宋体" w:cs="宋体"/>
                <w:i w:val="0"/>
                <w:iCs w:val="0"/>
                <w:color w:val="000000"/>
                <w:sz w:val="18"/>
                <w:szCs w:val="18"/>
                <w:u w:val="none"/>
              </w:rPr>
            </w:pPr>
          </w:p>
        </w:tc>
      </w:tr>
      <w:tr w14:paraId="7A04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914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791778C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其他资金包括和中央、地方财政资金共同投入到同一项目的自有资金、社会资金，以及以前年度的结转结余资金等。2.定量指标，主管部门对资金使用单位填写的实际完成值汇总时，对绝对值直接累加计算，相对值按资金额度加权平均计算。3.全年执行数是指按照国库集中支付制度要求，支付到商品和劳务供应者或者用款单位形成的实际支出。</w:t>
            </w:r>
          </w:p>
        </w:tc>
      </w:tr>
      <w:tr w14:paraId="6F69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4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E7C6A68">
            <w:pPr>
              <w:jc w:val="left"/>
              <w:rPr>
                <w:rFonts w:hint="eastAsia" w:ascii="宋体" w:hAnsi="宋体" w:eastAsia="宋体" w:cs="宋体"/>
                <w:i w:val="0"/>
                <w:iCs w:val="0"/>
                <w:color w:val="000000"/>
                <w:sz w:val="18"/>
                <w:szCs w:val="18"/>
                <w:u w:val="none"/>
              </w:rPr>
            </w:pPr>
          </w:p>
        </w:tc>
      </w:tr>
      <w:tr w14:paraId="0EAB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4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4AA1F6E">
            <w:pPr>
              <w:jc w:val="left"/>
              <w:rPr>
                <w:rFonts w:hint="eastAsia" w:ascii="宋体" w:hAnsi="宋体" w:eastAsia="宋体" w:cs="宋体"/>
                <w:i w:val="0"/>
                <w:iCs w:val="0"/>
                <w:color w:val="000000"/>
                <w:sz w:val="18"/>
                <w:szCs w:val="18"/>
                <w:u w:val="none"/>
              </w:rPr>
            </w:pPr>
          </w:p>
        </w:tc>
      </w:tr>
      <w:tr w14:paraId="0B5B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141" w:type="dxa"/>
            <w:gridSpan w:val="8"/>
            <w:tcBorders>
              <w:top w:val="nil"/>
              <w:left w:val="nil"/>
              <w:bottom w:val="nil"/>
              <w:right w:val="nil"/>
            </w:tcBorders>
            <w:shd w:val="clear" w:color="auto" w:fill="auto"/>
            <w:vAlign w:val="center"/>
          </w:tcPr>
          <w:p w14:paraId="43EBAD3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textWrapping"/>
            </w:r>
          </w:p>
          <w:p w14:paraId="0446D353">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0B9407C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07F1410D">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69F5D4EA">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19DD0F9A">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25DA068F">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19282F46">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78A20DDA">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3F0F7055">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4EBA0F2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大竹县高铁片区地形图测量项目绩效目标自评表</w:t>
            </w:r>
            <w:r>
              <w:rPr>
                <w:rStyle w:val="42"/>
                <w:lang w:val="en-US" w:eastAsia="zh-CN" w:bidi="ar"/>
              </w:rPr>
              <w:t xml:space="preserve"> </w:t>
            </w:r>
          </w:p>
        </w:tc>
      </w:tr>
      <w:tr w14:paraId="0824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41" w:type="dxa"/>
            <w:gridSpan w:val="8"/>
            <w:tcBorders>
              <w:top w:val="nil"/>
              <w:left w:val="nil"/>
              <w:bottom w:val="single" w:color="000000" w:sz="4" w:space="0"/>
              <w:right w:val="nil"/>
            </w:tcBorders>
            <w:shd w:val="clear" w:color="auto" w:fill="auto"/>
            <w:vAlign w:val="top"/>
          </w:tcPr>
          <w:p w14:paraId="154D8C7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r>
      <w:tr w14:paraId="669E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07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XX项目/单位名称</w:t>
            </w:r>
          </w:p>
        </w:tc>
        <w:tc>
          <w:tcPr>
            <w:tcW w:w="6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5A6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大竹县高铁组团详细规划编制项目</w:t>
            </w:r>
          </w:p>
        </w:tc>
      </w:tr>
      <w:tr w14:paraId="4690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BD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8B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大竹县城乡规划编制中心</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5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7F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大竹县城乡规划编制中心</w:t>
            </w:r>
          </w:p>
        </w:tc>
      </w:tr>
      <w:tr w14:paraId="3EFF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3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35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8C0">
            <w:pP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77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E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预算执行率（B/A)</w:t>
            </w:r>
          </w:p>
        </w:tc>
      </w:tr>
      <w:tr w14:paraId="4763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31313">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B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086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14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7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B2C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ED464">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52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上级财政资金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3112">
            <w:pPr>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2CBBB">
            <w:pPr>
              <w:jc w:val="center"/>
              <w:rPr>
                <w:rFonts w:hint="eastAsia" w:ascii="宋体" w:hAnsi="宋体" w:eastAsia="宋体" w:cs="宋体"/>
                <w:i w:val="0"/>
                <w:iCs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DEFF">
            <w:pPr>
              <w:jc w:val="center"/>
              <w:rPr>
                <w:rFonts w:hint="eastAsia" w:ascii="宋体" w:hAnsi="宋体" w:eastAsia="宋体" w:cs="宋体"/>
                <w:i w:val="0"/>
                <w:iCs w:val="0"/>
                <w:color w:val="000000"/>
                <w:sz w:val="18"/>
                <w:szCs w:val="18"/>
                <w:u w:val="none"/>
              </w:rPr>
            </w:pPr>
          </w:p>
        </w:tc>
      </w:tr>
      <w:tr w14:paraId="6D5A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DBD9">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4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县级资金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5FE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93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B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8E7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03B3D">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C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B6F">
            <w:pPr>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411DB">
            <w:pPr>
              <w:jc w:val="center"/>
              <w:rPr>
                <w:rFonts w:hint="eastAsia" w:ascii="宋体" w:hAnsi="宋体" w:eastAsia="宋体" w:cs="宋体"/>
                <w:i w:val="0"/>
                <w:iCs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0979">
            <w:pPr>
              <w:jc w:val="left"/>
              <w:rPr>
                <w:rFonts w:hint="eastAsia" w:ascii="宋体" w:hAnsi="宋体" w:eastAsia="宋体" w:cs="宋体"/>
                <w:i w:val="0"/>
                <w:iCs w:val="0"/>
                <w:color w:val="000000"/>
                <w:sz w:val="18"/>
                <w:szCs w:val="18"/>
                <w:u w:val="none"/>
              </w:rPr>
            </w:pPr>
          </w:p>
        </w:tc>
      </w:tr>
      <w:tr w14:paraId="183A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B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4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65B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3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E3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3061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5893">
            <w:pPr>
              <w:jc w:val="center"/>
              <w:rPr>
                <w:rFonts w:hint="eastAsia" w:ascii="宋体" w:hAnsi="宋体" w:eastAsia="宋体" w:cs="宋体"/>
                <w:i w:val="0"/>
                <w:iCs w:val="0"/>
                <w:color w:val="000000"/>
                <w:sz w:val="18"/>
                <w:szCs w:val="18"/>
                <w:u w:val="none"/>
              </w:rPr>
            </w:pPr>
          </w:p>
        </w:tc>
        <w:tc>
          <w:tcPr>
            <w:tcW w:w="4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F6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通过高铁组团详细规划编制工作，确定片区空间格局、发展定位、功能分区，组织协调规划片区交通，妥善处理近期与远期、局部与整体的关系，并对具体地块的土地利用和建设提出控制要求，为后续国土空间规划编制、管理和实施工作提供有效支撑，从而进一步促进城北高铁组团高效建设与发</w:t>
            </w:r>
          </w:p>
          <w:p w14:paraId="190A84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展。</w:t>
            </w:r>
          </w:p>
        </w:tc>
        <w:tc>
          <w:tcPr>
            <w:tcW w:w="3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5F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通过高铁组团详细规划编制工作，确定片区空间格局、发展定位、功能分区，组织协调规划片区交通，妥善处理近期与远期、局部与整体的关系，并对具体地块的土地利用和建设提出控制要求，为后续国土空间规划编制、管理和实施工作提供有效支撑，从而进一步促进城北</w:t>
            </w:r>
          </w:p>
          <w:p w14:paraId="76DC61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高铁组团高效建设与发展。</w:t>
            </w:r>
          </w:p>
        </w:tc>
      </w:tr>
      <w:tr w14:paraId="0C93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C56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3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D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1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9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6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全年实际完成值</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6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14:paraId="4D5C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826BE8">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DF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F6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14:paraId="74CB0DA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住宅用地容积率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D3B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小于等于5%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A8F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AF64">
            <w:pPr>
              <w:jc w:val="center"/>
              <w:rPr>
                <w:rFonts w:hint="eastAsia" w:ascii="宋体" w:hAnsi="宋体" w:eastAsia="宋体" w:cs="宋体"/>
                <w:i w:val="0"/>
                <w:iCs w:val="0"/>
                <w:color w:val="000000"/>
                <w:sz w:val="18"/>
                <w:szCs w:val="18"/>
                <w:u w:val="none"/>
              </w:rPr>
            </w:pPr>
          </w:p>
        </w:tc>
      </w:tr>
      <w:tr w14:paraId="5D04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FFE0AA">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6739">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6A2D">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14:paraId="2631329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幼儿园单位班级人数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9E5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小于等于35人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FAFE">
            <w:pPr>
              <w:jc w:val="center"/>
              <w:rPr>
                <w:rFonts w:hint="eastAsia" w:ascii="宋体" w:hAnsi="宋体" w:eastAsia="宋体" w:cs="宋体"/>
                <w:i w:val="0"/>
                <w:iCs w:val="0"/>
                <w:color w:val="000000"/>
                <w:sz w:val="18"/>
                <w:szCs w:val="18"/>
                <w:u w:val="none"/>
              </w:rPr>
            </w:pPr>
          </w:p>
        </w:tc>
      </w:tr>
      <w:tr w14:paraId="4902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E2E207">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5DFC">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BE841">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14:paraId="6E1E4CD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规划区道路网密度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38C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大于等于4公里/平方公里</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7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EB56">
            <w:pPr>
              <w:jc w:val="center"/>
              <w:rPr>
                <w:rFonts w:hint="eastAsia" w:ascii="宋体" w:hAnsi="宋体" w:eastAsia="宋体" w:cs="宋体"/>
                <w:i w:val="0"/>
                <w:iCs w:val="0"/>
                <w:color w:val="000000"/>
                <w:sz w:val="18"/>
                <w:szCs w:val="18"/>
                <w:u w:val="none"/>
              </w:rPr>
            </w:pPr>
          </w:p>
        </w:tc>
      </w:tr>
      <w:tr w14:paraId="45D3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46AC05">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1678">
            <w:pPr>
              <w:jc w:val="center"/>
              <w:rPr>
                <w:rFonts w:hint="eastAsia" w:ascii="宋体" w:hAnsi="宋体" w:eastAsia="宋体" w:cs="宋体"/>
                <w:i w:val="0"/>
                <w:iCs w:val="0"/>
                <w:color w:val="000000"/>
                <w:sz w:val="18"/>
                <w:szCs w:val="18"/>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C4E1E">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14:paraId="754BCD8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详细规划范围划定</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89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大于等于1平方米</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4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D98A">
            <w:pPr>
              <w:jc w:val="center"/>
              <w:rPr>
                <w:rFonts w:hint="eastAsia" w:ascii="宋体" w:hAnsi="宋体" w:eastAsia="宋体" w:cs="宋体"/>
                <w:i w:val="0"/>
                <w:iCs w:val="0"/>
                <w:color w:val="000000"/>
                <w:sz w:val="18"/>
                <w:szCs w:val="18"/>
                <w:u w:val="none"/>
              </w:rPr>
            </w:pPr>
          </w:p>
        </w:tc>
      </w:tr>
      <w:tr w14:paraId="4D0B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18F96D">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424C">
            <w:pPr>
              <w:jc w:val="center"/>
              <w:rPr>
                <w:rFonts w:hint="eastAsia" w:ascii="宋体" w:hAnsi="宋体" w:eastAsia="宋体" w:cs="宋体"/>
                <w:i w:val="0"/>
                <w:iCs w:val="0"/>
                <w:color w:val="000000"/>
                <w:sz w:val="18"/>
                <w:szCs w:val="18"/>
                <w:u w:val="none"/>
              </w:rPr>
            </w:pPr>
          </w:p>
        </w:tc>
        <w:tc>
          <w:tcPr>
            <w:tcW w:w="1281" w:type="dxa"/>
            <w:vMerge w:val="restart"/>
            <w:tcBorders>
              <w:top w:val="single" w:color="000000" w:sz="4" w:space="0"/>
              <w:left w:val="single" w:color="000000" w:sz="4" w:space="0"/>
              <w:right w:val="single" w:color="000000" w:sz="4" w:space="0"/>
            </w:tcBorders>
            <w:shd w:val="clear" w:color="auto" w:fill="auto"/>
            <w:vAlign w:val="center"/>
          </w:tcPr>
          <w:p w14:paraId="278F8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B0E3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幼儿园服务半径</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E56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小于等于300米</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D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645B">
            <w:pPr>
              <w:jc w:val="center"/>
              <w:rPr>
                <w:rFonts w:hint="eastAsia" w:ascii="宋体" w:hAnsi="宋体" w:eastAsia="宋体" w:cs="宋体"/>
                <w:i w:val="0"/>
                <w:iCs w:val="0"/>
                <w:color w:val="000000"/>
                <w:sz w:val="18"/>
                <w:szCs w:val="18"/>
                <w:u w:val="none"/>
              </w:rPr>
            </w:pPr>
          </w:p>
        </w:tc>
      </w:tr>
      <w:tr w14:paraId="0E61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6DCA07">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A1F1B">
            <w:pPr>
              <w:jc w:val="center"/>
              <w:rPr>
                <w:rFonts w:hint="eastAsia" w:ascii="宋体" w:hAnsi="宋体" w:eastAsia="宋体" w:cs="宋体"/>
                <w:i w:val="0"/>
                <w:iCs w:val="0"/>
                <w:color w:val="000000"/>
                <w:sz w:val="18"/>
                <w:szCs w:val="18"/>
                <w:u w:val="none"/>
              </w:rPr>
            </w:pPr>
          </w:p>
        </w:tc>
        <w:tc>
          <w:tcPr>
            <w:tcW w:w="1281" w:type="dxa"/>
            <w:vMerge w:val="continue"/>
            <w:tcBorders>
              <w:left w:val="single" w:color="000000" w:sz="4" w:space="0"/>
              <w:right w:val="single" w:color="000000" w:sz="4" w:space="0"/>
            </w:tcBorders>
            <w:shd w:val="clear" w:color="auto" w:fill="auto"/>
            <w:vAlign w:val="center"/>
          </w:tcPr>
          <w:p w14:paraId="509A0AD7">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EBD2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绿底率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51C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大于等于20%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2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2D30">
            <w:pPr>
              <w:jc w:val="center"/>
              <w:rPr>
                <w:rFonts w:hint="eastAsia" w:ascii="宋体" w:hAnsi="宋体" w:eastAsia="宋体" w:cs="宋体"/>
                <w:i w:val="0"/>
                <w:iCs w:val="0"/>
                <w:color w:val="000000"/>
                <w:sz w:val="18"/>
                <w:szCs w:val="18"/>
                <w:u w:val="none"/>
              </w:rPr>
            </w:pPr>
          </w:p>
        </w:tc>
      </w:tr>
      <w:tr w14:paraId="6CC8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7A751D">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051C5">
            <w:pPr>
              <w:jc w:val="center"/>
              <w:rPr>
                <w:rFonts w:hint="eastAsia" w:ascii="宋体" w:hAnsi="宋体" w:eastAsia="宋体" w:cs="宋体"/>
                <w:i w:val="0"/>
                <w:iCs w:val="0"/>
                <w:color w:val="000000"/>
                <w:sz w:val="18"/>
                <w:szCs w:val="18"/>
                <w:u w:val="none"/>
              </w:rPr>
            </w:pPr>
          </w:p>
        </w:tc>
        <w:tc>
          <w:tcPr>
            <w:tcW w:w="1281" w:type="dxa"/>
            <w:vMerge w:val="continue"/>
            <w:tcBorders>
              <w:left w:val="single" w:color="000000" w:sz="4" w:space="0"/>
              <w:bottom w:val="single" w:color="000000" w:sz="4" w:space="0"/>
              <w:right w:val="single" w:color="000000" w:sz="4" w:space="0"/>
            </w:tcBorders>
            <w:shd w:val="clear" w:color="auto" w:fill="auto"/>
            <w:vAlign w:val="center"/>
          </w:tcPr>
          <w:p w14:paraId="5AC0E7F4">
            <w:pPr>
              <w:jc w:val="center"/>
              <w:rPr>
                <w:rFonts w:hint="eastAsia" w:ascii="宋体" w:hAnsi="宋体" w:eastAsia="宋体" w:cs="宋体"/>
                <w:i w:val="0"/>
                <w:iCs w:val="0"/>
                <w:color w:val="000000"/>
                <w:sz w:val="18"/>
                <w:szCs w:val="18"/>
                <w:u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66D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居住地上停车泊位</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A9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小于等于80米</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7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066E">
            <w:pPr>
              <w:jc w:val="center"/>
              <w:rPr>
                <w:rFonts w:hint="eastAsia" w:ascii="宋体" w:hAnsi="宋体" w:eastAsia="宋体" w:cs="宋体"/>
                <w:i w:val="0"/>
                <w:iCs w:val="0"/>
                <w:color w:val="000000"/>
                <w:sz w:val="18"/>
                <w:szCs w:val="18"/>
                <w:u w:val="none"/>
              </w:rPr>
            </w:pPr>
          </w:p>
        </w:tc>
      </w:tr>
      <w:tr w14:paraId="0496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C642D5">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nil"/>
              <w:right w:val="single" w:color="000000" w:sz="4" w:space="0"/>
            </w:tcBorders>
            <w:shd w:val="clear" w:color="auto" w:fill="auto"/>
            <w:noWrap/>
            <w:textDirection w:val="tbRlV"/>
            <w:vAlign w:val="center"/>
          </w:tcPr>
          <w:p w14:paraId="05AF8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4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EDF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单位成本</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E2B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cs="Times New Roman"/>
                <w:i w:val="0"/>
                <w:iCs w:val="0"/>
                <w:color w:val="000000"/>
                <w:kern w:val="0"/>
                <w:sz w:val="21"/>
                <w:szCs w:val="21"/>
                <w:u w:val="none"/>
                <w:lang w:val="en-US" w:eastAsia="zh-CN" w:bidi="ar"/>
              </w:rPr>
              <w:t>小于等于80万元</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F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5F85">
            <w:pPr>
              <w:jc w:val="center"/>
              <w:rPr>
                <w:rFonts w:hint="eastAsia" w:ascii="宋体" w:hAnsi="宋体" w:eastAsia="宋体" w:cs="宋体"/>
                <w:i w:val="0"/>
                <w:iCs w:val="0"/>
                <w:color w:val="000000"/>
                <w:sz w:val="18"/>
                <w:szCs w:val="18"/>
                <w:u w:val="none"/>
              </w:rPr>
            </w:pPr>
          </w:p>
        </w:tc>
      </w:tr>
      <w:tr w14:paraId="074C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B427AA">
            <w:pPr>
              <w:jc w:val="center"/>
              <w:rPr>
                <w:rFonts w:hint="eastAsia" w:ascii="宋体" w:hAnsi="宋体" w:eastAsia="宋体" w:cs="宋体"/>
                <w:i w:val="0"/>
                <w:iCs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45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4C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社会效益值班</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724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强化城北组团职能，优化城市功能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B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F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E790">
            <w:pPr>
              <w:jc w:val="center"/>
              <w:rPr>
                <w:rFonts w:hint="eastAsia" w:ascii="宋体" w:hAnsi="宋体" w:eastAsia="宋体" w:cs="宋体"/>
                <w:i w:val="0"/>
                <w:iCs w:val="0"/>
                <w:color w:val="000000"/>
                <w:sz w:val="18"/>
                <w:szCs w:val="18"/>
                <w:u w:val="none"/>
              </w:rPr>
            </w:pPr>
          </w:p>
        </w:tc>
      </w:tr>
      <w:tr w14:paraId="0144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21EA4B">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AC96">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E6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可持续发展指标</w:t>
            </w:r>
          </w:p>
        </w:tc>
        <w:tc>
          <w:tcPr>
            <w:tcW w:w="3027" w:type="dxa"/>
            <w:gridSpan w:val="2"/>
            <w:tcBorders>
              <w:top w:val="single" w:color="000000" w:sz="4" w:space="0"/>
              <w:left w:val="single" w:color="000000" w:sz="4" w:space="0"/>
              <w:bottom w:val="nil"/>
              <w:right w:val="single" w:color="000000" w:sz="4" w:space="0"/>
            </w:tcBorders>
            <w:shd w:val="clear" w:color="auto" w:fill="auto"/>
            <w:vAlign w:val="center"/>
          </w:tcPr>
          <w:p w14:paraId="58D4E82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检测规划约束指标和强制性指标内容执行情况，预判城市发展趋势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C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33" w:type="dxa"/>
            <w:tcBorders>
              <w:top w:val="single" w:color="000000" w:sz="4" w:space="0"/>
              <w:left w:val="single" w:color="000000" w:sz="4" w:space="0"/>
              <w:bottom w:val="nil"/>
              <w:right w:val="single" w:color="000000" w:sz="4" w:space="0"/>
            </w:tcBorders>
            <w:shd w:val="clear" w:color="auto" w:fill="auto"/>
            <w:vAlign w:val="center"/>
          </w:tcPr>
          <w:p w14:paraId="188AE539">
            <w:pPr>
              <w:jc w:val="center"/>
              <w:rPr>
                <w:rFonts w:hint="eastAsia" w:ascii="宋体" w:hAnsi="宋体" w:eastAsia="宋体" w:cs="宋体"/>
                <w:i w:val="0"/>
                <w:iCs w:val="0"/>
                <w:color w:val="000000"/>
                <w:sz w:val="18"/>
                <w:szCs w:val="18"/>
                <w:u w:val="none"/>
              </w:rPr>
            </w:pPr>
          </w:p>
        </w:tc>
      </w:tr>
      <w:tr w14:paraId="25D4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ABB629">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2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6D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984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大于等于95%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C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5E8F">
            <w:pPr>
              <w:jc w:val="center"/>
              <w:rPr>
                <w:rFonts w:hint="eastAsia" w:ascii="宋体" w:hAnsi="宋体" w:eastAsia="宋体" w:cs="宋体"/>
                <w:i w:val="0"/>
                <w:iCs w:val="0"/>
                <w:color w:val="000000"/>
                <w:sz w:val="18"/>
                <w:szCs w:val="18"/>
                <w:u w:val="none"/>
              </w:rPr>
            </w:pPr>
          </w:p>
        </w:tc>
      </w:tr>
      <w:tr w14:paraId="08FB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0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85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F7B956">
            <w:pPr>
              <w:jc w:val="center"/>
              <w:rPr>
                <w:rFonts w:hint="eastAsia" w:ascii="宋体" w:hAnsi="宋体" w:eastAsia="宋体" w:cs="宋体"/>
                <w:i w:val="0"/>
                <w:iCs w:val="0"/>
                <w:color w:val="000000"/>
                <w:sz w:val="18"/>
                <w:szCs w:val="18"/>
                <w:u w:val="none"/>
              </w:rPr>
            </w:pPr>
          </w:p>
        </w:tc>
      </w:tr>
      <w:tr w14:paraId="50E4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914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5294004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其他资金包括和中央、地方财政资金共同投入到同一项目的自有资金、社会资金，以及以前年度的结转结余资金等。2.定量指标，主管部门对资金使用单位填写的实际完成值汇总时，对绝对值直接累加计算，相对值按资金额度加权平均计算。3.全年执行数是指按照国库集中支付制度要求，支付到商品和劳务供应者或者用款单位形成的实际支出。</w:t>
            </w:r>
          </w:p>
        </w:tc>
      </w:tr>
      <w:tr w14:paraId="57EA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4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FEB869F">
            <w:pPr>
              <w:jc w:val="left"/>
              <w:rPr>
                <w:rFonts w:hint="eastAsia" w:ascii="宋体" w:hAnsi="宋体" w:eastAsia="宋体" w:cs="宋体"/>
                <w:i w:val="0"/>
                <w:iCs w:val="0"/>
                <w:color w:val="000000"/>
                <w:sz w:val="18"/>
                <w:szCs w:val="18"/>
                <w:u w:val="none"/>
              </w:rPr>
            </w:pPr>
          </w:p>
        </w:tc>
      </w:tr>
      <w:tr w14:paraId="455D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4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4A99A3C">
            <w:pPr>
              <w:jc w:val="left"/>
              <w:rPr>
                <w:rFonts w:hint="eastAsia" w:ascii="宋体" w:hAnsi="宋体" w:eastAsia="宋体" w:cs="宋体"/>
                <w:i w:val="0"/>
                <w:iCs w:val="0"/>
                <w:color w:val="000000"/>
                <w:sz w:val="18"/>
                <w:szCs w:val="18"/>
                <w:u w:val="none"/>
              </w:rPr>
            </w:pPr>
          </w:p>
        </w:tc>
      </w:tr>
    </w:tbl>
    <w:p w14:paraId="42FC8BBE">
      <w:pPr>
        <w:spacing w:line="580" w:lineRule="exact"/>
        <w:jc w:val="center"/>
        <w:rPr>
          <w:rFonts w:ascii="方正小标宋简体" w:hAnsi="方正小标宋简体" w:eastAsia="方正小标宋简体" w:cs="方正小标宋简体"/>
          <w:sz w:val="44"/>
          <w:szCs w:val="44"/>
        </w:rPr>
      </w:pPr>
    </w:p>
    <w:p w14:paraId="28BB41CC">
      <w:pPr>
        <w:spacing w:line="580" w:lineRule="exact"/>
        <w:jc w:val="center"/>
        <w:rPr>
          <w:rFonts w:ascii="方正小标宋简体" w:hAnsi="方正小标宋简体" w:eastAsia="方正小标宋简体" w:cs="方正小标宋简体"/>
          <w:sz w:val="44"/>
          <w:szCs w:val="44"/>
        </w:rPr>
      </w:pPr>
    </w:p>
    <w:p w14:paraId="34951843">
      <w:pPr>
        <w:spacing w:line="580" w:lineRule="exact"/>
        <w:jc w:val="center"/>
        <w:rPr>
          <w:rFonts w:ascii="方正小标宋简体" w:hAnsi="方正小标宋简体" w:eastAsia="方正小标宋简体" w:cs="方正小标宋简体"/>
          <w:sz w:val="44"/>
          <w:szCs w:val="44"/>
        </w:rPr>
      </w:pPr>
    </w:p>
    <w:p w14:paraId="0BF3819E">
      <w:pPr>
        <w:spacing w:line="580" w:lineRule="exact"/>
        <w:jc w:val="center"/>
        <w:rPr>
          <w:rFonts w:ascii="方正小标宋简体" w:hAnsi="方正小标宋简体" w:eastAsia="方正小标宋简体" w:cs="方正小标宋简体"/>
          <w:sz w:val="44"/>
          <w:szCs w:val="44"/>
        </w:rPr>
      </w:pPr>
    </w:p>
    <w:p w14:paraId="50E1A70D">
      <w:pPr>
        <w:spacing w:line="580" w:lineRule="exact"/>
        <w:jc w:val="center"/>
        <w:rPr>
          <w:rFonts w:ascii="方正小标宋简体" w:hAnsi="方正小标宋简体" w:eastAsia="方正小标宋简体" w:cs="方正小标宋简体"/>
          <w:sz w:val="44"/>
          <w:szCs w:val="44"/>
        </w:rPr>
      </w:pPr>
    </w:p>
    <w:p w14:paraId="3F045155">
      <w:pPr>
        <w:spacing w:line="580" w:lineRule="exact"/>
        <w:jc w:val="center"/>
        <w:rPr>
          <w:rFonts w:ascii="方正小标宋简体" w:hAnsi="方正小标宋简体" w:eastAsia="方正小标宋简体" w:cs="方正小标宋简体"/>
          <w:sz w:val="44"/>
          <w:szCs w:val="44"/>
        </w:rPr>
      </w:pPr>
    </w:p>
    <w:p w14:paraId="38D9C2C7">
      <w:pPr>
        <w:spacing w:line="580" w:lineRule="exact"/>
        <w:jc w:val="center"/>
        <w:rPr>
          <w:rFonts w:ascii="方正小标宋简体" w:hAnsi="方正小标宋简体" w:eastAsia="方正小标宋简体" w:cs="方正小标宋简体"/>
          <w:sz w:val="44"/>
          <w:szCs w:val="44"/>
        </w:rPr>
      </w:pPr>
    </w:p>
    <w:p w14:paraId="69975B4C">
      <w:pPr>
        <w:spacing w:line="580" w:lineRule="exact"/>
        <w:jc w:val="center"/>
        <w:rPr>
          <w:rFonts w:ascii="方正小标宋简体" w:hAnsi="方正小标宋简体" w:eastAsia="方正小标宋简体" w:cs="方正小标宋简体"/>
          <w:sz w:val="44"/>
          <w:szCs w:val="44"/>
        </w:rPr>
      </w:pPr>
    </w:p>
    <w:p w14:paraId="1F2CBDF4">
      <w:pPr>
        <w:spacing w:line="580" w:lineRule="exact"/>
        <w:jc w:val="center"/>
        <w:rPr>
          <w:rFonts w:ascii="方正小标宋简体" w:hAnsi="方正小标宋简体" w:eastAsia="方正小标宋简体" w:cs="方正小标宋简体"/>
          <w:sz w:val="44"/>
          <w:szCs w:val="44"/>
        </w:rPr>
      </w:pPr>
    </w:p>
    <w:p w14:paraId="49030BFF">
      <w:pPr>
        <w:spacing w:line="580" w:lineRule="exact"/>
        <w:jc w:val="center"/>
        <w:rPr>
          <w:rFonts w:ascii="方正小标宋简体" w:hAnsi="方正小标宋简体" w:eastAsia="方正小标宋简体" w:cs="方正小标宋简体"/>
          <w:sz w:val="44"/>
          <w:szCs w:val="44"/>
        </w:rPr>
      </w:pPr>
    </w:p>
    <w:p w14:paraId="59F37500">
      <w:pPr>
        <w:spacing w:line="580" w:lineRule="exact"/>
        <w:jc w:val="center"/>
        <w:rPr>
          <w:rFonts w:ascii="方正小标宋简体" w:hAnsi="方正小标宋简体" w:eastAsia="方正小标宋简体" w:cs="方正小标宋简体"/>
          <w:sz w:val="44"/>
          <w:szCs w:val="44"/>
        </w:rPr>
      </w:pPr>
    </w:p>
    <w:p w14:paraId="29A5D154">
      <w:pPr>
        <w:spacing w:line="580" w:lineRule="exact"/>
        <w:jc w:val="center"/>
        <w:rPr>
          <w:rFonts w:ascii="方正小标宋简体" w:hAnsi="方正小标宋简体" w:eastAsia="方正小标宋简体" w:cs="方正小标宋简体"/>
          <w:sz w:val="44"/>
          <w:szCs w:val="44"/>
        </w:rPr>
      </w:pPr>
    </w:p>
    <w:p w14:paraId="2071A1F1">
      <w:pPr>
        <w:spacing w:line="580" w:lineRule="exact"/>
        <w:jc w:val="center"/>
        <w:rPr>
          <w:rFonts w:ascii="方正小标宋简体" w:hAnsi="方正小标宋简体" w:eastAsia="方正小标宋简体" w:cs="方正小标宋简体"/>
          <w:sz w:val="44"/>
          <w:szCs w:val="44"/>
        </w:rPr>
      </w:pPr>
    </w:p>
    <w:p w14:paraId="5B9C8A74">
      <w:pPr>
        <w:spacing w:line="580" w:lineRule="exact"/>
        <w:jc w:val="center"/>
        <w:rPr>
          <w:rFonts w:ascii="方正小标宋简体" w:hAnsi="方正小标宋简体" w:eastAsia="方正小标宋简体" w:cs="方正小标宋简体"/>
          <w:sz w:val="44"/>
          <w:szCs w:val="44"/>
        </w:rPr>
      </w:pPr>
    </w:p>
    <w:p w14:paraId="46D4D95F">
      <w:pPr>
        <w:spacing w:line="580" w:lineRule="exact"/>
        <w:jc w:val="center"/>
        <w:rPr>
          <w:rFonts w:ascii="方正小标宋简体" w:hAnsi="方正小标宋简体" w:eastAsia="方正小标宋简体" w:cs="方正小标宋简体"/>
          <w:sz w:val="44"/>
          <w:szCs w:val="44"/>
        </w:rPr>
      </w:pPr>
    </w:p>
    <w:p w14:paraId="2BDE8B1B">
      <w:pPr>
        <w:spacing w:line="580" w:lineRule="exact"/>
        <w:jc w:val="center"/>
        <w:rPr>
          <w:rFonts w:ascii="方正小标宋简体" w:hAnsi="方正小标宋简体" w:eastAsia="方正小标宋简体" w:cs="方正小标宋简体"/>
          <w:sz w:val="44"/>
          <w:szCs w:val="44"/>
        </w:rPr>
      </w:pPr>
    </w:p>
    <w:p w14:paraId="26CDB39C">
      <w:pPr>
        <w:spacing w:line="580" w:lineRule="exact"/>
        <w:jc w:val="center"/>
        <w:rPr>
          <w:rFonts w:ascii="方正小标宋简体" w:hAnsi="方正小标宋简体" w:eastAsia="方正小标宋简体" w:cs="方正小标宋简体"/>
          <w:sz w:val="44"/>
          <w:szCs w:val="44"/>
        </w:rPr>
      </w:pPr>
    </w:p>
    <w:tbl>
      <w:tblPr>
        <w:tblStyle w:val="13"/>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528"/>
        <w:gridCol w:w="1280"/>
        <w:gridCol w:w="1772"/>
        <w:gridCol w:w="1254"/>
        <w:gridCol w:w="1151"/>
        <w:gridCol w:w="968"/>
        <w:gridCol w:w="1631"/>
      </w:tblGrid>
      <w:tr w14:paraId="1BFC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141" w:type="dxa"/>
            <w:gridSpan w:val="8"/>
            <w:tcBorders>
              <w:top w:val="nil"/>
              <w:left w:val="nil"/>
              <w:bottom w:val="nil"/>
              <w:right w:val="nil"/>
            </w:tcBorders>
            <w:shd w:val="clear" w:color="auto" w:fill="auto"/>
            <w:vAlign w:val="center"/>
          </w:tcPr>
          <w:p w14:paraId="0CFBD26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空间规划编制项目经费绩效目标自评表</w:t>
            </w:r>
            <w:r>
              <w:rPr>
                <w:rFonts w:hint="eastAsia" w:ascii="宋体" w:hAnsi="宋体" w:eastAsia="宋体" w:cs="宋体"/>
                <w:i w:val="0"/>
                <w:iCs w:val="0"/>
                <w:color w:val="000000"/>
                <w:kern w:val="0"/>
                <w:sz w:val="32"/>
                <w:szCs w:val="32"/>
                <w:u w:val="none"/>
                <w:lang w:val="en-US" w:eastAsia="zh-CN" w:bidi="ar"/>
              </w:rPr>
              <w:t xml:space="preserve"> </w:t>
            </w:r>
          </w:p>
        </w:tc>
      </w:tr>
      <w:tr w14:paraId="1C9E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41" w:type="dxa"/>
            <w:gridSpan w:val="8"/>
            <w:tcBorders>
              <w:top w:val="nil"/>
              <w:left w:val="nil"/>
              <w:bottom w:val="single" w:color="000000" w:sz="4" w:space="0"/>
              <w:right w:val="nil"/>
            </w:tcBorders>
            <w:shd w:val="clear" w:color="auto" w:fill="auto"/>
            <w:vAlign w:val="top"/>
          </w:tcPr>
          <w:p w14:paraId="5A60881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r>
      <w:tr w14:paraId="3C4A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CA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XX项目/单位名称</w:t>
            </w:r>
          </w:p>
        </w:tc>
        <w:tc>
          <w:tcPr>
            <w:tcW w:w="6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A5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空间规划编制项目</w:t>
            </w:r>
          </w:p>
        </w:tc>
      </w:tr>
      <w:tr w14:paraId="3BF6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1F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96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大竹县城乡规划编制中心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0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5D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大竹县城乡规划编制中心</w:t>
            </w:r>
          </w:p>
        </w:tc>
      </w:tr>
      <w:tr w14:paraId="6FE7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77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01B9">
            <w:pP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3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AD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A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预算执行率（B/A)</w:t>
            </w:r>
          </w:p>
        </w:tc>
      </w:tr>
      <w:tr w14:paraId="4A33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3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F75D">
            <w:pPr>
              <w:jc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E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0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06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D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5CA9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C15D">
            <w:pPr>
              <w:jc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6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上级财政资金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4090">
            <w:pPr>
              <w:jc w:val="center"/>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06DD3">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AF32">
            <w:pPr>
              <w:jc w:val="center"/>
              <w:rPr>
                <w:rFonts w:hint="eastAsia" w:ascii="宋体" w:hAnsi="宋体" w:eastAsia="宋体" w:cs="宋体"/>
                <w:i w:val="0"/>
                <w:iCs w:val="0"/>
                <w:color w:val="000000"/>
                <w:sz w:val="18"/>
                <w:szCs w:val="18"/>
                <w:u w:val="none"/>
              </w:rPr>
            </w:pPr>
          </w:p>
        </w:tc>
      </w:tr>
      <w:tr w14:paraId="4662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8C40">
            <w:pPr>
              <w:jc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0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县级资金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F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9C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6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05DE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6A2E">
            <w:pPr>
              <w:jc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C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1D92">
            <w:pPr>
              <w:jc w:val="center"/>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CA2E7">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FCE9">
            <w:pPr>
              <w:jc w:val="left"/>
              <w:rPr>
                <w:rFonts w:hint="eastAsia" w:ascii="宋体" w:hAnsi="宋体" w:eastAsia="宋体" w:cs="宋体"/>
                <w:i w:val="0"/>
                <w:iCs w:val="0"/>
                <w:color w:val="000000"/>
                <w:sz w:val="18"/>
                <w:szCs w:val="18"/>
                <w:u w:val="none"/>
              </w:rPr>
            </w:pPr>
          </w:p>
        </w:tc>
      </w:tr>
      <w:tr w14:paraId="72953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AE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4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B0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C9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14:paraId="6794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FCC37">
            <w:pPr>
              <w:jc w:val="center"/>
              <w:rPr>
                <w:rFonts w:hint="eastAsia" w:ascii="宋体" w:hAnsi="宋体" w:eastAsia="宋体" w:cs="宋体"/>
                <w:i w:val="0"/>
                <w:iCs w:val="0"/>
                <w:color w:val="000000"/>
                <w:sz w:val="18"/>
                <w:szCs w:val="18"/>
                <w:u w:val="none"/>
              </w:rPr>
            </w:pPr>
          </w:p>
        </w:tc>
        <w:tc>
          <w:tcPr>
            <w:tcW w:w="4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F5F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统筹大竹县行政管理辖区全部国土空间内的水资源、土壤资源、矿产资源、地质环境和森林资源等调查评价成果。完成《大竹县国土空间规划2020-2035年》各项专题形成专题报告集、完成《大竹县国土空间规划2020-2035年》基础数据转换成果备案、完成《大竹县国土空间规划2020-2035年》规划大纲、完成《大竹县国土空间规划2020-2035年》方案、完成《大竹县国土空间规划2020-2035年》规划文本及规划图集、《大竹县国土空间规划2020-2035年》规划数据库建设。 </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DD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统筹大竹县行政管理辖区全部国土空间内的水资源、土壤资源、矿产资源、地质环境和森林资源等调查评价成果。完成《大竹县国土空间规划2020-2035年》各项专题形成专题报告集、完成《大竹县国土空间规划2020-2035年》基础数据转换成果备案、完成《大竹县国土空间规划2020-2035年》规划大纲、完成《大竹县国土空间规划2020-2035年》方案、完成《大竹县国土空间规划2020-2035年》规划文本及规划图集、《大竹县国土空间规划2020-2035年》规划数据库建设。 </w:t>
            </w:r>
          </w:p>
        </w:tc>
      </w:tr>
      <w:tr w14:paraId="4ACD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52B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5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6B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A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全年实际完成值</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2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14:paraId="67D3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C80662">
            <w:pPr>
              <w:jc w:val="center"/>
              <w:rPr>
                <w:rFonts w:hint="eastAsia" w:ascii="宋体" w:hAnsi="宋体" w:eastAsia="宋体" w:cs="宋体"/>
                <w:i w:val="0"/>
                <w:iCs w:val="0"/>
                <w:color w:val="000000"/>
                <w:sz w:val="18"/>
                <w:szCs w:val="18"/>
                <w:u w:val="none"/>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0D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B5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045" w:type="dxa"/>
            <w:gridSpan w:val="2"/>
            <w:tcBorders>
              <w:top w:val="single" w:color="000000" w:sz="4" w:space="0"/>
              <w:left w:val="nil"/>
              <w:bottom w:val="single" w:color="000000" w:sz="4" w:space="0"/>
              <w:right w:val="single" w:color="000000" w:sz="4" w:space="0"/>
            </w:tcBorders>
            <w:shd w:val="clear" w:color="auto" w:fill="auto"/>
            <w:vAlign w:val="center"/>
          </w:tcPr>
          <w:p w14:paraId="25939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规划面积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C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大于等于2076.8平方千米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F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4BE9">
            <w:pPr>
              <w:jc w:val="center"/>
              <w:rPr>
                <w:rFonts w:hint="eastAsia" w:ascii="宋体" w:hAnsi="宋体" w:eastAsia="宋体" w:cs="宋体"/>
                <w:i w:val="0"/>
                <w:iCs w:val="0"/>
                <w:color w:val="000000"/>
                <w:sz w:val="18"/>
                <w:szCs w:val="18"/>
                <w:u w:val="none"/>
              </w:rPr>
            </w:pPr>
          </w:p>
        </w:tc>
      </w:tr>
      <w:tr w14:paraId="3293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DEDC1C">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0F0B5">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5223">
            <w:pPr>
              <w:jc w:val="center"/>
              <w:rPr>
                <w:rFonts w:hint="eastAsia" w:ascii="宋体" w:hAnsi="宋体" w:eastAsia="宋体" w:cs="宋体"/>
                <w:i w:val="0"/>
                <w:iCs w:val="0"/>
                <w:color w:val="000000"/>
                <w:sz w:val="18"/>
                <w:szCs w:val="18"/>
                <w:u w:val="none"/>
              </w:rPr>
            </w:pPr>
          </w:p>
        </w:tc>
        <w:tc>
          <w:tcPr>
            <w:tcW w:w="3045" w:type="dxa"/>
            <w:gridSpan w:val="2"/>
            <w:tcBorders>
              <w:top w:val="single" w:color="000000" w:sz="4" w:space="0"/>
              <w:left w:val="nil"/>
              <w:bottom w:val="single" w:color="000000" w:sz="4" w:space="0"/>
              <w:right w:val="single" w:color="000000" w:sz="4" w:space="0"/>
            </w:tcBorders>
            <w:shd w:val="clear" w:color="auto" w:fill="auto"/>
            <w:vAlign w:val="center"/>
          </w:tcPr>
          <w:p w14:paraId="26574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C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5F5">
            <w:pPr>
              <w:jc w:val="center"/>
              <w:rPr>
                <w:rFonts w:hint="eastAsia" w:ascii="宋体" w:hAnsi="宋体" w:eastAsia="宋体" w:cs="宋体"/>
                <w:i w:val="0"/>
                <w:iCs w:val="0"/>
                <w:color w:val="000000"/>
                <w:sz w:val="18"/>
                <w:szCs w:val="18"/>
                <w:u w:val="none"/>
              </w:rPr>
            </w:pPr>
          </w:p>
        </w:tc>
      </w:tr>
      <w:tr w14:paraId="4D52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735949">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A287">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25FE">
            <w:pPr>
              <w:jc w:val="center"/>
              <w:rPr>
                <w:rFonts w:hint="eastAsia" w:ascii="宋体" w:hAnsi="宋体" w:eastAsia="宋体" w:cs="宋体"/>
                <w:i w:val="0"/>
                <w:iCs w:val="0"/>
                <w:color w:val="000000"/>
                <w:sz w:val="18"/>
                <w:szCs w:val="18"/>
                <w:u w:val="none"/>
              </w:rPr>
            </w:pPr>
          </w:p>
        </w:tc>
        <w:tc>
          <w:tcPr>
            <w:tcW w:w="3045" w:type="dxa"/>
            <w:gridSpan w:val="2"/>
            <w:tcBorders>
              <w:top w:val="single" w:color="000000" w:sz="4" w:space="0"/>
              <w:left w:val="nil"/>
              <w:bottom w:val="single" w:color="000000" w:sz="4" w:space="0"/>
              <w:right w:val="single" w:color="000000" w:sz="4" w:space="0"/>
            </w:tcBorders>
            <w:shd w:val="clear" w:color="auto" w:fill="auto"/>
            <w:vAlign w:val="center"/>
          </w:tcPr>
          <w:p w14:paraId="40515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1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B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86AF">
            <w:pPr>
              <w:jc w:val="center"/>
              <w:rPr>
                <w:rFonts w:hint="eastAsia" w:ascii="宋体" w:hAnsi="宋体" w:eastAsia="宋体" w:cs="宋体"/>
                <w:i w:val="0"/>
                <w:iCs w:val="0"/>
                <w:color w:val="000000"/>
                <w:sz w:val="18"/>
                <w:szCs w:val="18"/>
                <w:u w:val="none"/>
              </w:rPr>
            </w:pPr>
          </w:p>
        </w:tc>
      </w:tr>
      <w:tr w14:paraId="1623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B8E192">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60747">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1AE76">
            <w:pPr>
              <w:jc w:val="center"/>
              <w:rPr>
                <w:rFonts w:hint="eastAsia" w:ascii="宋体" w:hAnsi="宋体" w:eastAsia="宋体" w:cs="宋体"/>
                <w:i w:val="0"/>
                <w:iCs w:val="0"/>
                <w:color w:val="000000"/>
                <w:sz w:val="18"/>
                <w:szCs w:val="18"/>
                <w:u w:val="none"/>
              </w:rPr>
            </w:pPr>
          </w:p>
        </w:tc>
        <w:tc>
          <w:tcPr>
            <w:tcW w:w="3045" w:type="dxa"/>
            <w:gridSpan w:val="2"/>
            <w:tcBorders>
              <w:top w:val="single" w:color="000000" w:sz="4" w:space="0"/>
              <w:left w:val="nil"/>
              <w:bottom w:val="single" w:color="000000" w:sz="4" w:space="0"/>
              <w:right w:val="single" w:color="000000" w:sz="4" w:space="0"/>
            </w:tcBorders>
            <w:shd w:val="clear" w:color="auto" w:fill="auto"/>
            <w:vAlign w:val="center"/>
          </w:tcPr>
          <w:p w14:paraId="59C78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主要街道</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1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1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F76">
            <w:pPr>
              <w:jc w:val="center"/>
              <w:rPr>
                <w:rFonts w:hint="eastAsia" w:ascii="宋体" w:hAnsi="宋体" w:eastAsia="宋体" w:cs="宋体"/>
                <w:i w:val="0"/>
                <w:iCs w:val="0"/>
                <w:color w:val="000000"/>
                <w:sz w:val="18"/>
                <w:szCs w:val="18"/>
                <w:u w:val="none"/>
              </w:rPr>
            </w:pPr>
          </w:p>
        </w:tc>
      </w:tr>
      <w:tr w14:paraId="35B8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32C31C">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6341A">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E740A">
            <w:pPr>
              <w:jc w:val="center"/>
              <w:rPr>
                <w:rFonts w:hint="eastAsia" w:ascii="宋体" w:hAnsi="宋体" w:eastAsia="宋体" w:cs="宋体"/>
                <w:i w:val="0"/>
                <w:iCs w:val="0"/>
                <w:color w:val="000000"/>
                <w:sz w:val="18"/>
                <w:szCs w:val="18"/>
                <w:u w:val="none"/>
              </w:rPr>
            </w:pPr>
          </w:p>
        </w:tc>
        <w:tc>
          <w:tcPr>
            <w:tcW w:w="3045" w:type="dxa"/>
            <w:gridSpan w:val="2"/>
            <w:tcBorders>
              <w:top w:val="single" w:color="000000" w:sz="4" w:space="0"/>
              <w:left w:val="nil"/>
              <w:bottom w:val="single" w:color="000000" w:sz="4" w:space="0"/>
              <w:right w:val="single" w:color="000000" w:sz="4" w:space="0"/>
            </w:tcBorders>
            <w:shd w:val="clear" w:color="auto" w:fill="auto"/>
            <w:vAlign w:val="center"/>
          </w:tcPr>
          <w:p w14:paraId="145E509F">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82">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06A2">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676C">
            <w:pPr>
              <w:jc w:val="center"/>
              <w:rPr>
                <w:rFonts w:hint="eastAsia" w:ascii="宋体" w:hAnsi="宋体" w:eastAsia="宋体" w:cs="宋体"/>
                <w:i w:val="0"/>
                <w:iCs w:val="0"/>
                <w:color w:val="000000"/>
                <w:sz w:val="18"/>
                <w:szCs w:val="18"/>
                <w:u w:val="none"/>
              </w:rPr>
            </w:pPr>
          </w:p>
        </w:tc>
      </w:tr>
      <w:tr w14:paraId="20EB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4DF18A">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7701">
            <w:pPr>
              <w:jc w:val="center"/>
              <w:rPr>
                <w:rFonts w:hint="eastAsia" w:ascii="宋体" w:hAnsi="宋体" w:eastAsia="宋体" w:cs="宋体"/>
                <w:i w:val="0"/>
                <w:iCs w:val="0"/>
                <w:color w:val="000000"/>
                <w:sz w:val="18"/>
                <w:szCs w:val="18"/>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2D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7F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中心城区现状图、中心城区协调管控规划图、用地评价图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4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F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ADE">
            <w:pPr>
              <w:jc w:val="center"/>
              <w:rPr>
                <w:rFonts w:hint="eastAsia" w:ascii="宋体" w:hAnsi="宋体" w:eastAsia="宋体" w:cs="宋体"/>
                <w:i w:val="0"/>
                <w:iCs w:val="0"/>
                <w:color w:val="000000"/>
                <w:sz w:val="18"/>
                <w:szCs w:val="18"/>
                <w:u w:val="none"/>
              </w:rPr>
            </w:pPr>
          </w:p>
        </w:tc>
      </w:tr>
      <w:tr w14:paraId="0DE5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877213">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5E5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9FAD">
            <w:pPr>
              <w:jc w:val="center"/>
              <w:rPr>
                <w:rFonts w:hint="eastAsia" w:ascii="宋体" w:hAnsi="宋体" w:eastAsia="宋体" w:cs="宋体"/>
                <w:i w:val="0"/>
                <w:iCs w:val="0"/>
                <w:color w:val="000000"/>
                <w:sz w:val="18"/>
                <w:szCs w:val="18"/>
                <w:u w:val="none"/>
              </w:rPr>
            </w:pP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70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地理国情普查、地质环境调查、矿产、林草等专项自然资源调查成果、遥感影像为补充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1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1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6C6">
            <w:pPr>
              <w:jc w:val="center"/>
              <w:rPr>
                <w:rFonts w:hint="eastAsia" w:ascii="宋体" w:hAnsi="宋体" w:eastAsia="宋体" w:cs="宋体"/>
                <w:i w:val="0"/>
                <w:iCs w:val="0"/>
                <w:color w:val="000000"/>
                <w:sz w:val="18"/>
                <w:szCs w:val="18"/>
                <w:u w:val="none"/>
              </w:rPr>
            </w:pPr>
          </w:p>
        </w:tc>
      </w:tr>
      <w:tr w14:paraId="765E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BBFF82">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A38E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718B">
            <w:pPr>
              <w:jc w:val="center"/>
              <w:rPr>
                <w:rFonts w:hint="eastAsia" w:ascii="宋体" w:hAnsi="宋体" w:eastAsia="宋体" w:cs="宋体"/>
                <w:i w:val="0"/>
                <w:iCs w:val="0"/>
                <w:color w:val="000000"/>
                <w:sz w:val="18"/>
                <w:szCs w:val="18"/>
                <w:u w:val="none"/>
              </w:rPr>
            </w:pP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F9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国土调查成果数据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5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7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A7E2">
            <w:pPr>
              <w:jc w:val="center"/>
              <w:rPr>
                <w:rFonts w:hint="eastAsia" w:ascii="宋体" w:hAnsi="宋体" w:eastAsia="宋体" w:cs="宋体"/>
                <w:i w:val="0"/>
                <w:iCs w:val="0"/>
                <w:color w:val="000000"/>
                <w:sz w:val="18"/>
                <w:szCs w:val="18"/>
                <w:u w:val="none"/>
              </w:rPr>
            </w:pPr>
          </w:p>
        </w:tc>
      </w:tr>
      <w:tr w14:paraId="3855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DC8F86">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D5E75">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EB89E">
            <w:pPr>
              <w:jc w:val="center"/>
              <w:rPr>
                <w:rFonts w:hint="eastAsia" w:ascii="宋体" w:hAnsi="宋体" w:eastAsia="宋体" w:cs="宋体"/>
                <w:i w:val="0"/>
                <w:iCs w:val="0"/>
                <w:color w:val="000000"/>
                <w:sz w:val="18"/>
                <w:szCs w:val="18"/>
                <w:u w:val="none"/>
              </w:rPr>
            </w:pP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46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专题研究、数据库、数字化规划成果和附件资料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C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E8FA">
            <w:pPr>
              <w:jc w:val="center"/>
              <w:rPr>
                <w:rFonts w:hint="eastAsia" w:ascii="宋体" w:hAnsi="宋体" w:eastAsia="宋体" w:cs="宋体"/>
                <w:i w:val="0"/>
                <w:iCs w:val="0"/>
                <w:color w:val="000000"/>
                <w:sz w:val="18"/>
                <w:szCs w:val="18"/>
                <w:u w:val="none"/>
              </w:rPr>
            </w:pPr>
          </w:p>
        </w:tc>
      </w:tr>
      <w:tr w14:paraId="4346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DBC12E">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0690">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1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5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成果批报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7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20个月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5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7C4">
            <w:pPr>
              <w:jc w:val="center"/>
              <w:rPr>
                <w:rFonts w:hint="eastAsia" w:ascii="宋体" w:hAnsi="宋体" w:eastAsia="宋体" w:cs="宋体"/>
                <w:i w:val="0"/>
                <w:iCs w:val="0"/>
                <w:color w:val="000000"/>
                <w:sz w:val="18"/>
                <w:szCs w:val="18"/>
                <w:u w:val="none"/>
              </w:rPr>
            </w:pPr>
          </w:p>
        </w:tc>
      </w:tr>
      <w:tr w14:paraId="2F55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84EAF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textDirection w:val="tbRlV"/>
            <w:vAlign w:val="center"/>
          </w:tcPr>
          <w:p w14:paraId="5C2DE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D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D4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项目工作经费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A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8D74">
            <w:pPr>
              <w:jc w:val="center"/>
              <w:rPr>
                <w:rFonts w:hint="eastAsia" w:ascii="宋体" w:hAnsi="宋体" w:eastAsia="宋体" w:cs="宋体"/>
                <w:i w:val="0"/>
                <w:iCs w:val="0"/>
                <w:color w:val="000000"/>
                <w:sz w:val="18"/>
                <w:szCs w:val="18"/>
                <w:u w:val="none"/>
              </w:rPr>
            </w:pPr>
          </w:p>
        </w:tc>
      </w:tr>
      <w:tr w14:paraId="6F4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FD6C4C">
            <w:pPr>
              <w:jc w:val="center"/>
              <w:rPr>
                <w:rFonts w:hint="eastAsia" w:ascii="宋体" w:hAnsi="宋体" w:eastAsia="宋体" w:cs="宋体"/>
                <w:i w:val="0"/>
                <w:iCs w:val="0"/>
                <w:color w:val="000000"/>
                <w:sz w:val="18"/>
                <w:szCs w:val="18"/>
                <w:u w:val="none"/>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8B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E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3F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对大竹县经济起到良性影响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F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A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28A0">
            <w:pPr>
              <w:jc w:val="center"/>
              <w:rPr>
                <w:rFonts w:hint="eastAsia" w:ascii="宋体" w:hAnsi="宋体" w:eastAsia="宋体" w:cs="宋体"/>
                <w:i w:val="0"/>
                <w:iCs w:val="0"/>
                <w:color w:val="000000"/>
                <w:sz w:val="18"/>
                <w:szCs w:val="18"/>
                <w:u w:val="none"/>
              </w:rPr>
            </w:pPr>
          </w:p>
        </w:tc>
      </w:tr>
      <w:tr w14:paraId="53EB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6BEBFA">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3657">
            <w:pPr>
              <w:jc w:val="center"/>
              <w:rPr>
                <w:rFonts w:hint="eastAsia" w:ascii="宋体" w:hAnsi="宋体" w:eastAsia="宋体" w:cs="宋体"/>
                <w:i w:val="0"/>
                <w:iCs w:val="0"/>
                <w:color w:val="000000"/>
                <w:sz w:val="18"/>
                <w:szCs w:val="18"/>
                <w:u w:val="none"/>
              </w:rPr>
            </w:pPr>
          </w:p>
        </w:tc>
        <w:tc>
          <w:tcPr>
            <w:tcW w:w="1290" w:type="dxa"/>
            <w:vMerge w:val="restart"/>
            <w:tcBorders>
              <w:top w:val="single" w:color="000000" w:sz="4" w:space="0"/>
              <w:left w:val="single" w:color="000000" w:sz="4" w:space="0"/>
              <w:bottom w:val="nil"/>
              <w:right w:val="single" w:color="000000" w:sz="4" w:space="0"/>
            </w:tcBorders>
            <w:shd w:val="clear" w:color="auto" w:fill="auto"/>
            <w:vAlign w:val="center"/>
          </w:tcPr>
          <w:p w14:paraId="120BA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DB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中心城区包含以下图件：历史文化保护规划图、旧城更新规划图、住房与社区服务体系规划图、公共服务设施规划图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E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A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0C79">
            <w:pPr>
              <w:jc w:val="center"/>
              <w:rPr>
                <w:rFonts w:hint="eastAsia" w:ascii="宋体" w:hAnsi="宋体" w:eastAsia="宋体" w:cs="宋体"/>
                <w:i w:val="0"/>
                <w:iCs w:val="0"/>
                <w:color w:val="000000"/>
                <w:sz w:val="18"/>
                <w:szCs w:val="18"/>
                <w:u w:val="none"/>
              </w:rPr>
            </w:pPr>
          </w:p>
        </w:tc>
      </w:tr>
      <w:tr w14:paraId="7BC2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5745E6">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1C13B">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14:paraId="7901099B">
            <w:pPr>
              <w:jc w:val="center"/>
              <w:rPr>
                <w:rFonts w:hint="eastAsia" w:ascii="宋体" w:hAnsi="宋体" w:eastAsia="宋体" w:cs="宋体"/>
                <w:i w:val="0"/>
                <w:iCs w:val="0"/>
                <w:color w:val="000000"/>
                <w:sz w:val="18"/>
                <w:szCs w:val="18"/>
                <w:u w:val="none"/>
              </w:rPr>
            </w:pP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79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县域是含以下图件：自然人文魅力观体系规划图、土地利用布局规划图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0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E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65E">
            <w:pPr>
              <w:jc w:val="center"/>
              <w:rPr>
                <w:rFonts w:hint="eastAsia" w:ascii="宋体" w:hAnsi="宋体" w:eastAsia="宋体" w:cs="宋体"/>
                <w:i w:val="0"/>
                <w:iCs w:val="0"/>
                <w:color w:val="000000"/>
                <w:sz w:val="18"/>
                <w:szCs w:val="18"/>
                <w:u w:val="none"/>
              </w:rPr>
            </w:pPr>
          </w:p>
        </w:tc>
      </w:tr>
      <w:tr w14:paraId="4CC1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92843A">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E56AF">
            <w:pPr>
              <w:jc w:val="center"/>
              <w:rPr>
                <w:rFonts w:hint="eastAsia" w:ascii="宋体" w:hAnsi="宋体" w:eastAsia="宋体" w:cs="宋体"/>
                <w:i w:val="0"/>
                <w:iCs w:val="0"/>
                <w:color w:val="000000"/>
                <w:sz w:val="18"/>
                <w:szCs w:val="18"/>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6D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0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A5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中心城区包含以下图件：绿地与公园体系规划图、土地利用布局规划图</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A4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5A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C067E">
            <w:pPr>
              <w:jc w:val="center"/>
              <w:rPr>
                <w:rFonts w:hint="eastAsia" w:ascii="宋体" w:hAnsi="宋体" w:eastAsia="宋体" w:cs="宋体"/>
                <w:i w:val="0"/>
                <w:iCs w:val="0"/>
                <w:color w:val="000000"/>
                <w:sz w:val="18"/>
                <w:szCs w:val="18"/>
                <w:u w:val="none"/>
              </w:rPr>
            </w:pPr>
          </w:p>
        </w:tc>
      </w:tr>
      <w:tr w14:paraId="6C58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23E5E2">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9B39">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7514">
            <w:pPr>
              <w:jc w:val="center"/>
              <w:rPr>
                <w:rFonts w:hint="eastAsia" w:ascii="宋体" w:hAnsi="宋体" w:eastAsia="宋体" w:cs="宋体"/>
                <w:i w:val="0"/>
                <w:iCs w:val="0"/>
                <w:color w:val="000000"/>
                <w:sz w:val="18"/>
                <w:szCs w:val="18"/>
                <w:u w:val="none"/>
              </w:rPr>
            </w:pPr>
          </w:p>
        </w:tc>
        <w:tc>
          <w:tcPr>
            <w:tcW w:w="30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47DC0">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F663">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77D52">
            <w:pPr>
              <w:jc w:val="center"/>
              <w:rPr>
                <w:rFonts w:hint="eastAsia" w:ascii="宋体" w:hAnsi="宋体" w:eastAsia="宋体" w:cs="宋体"/>
                <w:i w:val="0"/>
                <w:iCs w:val="0"/>
                <w:color w:val="000000"/>
                <w:sz w:val="18"/>
                <w:szCs w:val="18"/>
                <w:u w:val="none"/>
              </w:rPr>
            </w:pP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44125">
            <w:pPr>
              <w:jc w:val="center"/>
              <w:rPr>
                <w:rFonts w:hint="eastAsia" w:ascii="宋体" w:hAnsi="宋体" w:eastAsia="宋体" w:cs="宋体"/>
                <w:i w:val="0"/>
                <w:iCs w:val="0"/>
                <w:color w:val="000000"/>
                <w:sz w:val="18"/>
                <w:szCs w:val="18"/>
                <w:u w:val="none"/>
              </w:rPr>
            </w:pPr>
          </w:p>
        </w:tc>
      </w:tr>
      <w:tr w14:paraId="24EA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5B353F">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93B16">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3045" w:type="dxa"/>
            <w:gridSpan w:val="2"/>
            <w:tcBorders>
              <w:top w:val="nil"/>
              <w:left w:val="single" w:color="000000" w:sz="4" w:space="0"/>
              <w:bottom w:val="single" w:color="000000" w:sz="4" w:space="0"/>
              <w:right w:val="single" w:color="000000" w:sz="4" w:space="0"/>
            </w:tcBorders>
            <w:shd w:val="clear" w:color="auto" w:fill="auto"/>
            <w:vAlign w:val="center"/>
          </w:tcPr>
          <w:p w14:paraId="1D53F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中心城区包含近期建设规划图及远景发展构想图</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46DFC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72" w:type="dxa"/>
            <w:tcBorders>
              <w:top w:val="nil"/>
              <w:left w:val="single" w:color="000000" w:sz="4" w:space="0"/>
              <w:bottom w:val="single" w:color="000000" w:sz="4" w:space="0"/>
              <w:right w:val="single" w:color="000000" w:sz="4" w:space="0"/>
            </w:tcBorders>
            <w:shd w:val="clear" w:color="auto" w:fill="auto"/>
            <w:vAlign w:val="center"/>
          </w:tcPr>
          <w:p w14:paraId="2D9A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41" w:type="dxa"/>
            <w:tcBorders>
              <w:top w:val="nil"/>
              <w:left w:val="single" w:color="000000" w:sz="4" w:space="0"/>
              <w:bottom w:val="single" w:color="000000" w:sz="4" w:space="0"/>
              <w:right w:val="single" w:color="000000" w:sz="4" w:space="0"/>
            </w:tcBorders>
            <w:shd w:val="clear" w:color="auto" w:fill="auto"/>
            <w:vAlign w:val="center"/>
          </w:tcPr>
          <w:p w14:paraId="62B3DB12">
            <w:pPr>
              <w:jc w:val="center"/>
              <w:rPr>
                <w:rFonts w:hint="eastAsia" w:ascii="宋体" w:hAnsi="宋体" w:eastAsia="宋体" w:cs="宋体"/>
                <w:i w:val="0"/>
                <w:iCs w:val="0"/>
                <w:color w:val="000000"/>
                <w:sz w:val="18"/>
                <w:szCs w:val="18"/>
                <w:u w:val="none"/>
              </w:rPr>
            </w:pPr>
          </w:p>
        </w:tc>
      </w:tr>
      <w:tr w14:paraId="066B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8A8A0E">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4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2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13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服务对象、职能部门及群众满意度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8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B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297F">
            <w:pPr>
              <w:jc w:val="center"/>
              <w:rPr>
                <w:rFonts w:hint="eastAsia" w:ascii="宋体" w:hAnsi="宋体" w:eastAsia="宋体" w:cs="宋体"/>
                <w:i w:val="0"/>
                <w:iCs w:val="0"/>
                <w:color w:val="000000"/>
                <w:sz w:val="18"/>
                <w:szCs w:val="18"/>
                <w:u w:val="none"/>
              </w:rPr>
            </w:pPr>
          </w:p>
        </w:tc>
      </w:tr>
      <w:tr w14:paraId="4870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85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D90313">
            <w:pPr>
              <w:jc w:val="center"/>
              <w:rPr>
                <w:rFonts w:hint="eastAsia" w:ascii="宋体" w:hAnsi="宋体" w:eastAsia="宋体" w:cs="宋体"/>
                <w:i w:val="0"/>
                <w:iCs w:val="0"/>
                <w:color w:val="000000"/>
                <w:sz w:val="18"/>
                <w:szCs w:val="18"/>
                <w:u w:val="none"/>
              </w:rPr>
            </w:pPr>
          </w:p>
        </w:tc>
      </w:tr>
      <w:tr w14:paraId="46C0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914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3560E4A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其他资金包括和中央、地方财政资金共同投入到同一项目的自有资金、社会资金，以及以前年度的结转结余资金等。2.定量指标，主管部门对资金使用单位填写的实际完成值汇总时，对绝对值直接累加计算，相对值按资金额度加权平均计算。3.全年执行数是指按照国库集中支付制度要求，支付到商品和劳务供应者或者用款单位形成的实际支出。</w:t>
            </w:r>
          </w:p>
        </w:tc>
      </w:tr>
      <w:tr w14:paraId="3535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4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129392B">
            <w:pPr>
              <w:jc w:val="left"/>
              <w:rPr>
                <w:rFonts w:hint="eastAsia" w:ascii="宋体" w:hAnsi="宋体" w:eastAsia="宋体" w:cs="宋体"/>
                <w:i w:val="0"/>
                <w:iCs w:val="0"/>
                <w:color w:val="000000"/>
                <w:sz w:val="18"/>
                <w:szCs w:val="18"/>
                <w:u w:val="none"/>
              </w:rPr>
            </w:pPr>
          </w:p>
        </w:tc>
      </w:tr>
      <w:tr w14:paraId="0B4F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4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F56E43B">
            <w:pPr>
              <w:jc w:val="left"/>
              <w:rPr>
                <w:rFonts w:hint="eastAsia" w:ascii="宋体" w:hAnsi="宋体" w:eastAsia="宋体" w:cs="宋体"/>
                <w:i w:val="0"/>
                <w:iCs w:val="0"/>
                <w:color w:val="000000"/>
                <w:sz w:val="18"/>
                <w:szCs w:val="18"/>
                <w:u w:val="none"/>
              </w:rPr>
            </w:pPr>
          </w:p>
        </w:tc>
      </w:tr>
    </w:tbl>
    <w:p w14:paraId="41D49B92">
      <w:pPr>
        <w:pStyle w:val="12"/>
        <w:widowControl/>
        <w:shd w:val="clear" w:color="auto" w:fill="FFFFFF"/>
        <w:spacing w:beforeAutospacing="0" w:afterAutospacing="0"/>
        <w:ind w:firstLine="640" w:firstLineChars="200"/>
        <w:jc w:val="both"/>
        <w:rPr>
          <w:rFonts w:hint="eastAsia" w:ascii="仿宋" w:hAnsi="仿宋" w:eastAsia="仿宋" w:cs="仿宋"/>
          <w:sz w:val="32"/>
          <w:szCs w:val="32"/>
        </w:rPr>
      </w:pPr>
    </w:p>
    <w:p w14:paraId="6E52256E">
      <w:pPr>
        <w:spacing w:line="580" w:lineRule="exact"/>
        <w:ind w:firstLine="640" w:firstLineChars="200"/>
        <w:rPr>
          <w:rFonts w:hint="eastAsia" w:ascii="仿宋" w:hAnsi="仿宋" w:eastAsia="仿宋" w:cs="仿宋"/>
          <w:sz w:val="32"/>
          <w:szCs w:val="32"/>
        </w:rPr>
      </w:pPr>
    </w:p>
    <w:p w14:paraId="13966C6A">
      <w:pPr>
        <w:spacing w:line="580" w:lineRule="exact"/>
        <w:ind w:firstLine="640" w:firstLineChars="200"/>
        <w:rPr>
          <w:rFonts w:hint="eastAsia" w:ascii="仿宋" w:hAnsi="仿宋" w:eastAsia="仿宋" w:cs="仿宋"/>
          <w:sz w:val="32"/>
          <w:szCs w:val="32"/>
        </w:rPr>
      </w:pPr>
    </w:p>
    <w:p w14:paraId="6984843C">
      <w:pPr>
        <w:spacing w:line="580" w:lineRule="exact"/>
        <w:ind w:firstLine="640" w:firstLineChars="200"/>
        <w:rPr>
          <w:rFonts w:hint="eastAsia" w:ascii="仿宋" w:hAnsi="仿宋" w:eastAsia="仿宋" w:cs="仿宋"/>
          <w:sz w:val="32"/>
          <w:szCs w:val="32"/>
        </w:rPr>
      </w:pPr>
    </w:p>
    <w:p w14:paraId="1B3ADCD3">
      <w:pPr>
        <w:spacing w:line="580" w:lineRule="exact"/>
        <w:ind w:firstLine="640" w:firstLineChars="200"/>
        <w:rPr>
          <w:rFonts w:hint="eastAsia" w:ascii="仿宋" w:hAnsi="仿宋" w:eastAsia="仿宋" w:cs="仿宋"/>
          <w:sz w:val="32"/>
          <w:szCs w:val="32"/>
        </w:rPr>
      </w:pPr>
    </w:p>
    <w:p w14:paraId="6C70C71B">
      <w:pPr>
        <w:spacing w:line="580" w:lineRule="exact"/>
        <w:ind w:firstLine="640" w:firstLineChars="200"/>
        <w:rPr>
          <w:rFonts w:hint="eastAsia" w:ascii="仿宋" w:hAnsi="仿宋" w:eastAsia="仿宋" w:cs="仿宋"/>
          <w:sz w:val="32"/>
          <w:szCs w:val="32"/>
        </w:rPr>
      </w:pPr>
    </w:p>
    <w:p w14:paraId="0EE23F35">
      <w:pPr>
        <w:spacing w:line="580" w:lineRule="exact"/>
        <w:ind w:firstLine="640" w:firstLineChars="200"/>
        <w:rPr>
          <w:rFonts w:hint="eastAsia" w:ascii="仿宋" w:hAnsi="仿宋" w:eastAsia="仿宋" w:cs="仿宋"/>
          <w:sz w:val="32"/>
          <w:szCs w:val="32"/>
        </w:rPr>
      </w:pPr>
    </w:p>
    <w:p w14:paraId="34E5EA26">
      <w:pPr>
        <w:spacing w:line="580" w:lineRule="exact"/>
        <w:rPr>
          <w:rFonts w:hint="eastAsia" w:ascii="仿宋" w:hAnsi="仿宋" w:eastAsia="仿宋" w:cs="仿宋"/>
          <w:sz w:val="32"/>
          <w:szCs w:val="32"/>
        </w:rPr>
      </w:pPr>
    </w:p>
    <w:p w14:paraId="4340AB4F">
      <w:pPr>
        <w:jc w:val="center"/>
        <w:rPr>
          <w:rFonts w:hint="eastAsia" w:ascii="方正小标宋简体" w:hAnsi="方正小标宋简体" w:eastAsia="方正小标宋简体" w:cs="方正小标宋简体"/>
          <w:sz w:val="44"/>
          <w:szCs w:val="44"/>
        </w:rPr>
      </w:pPr>
      <w:bookmarkStart w:id="57" w:name="_Toc15396618"/>
      <w:r>
        <w:rPr>
          <w:rFonts w:hint="eastAsia" w:ascii="方正小标宋简体" w:hAnsi="方正小标宋简体" w:eastAsia="方正小标宋简体" w:cs="方正小标宋简体"/>
          <w:sz w:val="44"/>
          <w:szCs w:val="44"/>
        </w:rPr>
        <w:t>第五部分 附表</w:t>
      </w:r>
      <w:bookmarkEnd w:id="56"/>
      <w:bookmarkEnd w:id="57"/>
      <w:bookmarkStart w:id="58" w:name="_Toc15396619"/>
    </w:p>
    <w:bookmarkEnd w:id="58"/>
    <w:p w14:paraId="2AD067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1F200C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6C3CA3A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5ADA1E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7D66586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14:paraId="1F79E6C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14:paraId="115AD8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14:paraId="13C7B2E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w:t>
      </w:r>
      <w:r>
        <w:rPr>
          <w:rFonts w:hint="eastAsia" w:ascii="仿宋_GB2312" w:hAnsi="仿宋_GB2312" w:eastAsia="仿宋_GB2312" w:cs="仿宋_GB2312"/>
          <w:sz w:val="32"/>
          <w:szCs w:val="32"/>
          <w:lang w:eastAsia="zh-CN"/>
        </w:rPr>
        <w:t>明细</w:t>
      </w:r>
      <w:r>
        <w:rPr>
          <w:rFonts w:hint="eastAsia" w:ascii="仿宋_GB2312" w:hAnsi="仿宋_GB2312" w:eastAsia="仿宋_GB2312" w:cs="仿宋_GB2312"/>
          <w:sz w:val="32"/>
          <w:szCs w:val="32"/>
        </w:rPr>
        <w:t>表</w:t>
      </w:r>
    </w:p>
    <w:p w14:paraId="35F56CB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14:paraId="0E0CF6B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十、政府性基金预算财政拨款收入支出决算表</w:t>
      </w:r>
    </w:p>
    <w:p w14:paraId="59F0F8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十一、国有资本经营预算财政拨款收入支出决算表</w:t>
      </w:r>
    </w:p>
    <w:p w14:paraId="633A20B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val="en-US" w:eastAsia="zh-CN"/>
        </w:rPr>
        <w:t>国有资本经营预算财政拨款支出决算表</w:t>
      </w:r>
    </w:p>
    <w:p w14:paraId="43ED11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23C7C0-481C-4737-B3A5-C8917B304B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A8C6A9CF-D631-4A15-AA85-14F3B606984C}"/>
  </w:font>
  <w:font w:name="仿宋_GB2312">
    <w:panose1 w:val="02010609030101010101"/>
    <w:charset w:val="86"/>
    <w:family w:val="modern"/>
    <w:pitch w:val="default"/>
    <w:sig w:usb0="00000001" w:usb1="080E0000" w:usb2="00000000" w:usb3="00000000" w:csb0="00040000" w:csb1="00000000"/>
    <w:embedRegular r:id="rId3" w:fontKey="{C71749A2-A235-44E4-AAD1-7E53A80D50BC}"/>
  </w:font>
  <w:font w:name="仿宋">
    <w:panose1 w:val="02010609060101010101"/>
    <w:charset w:val="86"/>
    <w:family w:val="auto"/>
    <w:pitch w:val="default"/>
    <w:sig w:usb0="800002BF" w:usb1="38CF7CFA" w:usb2="00000016" w:usb3="00000000" w:csb0="00040001" w:csb1="00000000"/>
    <w:embedRegular r:id="rId4" w:fontKey="{AA45D236-3A9C-4FCA-B367-EB9001FA1E3D}"/>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5" w:fontKey="{06BFC8E9-2649-4779-8E39-D34C1436715D}"/>
  </w:font>
  <w:font w:name="楷体">
    <w:panose1 w:val="02010609060101010101"/>
    <w:charset w:val="86"/>
    <w:family w:val="auto"/>
    <w:pitch w:val="default"/>
    <w:sig w:usb0="800002BF" w:usb1="38CF7CFA" w:usb2="00000016" w:usb3="00000000" w:csb0="00040001" w:csb1="00000000"/>
    <w:embedRegular r:id="rId6" w:fontKey="{8FB7C529-9CD0-41C1-867E-03E0A384F5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C6CC813">
        <w:pPr>
          <w:pStyle w:val="8"/>
          <w:jc w:val="center"/>
        </w:pPr>
        <w:r>
          <w:fldChar w:fldCharType="begin"/>
        </w:r>
        <w:r>
          <w:instrText xml:space="preserve">PAGE   \* MERGEFORMAT</w:instrText>
        </w:r>
        <w:r>
          <w:fldChar w:fldCharType="separate"/>
        </w:r>
        <w:r>
          <w:rPr>
            <w:lang w:val="zh-CN"/>
          </w:rPr>
          <w:t>24</w:t>
        </w:r>
        <w:r>
          <w:fldChar w:fldCharType="end"/>
        </w:r>
      </w:p>
    </w:sdtContent>
  </w:sdt>
  <w:p w14:paraId="1BE4631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F6B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jVmYTgwMjgxYWEwOTNhMTY0NDE1MmExNDE0Nzg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2F07"/>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3EB6"/>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87AFF"/>
    <w:rsid w:val="01F27680"/>
    <w:rsid w:val="02371589"/>
    <w:rsid w:val="02767722"/>
    <w:rsid w:val="02F7260F"/>
    <w:rsid w:val="03B91C8D"/>
    <w:rsid w:val="03DA0F9F"/>
    <w:rsid w:val="03DE3D70"/>
    <w:rsid w:val="03ED6B7D"/>
    <w:rsid w:val="04486D7F"/>
    <w:rsid w:val="04E13DEA"/>
    <w:rsid w:val="04EB0BDD"/>
    <w:rsid w:val="04EE57FB"/>
    <w:rsid w:val="052926C0"/>
    <w:rsid w:val="071E0F8F"/>
    <w:rsid w:val="08FB3937"/>
    <w:rsid w:val="090268D1"/>
    <w:rsid w:val="090D5997"/>
    <w:rsid w:val="095909B8"/>
    <w:rsid w:val="0974360B"/>
    <w:rsid w:val="0A784E2D"/>
    <w:rsid w:val="0BE802F7"/>
    <w:rsid w:val="0C2A5C64"/>
    <w:rsid w:val="0C725439"/>
    <w:rsid w:val="0D004F9F"/>
    <w:rsid w:val="0DC51429"/>
    <w:rsid w:val="0E1102DF"/>
    <w:rsid w:val="0E796039"/>
    <w:rsid w:val="0E9D6241"/>
    <w:rsid w:val="0F4B3D8A"/>
    <w:rsid w:val="10C055FF"/>
    <w:rsid w:val="11412771"/>
    <w:rsid w:val="11FA7E7E"/>
    <w:rsid w:val="12A63EA9"/>
    <w:rsid w:val="12CD675B"/>
    <w:rsid w:val="132A2A06"/>
    <w:rsid w:val="143E625F"/>
    <w:rsid w:val="14716180"/>
    <w:rsid w:val="15463A79"/>
    <w:rsid w:val="15980326"/>
    <w:rsid w:val="15E55408"/>
    <w:rsid w:val="16377978"/>
    <w:rsid w:val="16AB6FB6"/>
    <w:rsid w:val="16BB723D"/>
    <w:rsid w:val="17025766"/>
    <w:rsid w:val="17D36355"/>
    <w:rsid w:val="19025A88"/>
    <w:rsid w:val="1A35798F"/>
    <w:rsid w:val="1AAE5F72"/>
    <w:rsid w:val="1AFE6EBE"/>
    <w:rsid w:val="1B6A2A8F"/>
    <w:rsid w:val="1BBB662F"/>
    <w:rsid w:val="1BD2570B"/>
    <w:rsid w:val="1C37392F"/>
    <w:rsid w:val="1CC5264C"/>
    <w:rsid w:val="1CDE44D2"/>
    <w:rsid w:val="1CF509D2"/>
    <w:rsid w:val="1D040EE9"/>
    <w:rsid w:val="1D8634EC"/>
    <w:rsid w:val="1E170102"/>
    <w:rsid w:val="1E916577"/>
    <w:rsid w:val="1FC23AE2"/>
    <w:rsid w:val="1FDE2C12"/>
    <w:rsid w:val="20B03B59"/>
    <w:rsid w:val="212325C1"/>
    <w:rsid w:val="21960E15"/>
    <w:rsid w:val="219A0FB3"/>
    <w:rsid w:val="21B61363"/>
    <w:rsid w:val="2268656E"/>
    <w:rsid w:val="2272046D"/>
    <w:rsid w:val="2379561F"/>
    <w:rsid w:val="23BE3486"/>
    <w:rsid w:val="23E205D6"/>
    <w:rsid w:val="23EE5106"/>
    <w:rsid w:val="240371BF"/>
    <w:rsid w:val="243711C2"/>
    <w:rsid w:val="248C2D2F"/>
    <w:rsid w:val="24A1379D"/>
    <w:rsid w:val="24D35F2F"/>
    <w:rsid w:val="2539451C"/>
    <w:rsid w:val="25620AB5"/>
    <w:rsid w:val="26DB45FF"/>
    <w:rsid w:val="277D5407"/>
    <w:rsid w:val="282947FD"/>
    <w:rsid w:val="28B86CEF"/>
    <w:rsid w:val="2929263D"/>
    <w:rsid w:val="29493649"/>
    <w:rsid w:val="29707E4F"/>
    <w:rsid w:val="29966C92"/>
    <w:rsid w:val="299C71E1"/>
    <w:rsid w:val="29FD04D3"/>
    <w:rsid w:val="2B7F0A41"/>
    <w:rsid w:val="2BD64A14"/>
    <w:rsid w:val="2C034B1A"/>
    <w:rsid w:val="2D432736"/>
    <w:rsid w:val="2E0C53E7"/>
    <w:rsid w:val="315F7585"/>
    <w:rsid w:val="31696E48"/>
    <w:rsid w:val="317452BC"/>
    <w:rsid w:val="319F7F4E"/>
    <w:rsid w:val="32182733"/>
    <w:rsid w:val="32941A25"/>
    <w:rsid w:val="35033D20"/>
    <w:rsid w:val="35747E49"/>
    <w:rsid w:val="35931184"/>
    <w:rsid w:val="35A013D6"/>
    <w:rsid w:val="369D77DD"/>
    <w:rsid w:val="36A007CA"/>
    <w:rsid w:val="36CC4EF6"/>
    <w:rsid w:val="36E42069"/>
    <w:rsid w:val="37920FDD"/>
    <w:rsid w:val="38D60AFD"/>
    <w:rsid w:val="38DC5C78"/>
    <w:rsid w:val="3AFF7219"/>
    <w:rsid w:val="3B50626C"/>
    <w:rsid w:val="3B566BCA"/>
    <w:rsid w:val="3B59517E"/>
    <w:rsid w:val="3B6D2626"/>
    <w:rsid w:val="3BE95E2B"/>
    <w:rsid w:val="3CB91023"/>
    <w:rsid w:val="3D5C0B3F"/>
    <w:rsid w:val="3D863E11"/>
    <w:rsid w:val="3DD31485"/>
    <w:rsid w:val="3E4A137F"/>
    <w:rsid w:val="3EE85404"/>
    <w:rsid w:val="406B16C6"/>
    <w:rsid w:val="40ED6B73"/>
    <w:rsid w:val="42657E93"/>
    <w:rsid w:val="42AD0938"/>
    <w:rsid w:val="43C10BC6"/>
    <w:rsid w:val="43C20741"/>
    <w:rsid w:val="442B1F02"/>
    <w:rsid w:val="447865E8"/>
    <w:rsid w:val="45672A04"/>
    <w:rsid w:val="45854DD8"/>
    <w:rsid w:val="45CC17B0"/>
    <w:rsid w:val="45DA0FD2"/>
    <w:rsid w:val="46FC090A"/>
    <w:rsid w:val="47096FC3"/>
    <w:rsid w:val="4736458E"/>
    <w:rsid w:val="4750049A"/>
    <w:rsid w:val="47FB796A"/>
    <w:rsid w:val="492C6BA9"/>
    <w:rsid w:val="49AE555F"/>
    <w:rsid w:val="4AA44BE1"/>
    <w:rsid w:val="4AAA0D13"/>
    <w:rsid w:val="4AFC20DA"/>
    <w:rsid w:val="4CFF7346"/>
    <w:rsid w:val="4D7A776C"/>
    <w:rsid w:val="4D8A6A0E"/>
    <w:rsid w:val="4DDB679E"/>
    <w:rsid w:val="4E207AA2"/>
    <w:rsid w:val="4E2A087D"/>
    <w:rsid w:val="4ECE2238"/>
    <w:rsid w:val="4F094EA9"/>
    <w:rsid w:val="4F177DAA"/>
    <w:rsid w:val="51AC3BE3"/>
    <w:rsid w:val="520D487B"/>
    <w:rsid w:val="53067F24"/>
    <w:rsid w:val="533E580D"/>
    <w:rsid w:val="53777B6E"/>
    <w:rsid w:val="544A2261"/>
    <w:rsid w:val="54946B7E"/>
    <w:rsid w:val="552E07CD"/>
    <w:rsid w:val="55BE64BA"/>
    <w:rsid w:val="55C31C86"/>
    <w:rsid w:val="573A078F"/>
    <w:rsid w:val="573E69A9"/>
    <w:rsid w:val="57733733"/>
    <w:rsid w:val="57827895"/>
    <w:rsid w:val="58280AC1"/>
    <w:rsid w:val="58842F27"/>
    <w:rsid w:val="58C1051A"/>
    <w:rsid w:val="58EC4F19"/>
    <w:rsid w:val="593E4146"/>
    <w:rsid w:val="5A137FA8"/>
    <w:rsid w:val="5A8E7485"/>
    <w:rsid w:val="5BB502D3"/>
    <w:rsid w:val="5BC615FF"/>
    <w:rsid w:val="5C8E6669"/>
    <w:rsid w:val="5CF83799"/>
    <w:rsid w:val="5DA00D2B"/>
    <w:rsid w:val="5DCC7F73"/>
    <w:rsid w:val="5DD01514"/>
    <w:rsid w:val="5DFF28DE"/>
    <w:rsid w:val="5E9D6E5F"/>
    <w:rsid w:val="5EC91F9B"/>
    <w:rsid w:val="5ECB71ED"/>
    <w:rsid w:val="5FA10D17"/>
    <w:rsid w:val="5FC3005B"/>
    <w:rsid w:val="608C2094"/>
    <w:rsid w:val="61DA5F11"/>
    <w:rsid w:val="6302152C"/>
    <w:rsid w:val="632C0B66"/>
    <w:rsid w:val="639606C7"/>
    <w:rsid w:val="64865D61"/>
    <w:rsid w:val="64C634E2"/>
    <w:rsid w:val="6630760C"/>
    <w:rsid w:val="67642615"/>
    <w:rsid w:val="67651F63"/>
    <w:rsid w:val="67FD36F3"/>
    <w:rsid w:val="68ED3426"/>
    <w:rsid w:val="69076E32"/>
    <w:rsid w:val="691456C2"/>
    <w:rsid w:val="69DC778F"/>
    <w:rsid w:val="69ED2CBB"/>
    <w:rsid w:val="6A4730B1"/>
    <w:rsid w:val="6AFA59F3"/>
    <w:rsid w:val="6B532345"/>
    <w:rsid w:val="6B662F74"/>
    <w:rsid w:val="6B8C413A"/>
    <w:rsid w:val="6BB928F9"/>
    <w:rsid w:val="6BD5414B"/>
    <w:rsid w:val="6D6E2CE4"/>
    <w:rsid w:val="6E2225EE"/>
    <w:rsid w:val="7049750E"/>
    <w:rsid w:val="7166734B"/>
    <w:rsid w:val="72734D90"/>
    <w:rsid w:val="72CA5816"/>
    <w:rsid w:val="737B41C3"/>
    <w:rsid w:val="73942E89"/>
    <w:rsid w:val="73AF6A08"/>
    <w:rsid w:val="74486A16"/>
    <w:rsid w:val="7570512C"/>
    <w:rsid w:val="758E01AD"/>
    <w:rsid w:val="75E326DD"/>
    <w:rsid w:val="76140776"/>
    <w:rsid w:val="76223042"/>
    <w:rsid w:val="76FD684C"/>
    <w:rsid w:val="791A3CA8"/>
    <w:rsid w:val="7986750C"/>
    <w:rsid w:val="7CCF58B5"/>
    <w:rsid w:val="7CD6043B"/>
    <w:rsid w:val="7DED08D2"/>
    <w:rsid w:val="7F9266EA"/>
    <w:rsid w:val="7FA67113"/>
    <w:rsid w:val="7FF371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Body text|1"/>
    <w:basedOn w:val="1"/>
    <w:qFormat/>
    <w:uiPriority w:val="0"/>
    <w:pPr>
      <w:spacing w:line="403" w:lineRule="auto"/>
      <w:ind w:firstLine="400"/>
    </w:pPr>
    <w:rPr>
      <w:rFonts w:ascii="宋体" w:hAnsi="宋体" w:eastAsia="宋体" w:cs="宋体"/>
      <w:sz w:val="30"/>
      <w:szCs w:val="30"/>
      <w:lang w:val="zh-TW" w:eastAsia="zh-TW" w:bidi="zh-TW"/>
    </w:rPr>
  </w:style>
  <w:style w:type="character" w:customStyle="1" w:styleId="32">
    <w:name w:val="font31"/>
    <w:basedOn w:val="14"/>
    <w:qFormat/>
    <w:uiPriority w:val="0"/>
    <w:rPr>
      <w:rFonts w:hint="eastAsia" w:ascii="宋体" w:hAnsi="宋体" w:eastAsia="宋体" w:cs="宋体"/>
      <w:color w:val="000000"/>
      <w:sz w:val="32"/>
      <w:szCs w:val="32"/>
      <w:u w:val="none"/>
    </w:rPr>
  </w:style>
  <w:style w:type="character" w:customStyle="1" w:styleId="33">
    <w:name w:val="font141"/>
    <w:basedOn w:val="14"/>
    <w:qFormat/>
    <w:uiPriority w:val="0"/>
    <w:rPr>
      <w:rFonts w:hint="eastAsia" w:ascii="宋体" w:hAnsi="宋体" w:eastAsia="宋体" w:cs="宋体"/>
      <w:color w:val="000000"/>
      <w:sz w:val="20"/>
      <w:szCs w:val="20"/>
      <w:u w:val="none"/>
    </w:rPr>
  </w:style>
  <w:style w:type="character" w:customStyle="1" w:styleId="34">
    <w:name w:val="font13"/>
    <w:basedOn w:val="14"/>
    <w:qFormat/>
    <w:uiPriority w:val="0"/>
    <w:rPr>
      <w:rFonts w:hint="eastAsia" w:ascii="宋体" w:hAnsi="宋体" w:eastAsia="宋体" w:cs="宋体"/>
      <w:color w:val="000000"/>
      <w:sz w:val="20"/>
      <w:szCs w:val="20"/>
      <w:u w:val="none"/>
    </w:rPr>
  </w:style>
  <w:style w:type="paragraph" w:customStyle="1" w:styleId="35">
    <w:name w:val="Heading #3|1"/>
    <w:basedOn w:val="1"/>
    <w:qFormat/>
    <w:uiPriority w:val="0"/>
    <w:pPr>
      <w:spacing w:line="598" w:lineRule="exact"/>
      <w:ind w:left="1220"/>
      <w:outlineLvl w:val="2"/>
    </w:pPr>
    <w:rPr>
      <w:rFonts w:ascii="宋体" w:hAnsi="宋体" w:eastAsia="宋体" w:cs="宋体"/>
      <w:b/>
      <w:bCs/>
      <w:sz w:val="30"/>
      <w:szCs w:val="30"/>
      <w:lang w:val="zh-TW" w:eastAsia="zh-TW" w:bidi="zh-TW"/>
    </w:rPr>
  </w:style>
  <w:style w:type="paragraph" w:customStyle="1" w:styleId="36">
    <w:name w:val="四号正文"/>
    <w:basedOn w:val="1"/>
    <w:unhideWhenUsed/>
    <w:qFormat/>
    <w:uiPriority w:val="0"/>
    <w:pPr>
      <w:spacing w:beforeLines="0" w:afterLines="0" w:line="360" w:lineRule="auto"/>
    </w:pPr>
    <w:rPr>
      <w:rFonts w:hint="default" w:ascii="??" w:hAnsi="??" w:eastAsia="宋体"/>
      <w:color w:val="000000"/>
      <w:kern w:val="0"/>
      <w:sz w:val="28"/>
      <w:szCs w:val="21"/>
      <w:lang w:val="zh-CN"/>
    </w:rPr>
  </w:style>
  <w:style w:type="character" w:customStyle="1" w:styleId="37">
    <w:name w:val="NormalCharacter"/>
    <w:qFormat/>
    <w:uiPriority w:val="0"/>
  </w:style>
  <w:style w:type="paragraph" w:customStyle="1" w:styleId="38">
    <w:name w:val="BodyText"/>
    <w:basedOn w:val="1"/>
    <w:qFormat/>
    <w:uiPriority w:val="0"/>
    <w:pPr>
      <w:widowControl/>
      <w:spacing w:after="120"/>
      <w:textAlignment w:val="baseline"/>
    </w:pPr>
    <w:rPr>
      <w:rFonts w:cs="Times New Roman"/>
      <w:szCs w:val="22"/>
    </w:rPr>
  </w:style>
  <w:style w:type="character" w:customStyle="1" w:styleId="39">
    <w:name w:val="font112"/>
    <w:basedOn w:val="14"/>
    <w:qFormat/>
    <w:uiPriority w:val="0"/>
    <w:rPr>
      <w:rFonts w:hint="eastAsia" w:ascii="宋体" w:hAnsi="宋体" w:eastAsia="宋体" w:cs="宋体"/>
      <w:color w:val="000000"/>
      <w:sz w:val="32"/>
      <w:szCs w:val="32"/>
      <w:u w:val="none"/>
    </w:rPr>
  </w:style>
  <w:style w:type="character" w:customStyle="1" w:styleId="40">
    <w:name w:val="font71"/>
    <w:basedOn w:val="14"/>
    <w:qFormat/>
    <w:uiPriority w:val="0"/>
    <w:rPr>
      <w:rFonts w:hint="eastAsia" w:ascii="宋体" w:hAnsi="宋体" w:eastAsia="宋体" w:cs="宋体"/>
      <w:color w:val="000000"/>
      <w:sz w:val="18"/>
      <w:szCs w:val="18"/>
      <w:u w:val="none"/>
    </w:rPr>
  </w:style>
  <w:style w:type="character" w:customStyle="1" w:styleId="41">
    <w:name w:val="font121"/>
    <w:basedOn w:val="14"/>
    <w:qFormat/>
    <w:uiPriority w:val="0"/>
    <w:rPr>
      <w:rFonts w:hint="eastAsia" w:ascii="宋体" w:hAnsi="宋体" w:eastAsia="宋体" w:cs="宋体"/>
      <w:color w:val="000000"/>
      <w:sz w:val="21"/>
      <w:szCs w:val="21"/>
      <w:u w:val="none"/>
    </w:rPr>
  </w:style>
  <w:style w:type="character" w:customStyle="1" w:styleId="42">
    <w:name w:val="font101"/>
    <w:basedOn w:val="1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8296422487223"/>
          <c:y val="0.241015496208375"/>
          <c:w val="0.901771720613288"/>
          <c:h val="0.43930102209034"/>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Sheet1!$B$2:$B$3</c:f>
              <c:numCache>
                <c:formatCode>General</c:formatCode>
                <c:ptCount val="2"/>
                <c:pt idx="0">
                  <c:v>648.11</c:v>
                </c:pt>
                <c:pt idx="1">
                  <c:v>648.11</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Sheet1!$C$2:$C$3</c:f>
              <c:numCache>
                <c:formatCode>General</c:formatCode>
                <c:ptCount val="2"/>
                <c:pt idx="0">
                  <c:v>751.66</c:v>
                </c:pt>
                <c:pt idx="1">
                  <c:v>751.66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总收入</c:v>
                </c:pt>
                <c:pt idx="1">
                  <c:v>总支出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50214127"/>
        <c:axId val="777473562"/>
      </c:barChart>
      <c:catAx>
        <c:axId val="9502141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473562"/>
        <c:crosses val="autoZero"/>
        <c:auto val="1"/>
        <c:lblAlgn val="ctr"/>
        <c:lblOffset val="100"/>
        <c:noMultiLvlLbl val="0"/>
      </c:catAx>
      <c:valAx>
        <c:axId val="7774735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21412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附属单位上缴收入</c:v>
                </c:pt>
                <c:pt idx="5">
                  <c:v>其他收入</c:v>
                </c:pt>
                <c:pt idx="6">
                  <c:v>经营收入</c:v>
                </c:pt>
              </c:strCache>
            </c:strRef>
          </c:cat>
          <c:val>
            <c:numRef>
              <c:f>Sheet1!$B$2:$B$8</c:f>
              <c:numCache>
                <c:formatCode>0.00%</c:formatCode>
                <c:ptCount val="7"/>
                <c:pt idx="0">
                  <c:v>0.9335</c:v>
                </c:pt>
                <c:pt idx="1">
                  <c:v>0.0665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56466675940512"/>
                  <c:y val="-0.007083340896326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1689991215736"/>
                  <c:y val="0.011958651235538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0.5979</c:v>
                </c:pt>
                <c:pt idx="1">
                  <c:v>0.4021</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2">
                  <c:v>财政拨款支出</c:v>
                </c:pt>
              </c:strCache>
            </c:strRef>
          </c:cat>
          <c:val>
            <c:numRef>
              <c:f>Sheet1!$B$2:$B$5</c:f>
              <c:numCache>
                <c:formatCode>General</c:formatCode>
                <c:ptCount val="4"/>
                <c:pt idx="0">
                  <c:v>648.11</c:v>
                </c:pt>
                <c:pt idx="2">
                  <c:v>648.11</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2">
                  <c:v>财政拨款支出</c:v>
                </c:pt>
              </c:strCache>
            </c:strRef>
          </c:cat>
          <c:val>
            <c:numRef>
              <c:f>Sheet1!$C$2:$C$5</c:f>
              <c:numCache>
                <c:formatCode>General</c:formatCode>
                <c:ptCount val="4"/>
                <c:pt idx="0">
                  <c:v>751.66</c:v>
                </c:pt>
                <c:pt idx="2">
                  <c:v>751.66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财政拨款收入</c:v>
                </c:pt>
                <c:pt idx="2">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90774580"/>
        <c:axId val="835871947"/>
      </c:barChart>
      <c:catAx>
        <c:axId val="4907745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871947"/>
        <c:crosses val="autoZero"/>
        <c:auto val="1"/>
        <c:lblAlgn val="ctr"/>
        <c:lblOffset val="100"/>
        <c:noMultiLvlLbl val="0"/>
      </c:catAx>
      <c:valAx>
        <c:axId val="8358719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774580"/>
        <c:crosses val="autoZero"/>
        <c:crossBetween val="between"/>
      </c:valAx>
      <c:spPr>
        <a:noFill/>
        <a:ln>
          <a:noFill/>
        </a:ln>
        <a:effectLst/>
      </c:spPr>
    </c:plotArea>
    <c:legend>
      <c:legendPos val="b"/>
      <c:legendEntry>
        <c:idx val="2"/>
        <c:delete val="1"/>
      </c:legendEntry>
      <c:layout>
        <c:manualLayout>
          <c:xMode val="edge"/>
          <c:yMode val="edge"/>
          <c:x val="0.3560625"/>
          <c:y val="0.92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435.76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701.66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70229519"/>
        <c:axId val="635122459"/>
      </c:barChart>
      <c:catAx>
        <c:axId val="7702295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122459"/>
        <c:crosses val="autoZero"/>
        <c:auto val="1"/>
        <c:lblAlgn val="ctr"/>
        <c:lblOffset val="100"/>
        <c:noMultiLvlLbl val="0"/>
      </c:catAx>
      <c:valAx>
        <c:axId val="6351224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22951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2"/>
              <c:layout>
                <c:manualLayout>
                  <c:x val="-0.035860711903405"/>
                  <c:y val="-0.41836528110581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37937776985174"/>
                  <c:y val="-0.005927479388503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c:v>
                </c:pt>
                <c:pt idx="1">
                  <c:v>教育支出</c:v>
                </c:pt>
                <c:pt idx="2">
                  <c:v>城乡社区支出</c:v>
                </c:pt>
                <c:pt idx="3">
                  <c:v>文化旅游体育与传媒</c:v>
                </c:pt>
                <c:pt idx="4">
                  <c:v>社会保障和就业</c:v>
                </c:pt>
                <c:pt idx="5">
                  <c:v>卫生健康支出</c:v>
                </c:pt>
                <c:pt idx="6">
                  <c:v>住房保障支出</c:v>
                </c:pt>
              </c:strCache>
            </c:strRef>
          </c:cat>
          <c:val>
            <c:numRef>
              <c:f>Sheet1!$B$2:$B$8</c:f>
              <c:numCache>
                <c:formatCode>General</c:formatCode>
                <c:ptCount val="7"/>
                <c:pt idx="2" c:formatCode="0.00%">
                  <c:v>0.8631</c:v>
                </c:pt>
                <c:pt idx="4" c:formatCode="0.00%">
                  <c:v>0.0781</c:v>
                </c:pt>
                <c:pt idx="5" c:formatCode="0.00%">
                  <c:v>0.0216</c:v>
                </c:pt>
                <c:pt idx="6" c:formatCode="0.00%">
                  <c:v>0.0372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0813323084873941"/>
                  <c:y val="-0.2148607821202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1584702941588"/>
                  <c:y val="0.012427378215578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949349179400113"/>
                      <c:h val="0.077871148459383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formatCode="0.00%">
                  <c:v>0.8571</c:v>
                </c:pt>
                <c:pt idx="2" c:formatCode="0.00%">
                  <c:v>0.1429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8719</Words>
  <Characters>10357</Characters>
  <Lines>7</Lines>
  <Paragraphs>17</Paragraphs>
  <TotalTime>8</TotalTime>
  <ScaleCrop>false</ScaleCrop>
  <LinksUpToDate>false</LinksUpToDate>
  <CharactersWithSpaces>10434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仰泳鲈鱼</cp:lastModifiedBy>
  <cp:lastPrinted>2021-10-09T06:20:00Z</cp:lastPrinted>
  <dcterms:modified xsi:type="dcterms:W3CDTF">2024-10-22T08:10:11Z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17CD0BD99B01473193E70C67F8F58977_13</vt:lpwstr>
  </property>
</Properties>
</file>