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57BAA">
      <w:pPr>
        <w:spacing w:line="600" w:lineRule="exact"/>
        <w:jc w:val="left"/>
        <w:outlineLvl w:val="0"/>
        <w:rPr>
          <w:rFonts w:ascii="方正小标宋简体" w:hAnsi="宋体" w:eastAsia="方正小标宋简体"/>
          <w:szCs w:val="21"/>
        </w:rPr>
      </w:pPr>
      <w:bookmarkStart w:id="0" w:name="_Toc15306267"/>
    </w:p>
    <w:p w14:paraId="294C1F80">
      <w:pPr>
        <w:pStyle w:val="2"/>
        <w:spacing w:before="93"/>
      </w:pPr>
    </w:p>
    <w:p w14:paraId="0118AB63">
      <w:pPr>
        <w:spacing w:line="600" w:lineRule="exact"/>
        <w:jc w:val="center"/>
        <w:outlineLvl w:val="0"/>
        <w:rPr>
          <w:rFonts w:ascii="方正小标宋简体" w:hAnsi="宋体" w:eastAsia="方正小标宋简体"/>
          <w:sz w:val="72"/>
          <w:szCs w:val="72"/>
        </w:rPr>
      </w:pPr>
    </w:p>
    <w:p w14:paraId="5162B20D">
      <w:pPr>
        <w:spacing w:line="600" w:lineRule="exact"/>
        <w:jc w:val="center"/>
        <w:outlineLvl w:val="0"/>
        <w:rPr>
          <w:rFonts w:ascii="方正小标宋简体" w:hAnsi="宋体" w:eastAsia="方正小标宋简体"/>
          <w:sz w:val="72"/>
          <w:szCs w:val="72"/>
        </w:rPr>
      </w:pPr>
    </w:p>
    <w:p w14:paraId="7298CD8B">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193"/>
      <w:bookmarkStart w:id="3" w:name="_Toc15377425"/>
      <w:bookmarkStart w:id="4" w:name="_Toc15396475"/>
      <w:bookmarkStart w:id="5" w:name="_Toc15378441"/>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bookmarkEnd w:id="0"/>
    <w:p w14:paraId="452BC422">
      <w:pPr>
        <w:adjustRightInd w:val="0"/>
        <w:snapToGrid w:val="0"/>
        <w:spacing w:line="360" w:lineRule="auto"/>
        <w:jc w:val="center"/>
        <w:outlineLvl w:val="0"/>
        <w:rPr>
          <w:rFonts w:hint="eastAsia" w:ascii="方正小标宋简体" w:hAnsi="宋体" w:eastAsia="方正小标宋简体"/>
          <w:sz w:val="52"/>
          <w:szCs w:val="52"/>
          <w:lang w:eastAsia="zh-CN"/>
        </w:rPr>
      </w:pPr>
      <w:r>
        <w:rPr>
          <w:rFonts w:hint="eastAsia" w:ascii="方正小标宋简体" w:hAnsi="宋体" w:eastAsia="方正小标宋简体"/>
          <w:sz w:val="52"/>
          <w:szCs w:val="52"/>
          <w:lang w:eastAsia="zh-CN"/>
        </w:rPr>
        <w:t>大竹县文星中心卫生院</w:t>
      </w:r>
    </w:p>
    <w:p w14:paraId="6C2DCEBB">
      <w:pPr>
        <w:adjustRightInd w:val="0"/>
        <w:snapToGrid w:val="0"/>
        <w:spacing w:line="360" w:lineRule="auto"/>
        <w:ind w:firstLine="2600" w:firstLineChars="500"/>
        <w:jc w:val="both"/>
        <w:outlineLvl w:val="0"/>
        <w:rPr>
          <w:rFonts w:ascii="方正小标宋简体" w:hAnsi="宋体" w:eastAsia="方正小标宋简体"/>
          <w:sz w:val="52"/>
          <w:szCs w:val="52"/>
        </w:rPr>
      </w:pPr>
      <w:r>
        <w:rPr>
          <w:rFonts w:hint="eastAsia" w:ascii="方正小标宋简体" w:hAnsi="宋体" w:eastAsia="方正小标宋简体"/>
          <w:sz w:val="52"/>
          <w:szCs w:val="52"/>
          <w:lang w:eastAsia="zh-CN"/>
        </w:rPr>
        <w:t>部门决算公开</w:t>
      </w:r>
    </w:p>
    <w:p w14:paraId="4CA22815">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11CDE7A5">
      <w:pPr>
        <w:widowControl/>
        <w:jc w:val="center"/>
        <w:rPr>
          <w:rFonts w:ascii="黑体" w:hAnsi="黑体" w:eastAsia="黑体" w:cstheme="minorBidi"/>
          <w:sz w:val="28"/>
          <w:szCs w:val="28"/>
        </w:rPr>
      </w:pPr>
    </w:p>
    <w:p w14:paraId="06CA5F0E">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w:t>
      </w:r>
    </w:p>
    <w:p w14:paraId="3CCBBDD7"/>
    <w:p w14:paraId="3F4F8012">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14:paraId="4E43123A">
      <w:pPr>
        <w:pStyle w:val="12"/>
        <w:adjustRightInd w:val="0"/>
        <w:snapToGrid w:val="0"/>
        <w:spacing w:line="440" w:lineRule="exact"/>
        <w:jc w:val="left"/>
        <w:rPr>
          <w:sz w:val="24"/>
        </w:rPr>
      </w:pPr>
      <w:r>
        <w:rPr>
          <w:rFonts w:hint="eastAsia"/>
          <w:sz w:val="24"/>
        </w:rPr>
        <w:t>一、主要职责</w:t>
      </w:r>
    </w:p>
    <w:p w14:paraId="249672E7">
      <w:pPr>
        <w:pStyle w:val="12"/>
        <w:adjustRightInd w:val="0"/>
        <w:snapToGrid w:val="0"/>
        <w:spacing w:line="440" w:lineRule="exact"/>
        <w:jc w:val="left"/>
      </w:pPr>
      <w:r>
        <w:rPr>
          <w:rFonts w:hint="eastAsia"/>
          <w:sz w:val="24"/>
        </w:rPr>
        <w:t>二、机构设置</w:t>
      </w:r>
    </w:p>
    <w:p w14:paraId="5C0D6F2A">
      <w:pPr>
        <w:pStyle w:val="11"/>
        <w:adjustRightInd w:val="0"/>
        <w:snapToGrid w:val="0"/>
        <w:spacing w:before="0" w:line="440" w:lineRule="exact"/>
        <w:jc w:val="left"/>
        <w:rPr>
          <w:sz w:val="24"/>
          <w:szCs w:val="24"/>
        </w:rPr>
      </w:pPr>
      <w:r>
        <w:rPr>
          <w:rFonts w:hint="eastAsia"/>
          <w:sz w:val="24"/>
        </w:rPr>
        <w:t>第二部分 2023年度单位决算情况说明</w:t>
      </w:r>
    </w:p>
    <w:p w14:paraId="32DE4C3E">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4BA55AA6">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14:paraId="7BEFF65F">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14:paraId="4E4FE378">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486891F8">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6C0E25FE">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46F08AA8">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14:paraId="1396D826">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5FD0C7D9">
      <w:pPr>
        <w:pStyle w:val="12"/>
        <w:adjustRightInd w:val="0"/>
        <w:snapToGrid w:val="0"/>
        <w:spacing w:line="440" w:lineRule="exact"/>
        <w:jc w:val="left"/>
        <w:rPr>
          <w:sz w:val="24"/>
        </w:rPr>
      </w:pPr>
      <w:r>
        <w:rPr>
          <w:rFonts w:hint="eastAsia"/>
          <w:sz w:val="24"/>
        </w:rPr>
        <w:t>九、国有资本经营预算支出决算情况说明</w:t>
      </w:r>
    </w:p>
    <w:p w14:paraId="4938326F">
      <w:pPr>
        <w:pStyle w:val="12"/>
        <w:adjustRightInd w:val="0"/>
        <w:snapToGrid w:val="0"/>
        <w:spacing w:line="440" w:lineRule="exact"/>
        <w:jc w:val="left"/>
        <w:rPr>
          <w:sz w:val="24"/>
        </w:rPr>
      </w:pPr>
      <w:r>
        <w:rPr>
          <w:rFonts w:hint="eastAsia"/>
          <w:sz w:val="24"/>
        </w:rPr>
        <w:t>十、其他重要事项的情况说明</w:t>
      </w:r>
    </w:p>
    <w:p w14:paraId="473D48B7">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6ED7A1E0">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2ACBA425">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5E61D7D1">
      <w:pPr>
        <w:pStyle w:val="12"/>
        <w:adjustRightInd w:val="0"/>
        <w:snapToGrid w:val="0"/>
        <w:spacing w:line="440" w:lineRule="exact"/>
        <w:jc w:val="left"/>
        <w:rPr>
          <w:sz w:val="24"/>
        </w:rPr>
      </w:pPr>
      <w:r>
        <w:rPr>
          <w:rFonts w:hint="eastAsia"/>
          <w:sz w:val="24"/>
        </w:rPr>
        <w:t>一、收入支出决算总表</w:t>
      </w:r>
    </w:p>
    <w:p w14:paraId="4D58DBA1">
      <w:pPr>
        <w:pStyle w:val="12"/>
        <w:adjustRightInd w:val="0"/>
        <w:snapToGrid w:val="0"/>
        <w:spacing w:line="440" w:lineRule="exact"/>
        <w:jc w:val="left"/>
        <w:rPr>
          <w:sz w:val="24"/>
        </w:rPr>
      </w:pPr>
      <w:r>
        <w:rPr>
          <w:rFonts w:hint="eastAsia"/>
          <w:sz w:val="24"/>
        </w:rPr>
        <w:t>二、收入决算表</w:t>
      </w:r>
    </w:p>
    <w:p w14:paraId="6BAC3B22">
      <w:pPr>
        <w:pStyle w:val="12"/>
        <w:adjustRightInd w:val="0"/>
        <w:snapToGrid w:val="0"/>
        <w:spacing w:line="440" w:lineRule="exact"/>
        <w:jc w:val="left"/>
        <w:rPr>
          <w:sz w:val="24"/>
        </w:rPr>
      </w:pPr>
      <w:r>
        <w:rPr>
          <w:rFonts w:hint="eastAsia"/>
          <w:sz w:val="24"/>
        </w:rPr>
        <w:t>三、支出决算表</w:t>
      </w:r>
    </w:p>
    <w:p w14:paraId="269FEE53">
      <w:pPr>
        <w:pStyle w:val="12"/>
        <w:adjustRightInd w:val="0"/>
        <w:snapToGrid w:val="0"/>
        <w:spacing w:line="440" w:lineRule="exact"/>
        <w:jc w:val="left"/>
        <w:rPr>
          <w:sz w:val="24"/>
        </w:rPr>
      </w:pPr>
      <w:r>
        <w:rPr>
          <w:rFonts w:hint="eastAsia"/>
          <w:sz w:val="24"/>
        </w:rPr>
        <w:t>四、财政拨款收入支出决算总表</w:t>
      </w:r>
    </w:p>
    <w:p w14:paraId="462BDF74">
      <w:pPr>
        <w:pStyle w:val="12"/>
        <w:adjustRightInd w:val="0"/>
        <w:snapToGrid w:val="0"/>
        <w:spacing w:line="440" w:lineRule="exact"/>
        <w:jc w:val="left"/>
        <w:rPr>
          <w:sz w:val="24"/>
        </w:rPr>
      </w:pPr>
      <w:r>
        <w:rPr>
          <w:rFonts w:hint="eastAsia"/>
          <w:sz w:val="24"/>
        </w:rPr>
        <w:t>五、财政拨款支出决算明细表</w:t>
      </w:r>
    </w:p>
    <w:p w14:paraId="0B71945D">
      <w:pPr>
        <w:pStyle w:val="12"/>
        <w:adjustRightInd w:val="0"/>
        <w:snapToGrid w:val="0"/>
        <w:spacing w:line="440" w:lineRule="exact"/>
        <w:jc w:val="left"/>
        <w:rPr>
          <w:sz w:val="24"/>
        </w:rPr>
      </w:pPr>
      <w:r>
        <w:rPr>
          <w:rFonts w:hint="eastAsia"/>
          <w:sz w:val="24"/>
        </w:rPr>
        <w:t>六、一般公共预算财政拨款支出决算表</w:t>
      </w:r>
    </w:p>
    <w:p w14:paraId="2BE849ED">
      <w:pPr>
        <w:pStyle w:val="12"/>
        <w:adjustRightInd w:val="0"/>
        <w:snapToGrid w:val="0"/>
        <w:spacing w:line="440" w:lineRule="exact"/>
        <w:jc w:val="left"/>
        <w:rPr>
          <w:sz w:val="24"/>
        </w:rPr>
      </w:pPr>
      <w:r>
        <w:rPr>
          <w:rFonts w:hint="eastAsia"/>
          <w:sz w:val="24"/>
        </w:rPr>
        <w:t>七、一般公共预算财政拨款支出决算明细表</w:t>
      </w:r>
    </w:p>
    <w:p w14:paraId="07CC4A20">
      <w:pPr>
        <w:pStyle w:val="12"/>
        <w:adjustRightInd w:val="0"/>
        <w:snapToGrid w:val="0"/>
        <w:spacing w:line="440" w:lineRule="exact"/>
        <w:jc w:val="left"/>
        <w:rPr>
          <w:sz w:val="24"/>
        </w:rPr>
      </w:pPr>
      <w:r>
        <w:rPr>
          <w:rFonts w:hint="eastAsia"/>
          <w:sz w:val="24"/>
        </w:rPr>
        <w:t>八、一般公共预算财政拨款基本支出决算明细表</w:t>
      </w:r>
    </w:p>
    <w:p w14:paraId="7266534B">
      <w:pPr>
        <w:pStyle w:val="12"/>
        <w:adjustRightInd w:val="0"/>
        <w:snapToGrid w:val="0"/>
        <w:spacing w:line="440" w:lineRule="exact"/>
        <w:jc w:val="left"/>
        <w:rPr>
          <w:sz w:val="24"/>
        </w:rPr>
      </w:pPr>
      <w:r>
        <w:rPr>
          <w:rFonts w:hint="eastAsia"/>
          <w:sz w:val="24"/>
        </w:rPr>
        <w:t>九、一般公共预算财政拨款项目支出决算表</w:t>
      </w:r>
    </w:p>
    <w:p w14:paraId="12673B74">
      <w:pPr>
        <w:pStyle w:val="12"/>
        <w:adjustRightInd w:val="0"/>
        <w:snapToGrid w:val="0"/>
        <w:spacing w:line="440" w:lineRule="exact"/>
        <w:jc w:val="left"/>
        <w:rPr>
          <w:sz w:val="24"/>
        </w:rPr>
      </w:pPr>
      <w:r>
        <w:rPr>
          <w:rFonts w:hint="eastAsia"/>
          <w:sz w:val="24"/>
        </w:rPr>
        <w:t>十、政府性基金预算财政拨款收入支出决算表</w:t>
      </w:r>
    </w:p>
    <w:p w14:paraId="18920609">
      <w:pPr>
        <w:pStyle w:val="12"/>
        <w:adjustRightInd w:val="0"/>
        <w:snapToGrid w:val="0"/>
        <w:spacing w:line="440" w:lineRule="exact"/>
        <w:jc w:val="left"/>
        <w:rPr>
          <w:sz w:val="24"/>
        </w:rPr>
      </w:pPr>
      <w:r>
        <w:rPr>
          <w:rFonts w:hint="eastAsia"/>
          <w:sz w:val="24"/>
        </w:rPr>
        <w:t>十一、国有资本经营预算财政拨款收入支出决算表</w:t>
      </w:r>
    </w:p>
    <w:p w14:paraId="045787B4">
      <w:pPr>
        <w:pStyle w:val="12"/>
        <w:adjustRightInd w:val="0"/>
        <w:snapToGrid w:val="0"/>
        <w:spacing w:line="440" w:lineRule="exact"/>
        <w:jc w:val="left"/>
        <w:rPr>
          <w:sz w:val="24"/>
        </w:rPr>
      </w:pPr>
      <w:r>
        <w:rPr>
          <w:rFonts w:hint="eastAsia"/>
          <w:sz w:val="24"/>
        </w:rPr>
        <w:t>十二、国有资本经营预算财政拨款支出决算表</w:t>
      </w:r>
    </w:p>
    <w:p w14:paraId="790F2134">
      <w:pPr>
        <w:pStyle w:val="12"/>
        <w:adjustRightInd w:val="0"/>
        <w:snapToGrid w:val="0"/>
        <w:spacing w:line="440" w:lineRule="exact"/>
        <w:jc w:val="left"/>
        <w:rPr>
          <w:sz w:val="24"/>
        </w:rPr>
      </w:pPr>
      <w:r>
        <w:rPr>
          <w:rFonts w:hint="eastAsia"/>
          <w:sz w:val="24"/>
        </w:rPr>
        <w:t>十三、财政拨款“三公”经费支出决算表</w:t>
      </w:r>
    </w:p>
    <w:p w14:paraId="3D3E2B80">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14:paraId="613A1CF2">
      <w:pPr>
        <w:widowControl/>
        <w:spacing w:line="440" w:lineRule="exact"/>
        <w:jc w:val="left"/>
        <w:rPr>
          <w:rFonts w:ascii="仿宋" w:hAnsi="仿宋" w:eastAsia="仿宋"/>
          <w:bCs/>
          <w:kern w:val="44"/>
          <w:sz w:val="24"/>
        </w:rPr>
      </w:pPr>
      <w:bookmarkStart w:id="6" w:name="_Toc15377196"/>
      <w:bookmarkStart w:id="7" w:name="_Toc15396599"/>
      <w:r>
        <w:rPr>
          <w:rFonts w:ascii="仿宋" w:hAnsi="仿宋" w:eastAsia="仿宋"/>
          <w:b/>
          <w:sz w:val="24"/>
        </w:rPr>
        <w:br w:type="page"/>
      </w:r>
    </w:p>
    <w:p w14:paraId="5C68D9A0">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6"/>
      <w:bookmarkEnd w:id="7"/>
    </w:p>
    <w:p w14:paraId="051FAAC2">
      <w:pPr>
        <w:widowControl/>
        <w:jc w:val="left"/>
        <w:rPr>
          <w:rFonts w:ascii="黑体" w:eastAsia="黑体"/>
          <w:sz w:val="32"/>
          <w:szCs w:val="32"/>
        </w:rPr>
      </w:pPr>
    </w:p>
    <w:p w14:paraId="078FA8B4">
      <w:pPr>
        <w:pStyle w:val="4"/>
        <w:numPr>
          <w:ilvl w:val="0"/>
          <w:numId w:val="1"/>
        </w:numPr>
        <w:rPr>
          <w:rStyle w:val="28"/>
          <w:rFonts w:ascii="黑体" w:hAnsi="黑体" w:eastAsia="黑体"/>
          <w:b w:val="0"/>
          <w:bCs w:val="0"/>
        </w:rPr>
      </w:pPr>
      <w:bookmarkStart w:id="8" w:name="_Toc15396600"/>
      <w:bookmarkStart w:id="9" w:name="_Toc15377197"/>
      <w:r>
        <w:rPr>
          <w:rStyle w:val="28"/>
          <w:rFonts w:hint="eastAsia" w:ascii="黑体" w:hAnsi="黑体" w:eastAsia="黑体"/>
          <w:b w:val="0"/>
          <w:bCs w:val="0"/>
        </w:rPr>
        <w:t>主要职责</w:t>
      </w:r>
    </w:p>
    <w:p w14:paraId="0868DEF3">
      <w:pPr>
        <w:ind w:firstLine="640" w:firstLineChars="200"/>
        <w:rPr>
          <w:rFonts w:hint="eastAsia"/>
          <w:lang w:eastAsia="zh-CN"/>
        </w:rPr>
      </w:pPr>
      <w:r>
        <w:rPr>
          <w:rFonts w:hint="eastAsia" w:ascii="仿宋_GB2312" w:hAnsi="Times New Roman" w:eastAsia="仿宋_GB2312" w:cs="Times New Roman"/>
          <w:bCs/>
          <w:color w:val="auto"/>
          <w:kern w:val="0"/>
          <w:sz w:val="32"/>
          <w:szCs w:val="32"/>
          <w:lang w:val="en-US" w:eastAsia="zh-CN" w:bidi="ar-SA"/>
        </w:rPr>
        <w:t>贯彻执行党的卫生工作方针</w:t>
      </w:r>
      <w:r>
        <w:rPr>
          <w:rFonts w:hint="eastAsia" w:ascii="仿宋_GB2312" w:eastAsia="仿宋_GB2312" w:cs="Times New Roman"/>
          <w:bCs/>
          <w:color w:val="auto"/>
          <w:kern w:val="0"/>
          <w:sz w:val="32"/>
          <w:szCs w:val="32"/>
          <w:lang w:val="en-US" w:eastAsia="zh-CN" w:bidi="ar-SA"/>
        </w:rPr>
        <w:t>政策</w:t>
      </w:r>
      <w:r>
        <w:rPr>
          <w:rFonts w:hint="eastAsia" w:ascii="仿宋_GB2312" w:hAnsi="Times New Roman" w:eastAsia="仿宋_GB2312" w:cs="Times New Roman"/>
          <w:bCs/>
          <w:color w:val="auto"/>
          <w:kern w:val="0"/>
          <w:sz w:val="32"/>
          <w:szCs w:val="32"/>
          <w:lang w:val="en-US" w:eastAsia="zh-CN" w:bidi="ar-SA"/>
        </w:rPr>
        <w:t>和卫生法律、法规；提供基本医疗服务</w:t>
      </w:r>
      <w:r>
        <w:rPr>
          <w:rFonts w:hint="eastAsia" w:cs="Times New Roman"/>
          <w:bCs/>
          <w:color w:val="auto"/>
          <w:kern w:val="0"/>
          <w:sz w:val="32"/>
          <w:szCs w:val="32"/>
          <w:lang w:val="en-US" w:eastAsia="zh-CN" w:bidi="ar-SA"/>
        </w:rPr>
        <w:t>，</w:t>
      </w:r>
      <w:r>
        <w:rPr>
          <w:rFonts w:hint="eastAsia" w:ascii="仿宋_GB2312" w:hAnsi="Times New Roman" w:eastAsia="仿宋_GB2312" w:cs="Times New Roman"/>
          <w:bCs/>
          <w:color w:val="auto"/>
          <w:kern w:val="0"/>
          <w:sz w:val="32"/>
          <w:szCs w:val="32"/>
          <w:lang w:val="en-US" w:eastAsia="zh-CN" w:bidi="ar-SA"/>
        </w:rPr>
        <w:t>面向居民提供综合性卫生服务，为人民身体健康提供医疗与预防保健服务</w:t>
      </w:r>
      <w:r>
        <w:rPr>
          <w:rFonts w:hint="eastAsia" w:cs="Times New Roman"/>
          <w:bCs/>
          <w:color w:val="auto"/>
          <w:kern w:val="0"/>
          <w:sz w:val="32"/>
          <w:szCs w:val="32"/>
          <w:lang w:val="en-US" w:eastAsia="zh-CN" w:bidi="ar-SA"/>
        </w:rPr>
        <w:t>；</w:t>
      </w:r>
      <w:r>
        <w:rPr>
          <w:rFonts w:hint="eastAsia" w:ascii="仿宋_GB2312" w:hAnsi="Times New Roman" w:eastAsia="仿宋_GB2312" w:cs="Times New Roman"/>
          <w:bCs/>
          <w:color w:val="auto"/>
          <w:kern w:val="0"/>
          <w:sz w:val="32"/>
          <w:szCs w:val="32"/>
          <w:lang w:val="en-US" w:eastAsia="zh-CN" w:bidi="ar-SA"/>
        </w:rPr>
        <w:t>公共卫生工作的组织和实施</w:t>
      </w:r>
      <w:r>
        <w:rPr>
          <w:rFonts w:hint="eastAsia" w:cs="Times New Roman"/>
          <w:bCs/>
          <w:color w:val="auto"/>
          <w:kern w:val="0"/>
          <w:sz w:val="32"/>
          <w:szCs w:val="32"/>
          <w:lang w:val="en-US" w:eastAsia="zh-CN" w:bidi="ar-SA"/>
        </w:rPr>
        <w:t>；</w:t>
      </w:r>
      <w:r>
        <w:rPr>
          <w:rFonts w:hint="eastAsia" w:ascii="仿宋_GB2312" w:hAnsi="Times New Roman" w:eastAsia="仿宋_GB2312" w:cs="Times New Roman"/>
          <w:bCs/>
          <w:color w:val="auto"/>
          <w:kern w:val="0"/>
          <w:sz w:val="32"/>
          <w:szCs w:val="32"/>
          <w:lang w:val="en-US" w:eastAsia="zh-CN" w:bidi="ar-SA"/>
        </w:rPr>
        <w:t>卫生信息</w:t>
      </w:r>
      <w:r>
        <w:rPr>
          <w:rFonts w:hint="eastAsia" w:ascii="仿宋_GB2312" w:eastAsia="仿宋_GB2312" w:cs="Times New Roman"/>
          <w:bCs/>
          <w:color w:val="auto"/>
          <w:kern w:val="0"/>
          <w:sz w:val="32"/>
          <w:szCs w:val="32"/>
          <w:lang w:val="en-US" w:eastAsia="zh-CN" w:bidi="ar-SA"/>
        </w:rPr>
        <w:t>的</w:t>
      </w:r>
      <w:r>
        <w:rPr>
          <w:rFonts w:hint="eastAsia" w:ascii="仿宋_GB2312" w:hAnsi="Times New Roman" w:eastAsia="仿宋_GB2312" w:cs="Times New Roman"/>
          <w:bCs/>
          <w:color w:val="auto"/>
          <w:kern w:val="0"/>
          <w:sz w:val="32"/>
          <w:szCs w:val="32"/>
          <w:lang w:val="en-US" w:eastAsia="zh-CN" w:bidi="ar-SA"/>
        </w:rPr>
        <w:t>统计、分析、上报</w:t>
      </w:r>
      <w:r>
        <w:rPr>
          <w:rFonts w:hint="eastAsia" w:cs="Times New Roman"/>
          <w:bCs/>
          <w:color w:val="auto"/>
          <w:kern w:val="0"/>
          <w:sz w:val="32"/>
          <w:szCs w:val="32"/>
          <w:lang w:val="en-US" w:eastAsia="zh-CN" w:bidi="ar-SA"/>
        </w:rPr>
        <w:t>；</w:t>
      </w:r>
      <w:r>
        <w:rPr>
          <w:rFonts w:hint="eastAsia" w:ascii="仿宋_GB2312" w:hAnsi="Times New Roman" w:eastAsia="仿宋_GB2312" w:cs="Times New Roman"/>
          <w:bCs/>
          <w:color w:val="auto"/>
          <w:kern w:val="0"/>
          <w:sz w:val="32"/>
          <w:szCs w:val="32"/>
          <w:lang w:val="en-US" w:eastAsia="zh-CN" w:bidi="ar-SA"/>
        </w:rPr>
        <w:t>对卫生人员的业务指导和培训</w:t>
      </w:r>
      <w:r>
        <w:rPr>
          <w:rFonts w:hint="eastAsia" w:cs="Times New Roman"/>
          <w:bCs/>
          <w:color w:val="auto"/>
          <w:kern w:val="0"/>
          <w:sz w:val="32"/>
          <w:szCs w:val="32"/>
          <w:lang w:val="en-US" w:eastAsia="zh-CN" w:bidi="ar-SA"/>
        </w:rPr>
        <w:t>；</w:t>
      </w:r>
      <w:r>
        <w:rPr>
          <w:rFonts w:hint="eastAsia" w:ascii="仿宋_GB2312" w:hAnsi="Times New Roman" w:eastAsia="仿宋_GB2312" w:cs="Times New Roman"/>
          <w:bCs/>
          <w:color w:val="auto"/>
          <w:kern w:val="0"/>
          <w:sz w:val="32"/>
          <w:szCs w:val="32"/>
          <w:lang w:val="en-US" w:eastAsia="zh-CN" w:bidi="ar-SA"/>
        </w:rPr>
        <w:t>突发公共卫生事件的报告，并依据上级部门要求组织实施处置</w:t>
      </w:r>
      <w:r>
        <w:rPr>
          <w:rFonts w:hint="eastAsia" w:cs="Times New Roman"/>
          <w:bCs/>
          <w:color w:val="auto"/>
          <w:kern w:val="0"/>
          <w:sz w:val="32"/>
          <w:szCs w:val="32"/>
          <w:lang w:val="en-US" w:eastAsia="zh-CN" w:bidi="ar-SA"/>
        </w:rPr>
        <w:t>；</w:t>
      </w:r>
      <w:r>
        <w:rPr>
          <w:rFonts w:hint="eastAsia" w:ascii="仿宋_GB2312" w:hAnsi="Times New Roman" w:eastAsia="仿宋_GB2312" w:cs="Times New Roman"/>
          <w:bCs/>
          <w:color w:val="auto"/>
          <w:kern w:val="0"/>
          <w:sz w:val="32"/>
          <w:szCs w:val="32"/>
          <w:lang w:val="en-US" w:eastAsia="zh-CN" w:bidi="ar-SA"/>
        </w:rPr>
        <w:t>上级卫生行政部门下达的其他工作</w:t>
      </w:r>
      <w:r>
        <w:rPr>
          <w:rFonts w:hint="eastAsia" w:ascii="仿宋_GB2312" w:eastAsia="仿宋_GB2312" w:cs="Times New Roman"/>
          <w:bCs/>
          <w:color w:val="auto"/>
          <w:kern w:val="0"/>
          <w:sz w:val="32"/>
          <w:szCs w:val="32"/>
          <w:lang w:val="en-US" w:eastAsia="zh-CN" w:bidi="ar-SA"/>
        </w:rPr>
        <w:t>。</w:t>
      </w:r>
    </w:p>
    <w:p w14:paraId="71FACC5E"/>
    <w:p w14:paraId="71E93723">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bookmarkEnd w:id="8"/>
      <w:bookmarkEnd w:id="9"/>
    </w:p>
    <w:p w14:paraId="0DC90BA2">
      <w:pPr>
        <w:ind w:firstLine="640" w:firstLineChars="200"/>
        <w:rPr>
          <w:rFonts w:hint="eastAsia" w:ascii="仿宋_GB2312" w:hAnsi="Times New Roman" w:eastAsia="仿宋_GB2312" w:cs="Times New Roman"/>
          <w:bCs/>
          <w:color w:val="auto"/>
          <w:kern w:val="0"/>
          <w:sz w:val="32"/>
          <w:szCs w:val="32"/>
          <w:lang w:val="en-US" w:eastAsia="zh-CN" w:bidi="ar-SA"/>
        </w:rPr>
      </w:pPr>
      <w:r>
        <w:rPr>
          <w:rFonts w:hint="eastAsia" w:ascii="仿宋_GB2312" w:hAnsi="Times New Roman" w:eastAsia="仿宋_GB2312" w:cs="Times New Roman"/>
          <w:bCs/>
          <w:color w:val="auto"/>
          <w:kern w:val="0"/>
          <w:sz w:val="32"/>
          <w:szCs w:val="32"/>
          <w:lang w:val="en-US" w:eastAsia="zh-CN" w:bidi="ar-SA"/>
        </w:rPr>
        <w:t>大竹县文星中心卫生院下属二级预算单位0个，其中行政单位0个，参照公务员法管理的事业单位0个，其他事业单位0个。</w:t>
      </w:r>
    </w:p>
    <w:p w14:paraId="7A3DC1C4">
      <w:pPr>
        <w:numPr>
          <w:ilvl w:val="0"/>
          <w:numId w:val="0"/>
        </w:numPr>
        <w:ind w:leftChars="0"/>
        <w:rPr>
          <w:rFonts w:hint="eastAsia" w:ascii="仿宋" w:hAnsi="仿宋" w:eastAsia="仿宋"/>
          <w:sz w:val="32"/>
          <w:szCs w:val="32"/>
          <w:lang w:val="en-US" w:eastAsia="zh-CN"/>
        </w:rPr>
      </w:pPr>
      <w:r>
        <w:rPr>
          <w:rFonts w:hint="eastAsia" w:ascii="仿宋" w:hAnsi="仿宋" w:eastAsia="仿宋"/>
          <w:sz w:val="32"/>
          <w:szCs w:val="32"/>
          <w:lang w:eastAsia="zh-CN"/>
        </w:rPr>
        <w:t>纳入</w:t>
      </w:r>
      <w:r>
        <w:rPr>
          <w:rFonts w:hint="eastAsia" w:ascii="仿宋" w:hAnsi="仿宋" w:eastAsia="仿宋"/>
          <w:sz w:val="32"/>
          <w:szCs w:val="32"/>
          <w:lang w:val="en-US" w:eastAsia="zh-CN"/>
        </w:rPr>
        <w:t>2023年度部门决算编制范围的二级预算单位包括：无。</w:t>
      </w:r>
    </w:p>
    <w:p w14:paraId="5063F30F">
      <w:pPr>
        <w:numPr>
          <w:ilvl w:val="0"/>
          <w:numId w:val="0"/>
        </w:numPr>
        <w:snapToGrid w:val="0"/>
        <w:spacing w:line="520" w:lineRule="exact"/>
        <w:ind w:firstLine="320" w:firstLineChars="100"/>
        <w:rPr>
          <w:rFonts w:hint="eastAsia" w:ascii="仿宋_GB2312" w:hAnsi="仿宋" w:eastAsia="仿宋_GB2312"/>
          <w:sz w:val="32"/>
          <w:szCs w:val="32"/>
        </w:rPr>
      </w:pPr>
      <w:r>
        <w:rPr>
          <w:rFonts w:hint="eastAsia" w:ascii="仿宋_GB2312" w:hAnsi="仿宋" w:eastAsia="仿宋_GB2312"/>
          <w:sz w:val="32"/>
          <w:szCs w:val="32"/>
        </w:rPr>
        <w:t>人员情况，包括当年变动情况及原因。</w:t>
      </w:r>
    </w:p>
    <w:p w14:paraId="4F74E370">
      <w:pPr>
        <w:pStyle w:val="2"/>
        <w:numPr>
          <w:ilvl w:val="0"/>
          <w:numId w:val="0"/>
        </w:numPr>
        <w:ind w:firstLine="640" w:firstLineChars="200"/>
        <w:rPr>
          <w:rFonts w:hint="eastAsia"/>
        </w:rPr>
      </w:pPr>
      <w:r>
        <w:rPr>
          <w:rFonts w:hint="default" w:ascii="Times New Roman" w:hAnsi="Times New Roman" w:eastAsia="仿宋_GB2312" w:cs="Times New Roman"/>
          <w:sz w:val="32"/>
          <w:szCs w:val="32"/>
          <w:lang w:val="en-US" w:eastAsia="zh-CN"/>
        </w:rPr>
        <w:t>我院编制</w:t>
      </w:r>
      <w:r>
        <w:rPr>
          <w:rFonts w:hint="eastAsia" w:ascii="Times New Roman" w:hAnsi="Times New Roman" w:eastAsia="仿宋_GB2312" w:cs="Times New Roman"/>
          <w:sz w:val="32"/>
          <w:szCs w:val="32"/>
          <w:lang w:val="en-US" w:eastAsia="zh-CN"/>
        </w:rPr>
        <w:t>数60</w:t>
      </w:r>
      <w:r>
        <w:rPr>
          <w:rFonts w:hint="default" w:ascii="Times New Roman" w:hAnsi="Times New Roman" w:eastAsia="仿宋_GB2312" w:cs="Times New Roman"/>
          <w:sz w:val="32"/>
          <w:szCs w:val="32"/>
          <w:lang w:val="en-US" w:eastAsia="zh-CN"/>
        </w:rPr>
        <w:t>人，现有在岗职工</w:t>
      </w:r>
      <w:r>
        <w:rPr>
          <w:rFonts w:hint="eastAsia"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lang w:val="en-US" w:eastAsia="zh-CN"/>
        </w:rPr>
        <w:t>人</w:t>
      </w:r>
      <w:r>
        <w:rPr>
          <w:rFonts w:hint="default" w:ascii="Times New Roman" w:hAnsi="Times New Roman" w:cs="Times New Roman"/>
          <w:sz w:val="32"/>
          <w:szCs w:val="32"/>
          <w:lang w:val="en-US" w:eastAsia="zh-CN"/>
        </w:rPr>
        <w:t>，</w:t>
      </w:r>
      <w:r>
        <w:rPr>
          <w:rFonts w:ascii="仿宋_GB2312" w:eastAsia="仿宋_GB2312" w:cs="仿宋_GB2312"/>
          <w:color w:val="000000"/>
          <w:kern w:val="0"/>
          <w:sz w:val="32"/>
          <w:szCs w:val="32"/>
          <w:lang w:bidi="ar"/>
        </w:rPr>
        <w:t>上年</w:t>
      </w:r>
      <w:r>
        <w:rPr>
          <w:rFonts w:hint="eastAsia" w:ascii="仿宋_GB2312" w:eastAsia="仿宋_GB2312" w:cs="仿宋_GB2312"/>
          <w:color w:val="000000"/>
          <w:kern w:val="0"/>
          <w:sz w:val="32"/>
          <w:szCs w:val="32"/>
          <w:lang w:val="en-US" w:eastAsia="zh-CN" w:bidi="ar"/>
        </w:rPr>
        <w:t>67</w:t>
      </w:r>
      <w:r>
        <w:rPr>
          <w:rFonts w:hint="eastAsia" w:ascii="仿宋_GB2312" w:eastAsia="仿宋_GB2312" w:cs="仿宋_GB2312"/>
          <w:color w:val="000000"/>
          <w:kern w:val="0"/>
          <w:sz w:val="32"/>
          <w:szCs w:val="32"/>
          <w:lang w:bidi="ar"/>
        </w:rPr>
        <w:t>人</w:t>
      </w:r>
      <w:r>
        <w:rPr>
          <w:rFonts w:hint="eastAsia" w:ascii="仿宋_GB2312" w:eastAsia="仿宋_GB2312" w:cs="仿宋_GB2312"/>
          <w:color w:val="000000"/>
          <w:kern w:val="0"/>
          <w:sz w:val="32"/>
          <w:szCs w:val="32"/>
          <w:lang w:eastAsia="zh-CN" w:bidi="ar"/>
        </w:rPr>
        <w:t>。</w:t>
      </w:r>
      <w:r>
        <w:rPr>
          <w:rFonts w:hint="eastAsia" w:ascii="仿宋_GB2312" w:eastAsia="仿宋_GB2312" w:cs="仿宋_GB2312"/>
          <w:color w:val="000000"/>
          <w:kern w:val="0"/>
          <w:sz w:val="32"/>
          <w:szCs w:val="32"/>
          <w:lang w:val="en-US" w:eastAsia="zh-CN" w:bidi="ar"/>
        </w:rPr>
        <w:t>变动原因：2023年度退休</w:t>
      </w:r>
      <w:r>
        <w:rPr>
          <w:rFonts w:hint="eastAsia" w:cs="仿宋_GB2312"/>
          <w:color w:val="000000"/>
          <w:kern w:val="0"/>
          <w:sz w:val="32"/>
          <w:szCs w:val="32"/>
          <w:lang w:val="en-US" w:eastAsia="zh-CN" w:bidi="ar"/>
        </w:rPr>
        <w:t>人员</w:t>
      </w:r>
      <w:r>
        <w:rPr>
          <w:rFonts w:hint="eastAsia" w:ascii="仿宋_GB2312" w:eastAsia="仿宋_GB2312" w:cs="仿宋_GB2312"/>
          <w:color w:val="000000"/>
          <w:kern w:val="0"/>
          <w:sz w:val="32"/>
          <w:szCs w:val="32"/>
          <w:lang w:val="en-US" w:eastAsia="zh-CN" w:bidi="ar"/>
        </w:rPr>
        <w:t>3人，调动3人，辞职1人。</w:t>
      </w:r>
    </w:p>
    <w:p w14:paraId="7D7C09D9">
      <w:pPr>
        <w:pStyle w:val="2"/>
        <w:rPr>
          <w:rFonts w:hint="default"/>
          <w:lang w:val="en-US" w:eastAsia="zh-CN"/>
        </w:rPr>
      </w:pPr>
    </w:p>
    <w:p w14:paraId="4C953E73">
      <w:pPr>
        <w:widowControl/>
        <w:jc w:val="left"/>
        <w:rPr>
          <w:rFonts w:ascii="仿宋" w:hAnsi="仿宋" w:eastAsia="仿宋"/>
          <w:kern w:val="0"/>
          <w:sz w:val="32"/>
          <w:szCs w:val="32"/>
        </w:rPr>
      </w:pPr>
    </w:p>
    <w:p w14:paraId="0680ED2F">
      <w:pPr>
        <w:pStyle w:val="3"/>
        <w:ind w:right="440"/>
        <w:jc w:val="center"/>
        <w:rPr>
          <w:rFonts w:hint="eastAsia" w:ascii="黑体" w:hAnsi="黑体" w:eastAsia="黑体"/>
          <w:b w:val="0"/>
        </w:rPr>
      </w:pPr>
      <w:bookmarkStart w:id="10" w:name="_Toc15377204"/>
      <w:bookmarkStart w:id="11" w:name="_Toc15396602"/>
    </w:p>
    <w:p w14:paraId="1609FF47">
      <w:pPr>
        <w:pStyle w:val="3"/>
        <w:ind w:right="440"/>
        <w:jc w:val="center"/>
        <w:rPr>
          <w:rStyle w:val="27"/>
          <w:rFonts w:ascii="黑体" w:hAnsi="黑体" w:eastAsia="黑体"/>
          <w:b w:val="0"/>
          <w:bCs/>
        </w:rPr>
      </w:pPr>
      <w:r>
        <w:rPr>
          <w:rFonts w:hint="eastAsia" w:ascii="黑体" w:hAnsi="黑体" w:eastAsia="黑体"/>
          <w:b w:val="0"/>
        </w:rPr>
        <w:t>第二部分 2023年度</w:t>
      </w:r>
      <w:r>
        <w:rPr>
          <w:rStyle w:val="27"/>
          <w:rFonts w:hint="eastAsia" w:ascii="黑体" w:hAnsi="黑体" w:eastAsia="黑体"/>
          <w:b w:val="0"/>
          <w:bCs/>
        </w:rPr>
        <w:t>单位决算情况说明</w:t>
      </w:r>
      <w:bookmarkEnd w:id="10"/>
      <w:bookmarkEnd w:id="11"/>
    </w:p>
    <w:p w14:paraId="73632F01"/>
    <w:p w14:paraId="6E8ADA7F">
      <w:pPr>
        <w:pStyle w:val="26"/>
        <w:numPr>
          <w:ilvl w:val="0"/>
          <w:numId w:val="2"/>
        </w:numPr>
        <w:spacing w:line="600" w:lineRule="exact"/>
        <w:ind w:firstLineChars="0"/>
        <w:outlineLvl w:val="1"/>
        <w:rPr>
          <w:rStyle w:val="28"/>
          <w:rFonts w:ascii="黑体" w:hAnsi="黑体" w:eastAsia="黑体"/>
          <w:b w:val="0"/>
        </w:rPr>
      </w:pPr>
      <w:bookmarkStart w:id="12" w:name="_Toc15377205"/>
      <w:bookmarkStart w:id="13"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12"/>
      <w:bookmarkEnd w:id="13"/>
    </w:p>
    <w:p w14:paraId="6BBD44BB">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1221.91</w:t>
      </w:r>
      <w:r>
        <w:rPr>
          <w:rFonts w:hint="eastAsia" w:ascii="仿宋" w:hAnsi="仿宋" w:eastAsia="仿宋"/>
          <w:sz w:val="32"/>
          <w:szCs w:val="32"/>
        </w:rPr>
        <w:t>万元。与2022年度相比，收、支总计减少</w:t>
      </w:r>
      <w:r>
        <w:rPr>
          <w:rFonts w:hint="eastAsia" w:ascii="Times New Roman" w:hAnsi="Times New Roman" w:eastAsia="仿宋" w:cs="Times New Roman"/>
          <w:color w:val="auto"/>
          <w:sz w:val="32"/>
          <w:szCs w:val="32"/>
          <w:highlight w:val="none"/>
          <w:lang w:val="en-US" w:eastAsia="zh-CN"/>
        </w:rPr>
        <w:t>18.89</w:t>
      </w:r>
      <w:r>
        <w:rPr>
          <w:rFonts w:hint="eastAsia" w:ascii="仿宋" w:hAnsi="仿宋" w:eastAsia="仿宋"/>
          <w:sz w:val="32"/>
          <w:szCs w:val="32"/>
        </w:rPr>
        <w:t>万元，下降</w:t>
      </w:r>
      <w:r>
        <w:rPr>
          <w:rFonts w:hint="eastAsia" w:ascii="仿宋" w:hAnsi="仿宋" w:eastAsia="仿宋"/>
          <w:sz w:val="32"/>
          <w:szCs w:val="32"/>
          <w:lang w:val="en-US" w:eastAsia="zh-CN"/>
        </w:rPr>
        <w:t>1.52</w:t>
      </w:r>
      <w:r>
        <w:rPr>
          <w:rFonts w:ascii="仿宋" w:hAnsi="仿宋" w:eastAsia="仿宋"/>
          <w:sz w:val="32"/>
          <w:szCs w:val="32"/>
        </w:rPr>
        <w:t>%</w:t>
      </w:r>
      <w:r>
        <w:rPr>
          <w:rFonts w:hint="eastAsia" w:ascii="仿宋" w:hAnsi="仿宋" w:eastAsia="仿宋"/>
          <w:sz w:val="32"/>
          <w:szCs w:val="32"/>
        </w:rPr>
        <w:t>。主要变动原因是</w:t>
      </w:r>
      <w:r>
        <w:rPr>
          <w:rFonts w:hint="default" w:ascii="Times New Roman" w:hAnsi="Times New Roman" w:eastAsia="仿宋" w:cs="Times New Roman"/>
          <w:sz w:val="32"/>
          <w:szCs w:val="32"/>
        </w:rPr>
        <w:t>事业收入</w:t>
      </w:r>
      <w:r>
        <w:rPr>
          <w:rFonts w:hint="eastAsia" w:ascii="Times New Roman" w:hAnsi="Times New Roman" w:eastAsia="仿宋" w:cs="Times New Roman"/>
          <w:sz w:val="32"/>
          <w:szCs w:val="32"/>
          <w:lang w:val="en-US" w:eastAsia="zh-CN"/>
        </w:rPr>
        <w:t>减少</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资金紧张，支出减少</w:t>
      </w:r>
      <w:r>
        <w:rPr>
          <w:rFonts w:hint="default" w:ascii="Times New Roman" w:hAnsi="Times New Roman" w:eastAsia="仿宋" w:cs="Times New Roman"/>
          <w:sz w:val="32"/>
          <w:szCs w:val="32"/>
        </w:rPr>
        <w:t>。</w:t>
      </w:r>
    </w:p>
    <w:p w14:paraId="7DBDE000">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78C6A6CA">
      <w:pPr>
        <w:pStyle w:val="2"/>
        <w:rPr>
          <w:rFonts w:ascii="仿宋_GB2312" w:eastAsia="仿宋_GB2312"/>
          <w:sz w:val="32"/>
          <w:szCs w:val="32"/>
        </w:rPr>
      </w:pPr>
    </w:p>
    <w:p w14:paraId="7E537733">
      <w:pPr>
        <w:pStyle w:val="2"/>
        <w:rPr>
          <w:rFonts w:ascii="仿宋_GB2312" w:eastAsia="仿宋_GB2312"/>
          <w:sz w:val="32"/>
          <w:szCs w:val="32"/>
        </w:rPr>
      </w:pPr>
      <w:r>
        <w:rPr>
          <w:rFonts w:hint="eastAsia" w:ascii="仿宋_GB2312" w:hAnsi="仿宋" w:eastAsia="仿宋_GB2312"/>
          <w:sz w:val="32"/>
          <w:szCs w:val="32"/>
          <w:lang w:eastAsia="zh-CN"/>
        </w:rPr>
        <w:object>
          <v:shape id="_x0000_i1025" o:spt="75" type="#_x0000_t75" style="height:222.75pt;width:407.3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14:paraId="45D1E48A">
      <w:pPr>
        <w:pStyle w:val="26"/>
        <w:numPr>
          <w:ilvl w:val="0"/>
          <w:numId w:val="2"/>
        </w:numPr>
        <w:spacing w:line="600" w:lineRule="exact"/>
        <w:ind w:firstLineChars="0"/>
        <w:outlineLvl w:val="1"/>
        <w:rPr>
          <w:rStyle w:val="28"/>
          <w:rFonts w:ascii="黑体" w:hAnsi="黑体" w:eastAsia="黑体"/>
          <w:b w:val="0"/>
        </w:rPr>
      </w:pPr>
      <w:bookmarkStart w:id="14" w:name="_Toc15396604"/>
      <w:bookmarkStart w:id="15" w:name="_Toc15377206"/>
      <w:r>
        <w:rPr>
          <w:rFonts w:hint="eastAsia" w:ascii="黑体" w:hAnsi="黑体" w:eastAsia="黑体"/>
          <w:sz w:val="32"/>
          <w:szCs w:val="32"/>
        </w:rPr>
        <w:t>收</w:t>
      </w:r>
      <w:r>
        <w:rPr>
          <w:rStyle w:val="28"/>
          <w:rFonts w:hint="eastAsia" w:ascii="黑体" w:hAnsi="黑体" w:eastAsia="黑体"/>
          <w:b w:val="0"/>
        </w:rPr>
        <w:t>入决算情况说明</w:t>
      </w:r>
      <w:bookmarkEnd w:id="14"/>
      <w:bookmarkEnd w:id="15"/>
    </w:p>
    <w:p w14:paraId="3582E104">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1221.91</w:t>
      </w:r>
      <w:r>
        <w:rPr>
          <w:rFonts w:hint="eastAsia" w:ascii="仿宋" w:hAnsi="仿宋" w:eastAsia="仿宋"/>
          <w:sz w:val="32"/>
          <w:szCs w:val="32"/>
        </w:rPr>
        <w:t>万元，其中：一般公共预算财政拨款收入</w:t>
      </w:r>
      <w:r>
        <w:rPr>
          <w:rFonts w:ascii="仿宋" w:hAnsi="仿宋" w:eastAsia="仿宋"/>
          <w:b/>
          <w:sz w:val="32"/>
          <w:szCs w:val="32"/>
        </w:rPr>
        <w:t>150.46</w:t>
      </w:r>
      <w:r>
        <w:rPr>
          <w:rFonts w:hint="eastAsia" w:ascii="仿宋" w:hAnsi="仿宋" w:eastAsia="仿宋"/>
          <w:sz w:val="32"/>
          <w:szCs w:val="32"/>
        </w:rPr>
        <w:t>万元，占</w:t>
      </w:r>
      <w:r>
        <w:rPr>
          <w:rFonts w:ascii="仿宋" w:hAnsi="仿宋" w:eastAsia="仿宋"/>
          <w:b/>
          <w:sz w:val="32"/>
          <w:szCs w:val="32"/>
        </w:rPr>
        <w:t>12.31%</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1071.45</w:t>
      </w:r>
      <w:r>
        <w:rPr>
          <w:rFonts w:hint="eastAsia" w:ascii="仿宋" w:hAnsi="仿宋" w:eastAsia="仿宋"/>
          <w:sz w:val="32"/>
          <w:szCs w:val="32"/>
        </w:rPr>
        <w:t>万元，占</w:t>
      </w:r>
      <w:r>
        <w:rPr>
          <w:rFonts w:ascii="仿宋" w:hAnsi="仿宋" w:eastAsia="仿宋"/>
          <w:b/>
          <w:sz w:val="32"/>
          <w:szCs w:val="32"/>
        </w:rPr>
        <w:t>87.68</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22503626">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14:paraId="3E2E3290">
      <w:pPr>
        <w:spacing w:line="600" w:lineRule="exact"/>
        <w:ind w:firstLine="640" w:firstLineChars="200"/>
        <w:outlineLvl w:val="1"/>
        <w:rPr>
          <w:rFonts w:ascii="仿宋" w:hAnsi="仿宋" w:eastAsia="仿宋"/>
          <w:sz w:val="32"/>
          <w:szCs w:val="32"/>
        </w:rPr>
      </w:pPr>
    </w:p>
    <w:p w14:paraId="21844B7F">
      <w:pPr>
        <w:pStyle w:val="2"/>
        <w:rPr>
          <w:rFonts w:ascii="仿宋" w:hAnsi="仿宋" w:eastAsia="仿宋"/>
          <w:sz w:val="32"/>
          <w:szCs w:val="32"/>
        </w:rPr>
      </w:pPr>
    </w:p>
    <w:p w14:paraId="7095A97A">
      <w:pPr>
        <w:pStyle w:val="2"/>
        <w:rPr>
          <w:rFonts w:ascii="仿宋" w:hAnsi="仿宋" w:eastAsia="仿宋"/>
          <w:sz w:val="32"/>
          <w:szCs w:val="32"/>
        </w:rPr>
      </w:pPr>
      <w:r>
        <w:rPr>
          <w:rFonts w:hint="default"/>
          <w:lang w:val="en-US" w:eastAsia="zh-CN"/>
        </w:rPr>
        <w:object>
          <v:shape id="_x0000_i1026" o:spt="75" type="#_x0000_t75" style="height:189.8pt;width:347.5pt;" o:ole="t" filled="f" o:preferrelative="t" stroked="f" coordsize="21600,21600">
            <v:path/>
            <v:fill on="f" focussize="0,0"/>
            <v:stroke on="f"/>
            <v:imagedata r:id="rId9" o:title=""/>
            <o:lock v:ext="edit" aspectratio="t"/>
            <w10:wrap type="none"/>
            <w10:anchorlock/>
          </v:shape>
          <o:OLEObject Type="Embed" ProgID="Excel.Chart.8" ShapeID="_x0000_i1026" DrawAspect="Content" ObjectID="_1468075726" r:id="rId8">
            <o:LockedField>false</o:LockedField>
          </o:OLEObject>
        </w:object>
      </w:r>
    </w:p>
    <w:p w14:paraId="25001C35">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7B2888C8">
      <w:pPr>
        <w:spacing w:line="600" w:lineRule="exact"/>
        <w:ind w:firstLine="640" w:firstLineChars="200"/>
        <w:rPr>
          <w:rFonts w:ascii="仿宋_GB2312" w:eastAsia="仿宋_GB2312"/>
          <w:sz w:val="32"/>
          <w:szCs w:val="32"/>
        </w:rPr>
      </w:pPr>
    </w:p>
    <w:p w14:paraId="336C1EFD">
      <w:pPr>
        <w:pStyle w:val="26"/>
        <w:numPr>
          <w:ilvl w:val="0"/>
          <w:numId w:val="2"/>
        </w:numPr>
        <w:spacing w:line="600" w:lineRule="exact"/>
        <w:ind w:firstLineChars="0"/>
        <w:outlineLvl w:val="1"/>
        <w:rPr>
          <w:rStyle w:val="28"/>
          <w:rFonts w:ascii="黑体" w:hAnsi="黑体" w:eastAsia="黑体"/>
          <w:b w:val="0"/>
        </w:rPr>
      </w:pPr>
      <w:bookmarkStart w:id="16" w:name="_Toc15396605"/>
      <w:bookmarkStart w:id="17" w:name="_Toc15377207"/>
      <w:r>
        <w:rPr>
          <w:rFonts w:hint="eastAsia" w:ascii="黑体" w:hAnsi="黑体" w:eastAsia="黑体"/>
          <w:sz w:val="32"/>
          <w:szCs w:val="32"/>
        </w:rPr>
        <w:t>支</w:t>
      </w:r>
      <w:r>
        <w:rPr>
          <w:rStyle w:val="28"/>
          <w:rFonts w:hint="eastAsia" w:ascii="黑体" w:hAnsi="黑体" w:eastAsia="黑体"/>
          <w:b w:val="0"/>
        </w:rPr>
        <w:t>出决算情况说明</w:t>
      </w:r>
      <w:bookmarkEnd w:id="16"/>
      <w:bookmarkEnd w:id="17"/>
    </w:p>
    <w:p w14:paraId="1FE58D67">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1197.21</w:t>
      </w:r>
      <w:r>
        <w:rPr>
          <w:rFonts w:hint="eastAsia" w:ascii="仿宋" w:hAnsi="仿宋" w:eastAsia="仿宋"/>
          <w:sz w:val="32"/>
          <w:szCs w:val="32"/>
        </w:rPr>
        <w:t>万元，其中：基本支出</w:t>
      </w:r>
      <w:r>
        <w:rPr>
          <w:rFonts w:ascii="仿宋" w:hAnsi="仿宋" w:eastAsia="仿宋"/>
          <w:b/>
          <w:sz w:val="32"/>
          <w:szCs w:val="32"/>
        </w:rPr>
        <w:t>1197.21</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7285EADB">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14:paraId="6CAD5C01">
      <w:pPr>
        <w:spacing w:line="600" w:lineRule="exact"/>
        <w:ind w:firstLine="640"/>
        <w:rPr>
          <w:rFonts w:ascii="仿宋" w:hAnsi="仿宋" w:eastAsia="仿宋"/>
          <w:sz w:val="32"/>
          <w:szCs w:val="32"/>
          <w:shd w:val="pct10" w:color="auto" w:fill="FFFFFF"/>
        </w:rPr>
      </w:pPr>
    </w:p>
    <w:p w14:paraId="1BAB56AA">
      <w:pPr>
        <w:pStyle w:val="2"/>
        <w:rPr>
          <w:rFonts w:ascii="仿宋" w:hAnsi="仿宋" w:eastAsia="仿宋"/>
          <w:sz w:val="32"/>
          <w:szCs w:val="32"/>
          <w:shd w:val="pct10" w:color="auto" w:fill="FFFFFF"/>
        </w:rPr>
      </w:pPr>
    </w:p>
    <w:p w14:paraId="6DD1AF4D">
      <w:pPr>
        <w:pStyle w:val="2"/>
        <w:rPr>
          <w:rFonts w:ascii="仿宋" w:hAnsi="仿宋" w:eastAsia="仿宋"/>
          <w:sz w:val="32"/>
          <w:szCs w:val="32"/>
          <w:shd w:val="pct10" w:color="auto" w:fill="FFFFFF"/>
        </w:rPr>
      </w:pPr>
      <w:r>
        <w:drawing>
          <wp:inline distT="0" distB="0" distL="114300" distR="114300">
            <wp:extent cx="5229225" cy="2714625"/>
            <wp:effectExtent l="0" t="0" r="9525" b="952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0"/>
                    <a:stretch>
                      <a:fillRect/>
                    </a:stretch>
                  </pic:blipFill>
                  <pic:spPr>
                    <a:xfrm>
                      <a:off x="0" y="0"/>
                      <a:ext cx="5229225" cy="2714625"/>
                    </a:xfrm>
                    <a:prstGeom prst="rect">
                      <a:avLst/>
                    </a:prstGeom>
                    <a:noFill/>
                    <a:ln>
                      <a:noFill/>
                    </a:ln>
                  </pic:spPr>
                </pic:pic>
              </a:graphicData>
            </a:graphic>
          </wp:inline>
        </w:drawing>
      </w:r>
    </w:p>
    <w:p w14:paraId="77D611C8">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34AB73CA">
      <w:pPr>
        <w:spacing w:line="600" w:lineRule="exact"/>
        <w:ind w:firstLine="640" w:firstLineChars="200"/>
        <w:rPr>
          <w:rFonts w:ascii="仿宋_GB2312" w:eastAsia="仿宋_GB2312"/>
          <w:sz w:val="32"/>
          <w:szCs w:val="32"/>
        </w:rPr>
      </w:pPr>
    </w:p>
    <w:p w14:paraId="3639537F">
      <w:pPr>
        <w:spacing w:line="600" w:lineRule="exact"/>
        <w:ind w:firstLine="640" w:firstLineChars="200"/>
        <w:outlineLvl w:val="1"/>
        <w:rPr>
          <w:rStyle w:val="28"/>
          <w:rFonts w:ascii="黑体" w:hAnsi="黑体" w:eastAsia="黑体"/>
          <w:b w:val="0"/>
        </w:rPr>
      </w:pPr>
      <w:bookmarkStart w:id="18" w:name="_Toc15377208"/>
      <w:bookmarkStart w:id="19"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18"/>
      <w:bookmarkEnd w:id="19"/>
    </w:p>
    <w:p w14:paraId="1E58A810">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sz w:val="32"/>
          <w:szCs w:val="32"/>
        </w:rPr>
        <w:t>150.46</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150.46</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是本年度使用一体化管理，财政金额下发到位。</w:t>
      </w:r>
    </w:p>
    <w:p w14:paraId="1F04ACAA">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5CD80904">
      <w:pPr>
        <w:spacing w:line="600" w:lineRule="exact"/>
        <w:rPr>
          <w:rFonts w:ascii="仿宋" w:hAnsi="仿宋" w:eastAsia="仿宋"/>
          <w:sz w:val="32"/>
          <w:szCs w:val="32"/>
        </w:rPr>
      </w:pPr>
    </w:p>
    <w:p w14:paraId="657FA174">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32EAACC3">
      <w:pPr>
        <w:spacing w:line="600" w:lineRule="exact"/>
        <w:ind w:firstLine="640"/>
        <w:rPr>
          <w:rFonts w:ascii="仿宋" w:hAnsi="仿宋" w:eastAsia="仿宋"/>
          <w:b/>
          <w:sz w:val="32"/>
          <w:szCs w:val="32"/>
        </w:rPr>
      </w:pPr>
    </w:p>
    <w:p w14:paraId="54544751">
      <w:pPr>
        <w:pStyle w:val="2"/>
        <w:rPr>
          <w:rFonts w:ascii="仿宋" w:hAnsi="仿宋" w:eastAsia="仿宋"/>
          <w:b/>
          <w:sz w:val="32"/>
          <w:szCs w:val="32"/>
        </w:rPr>
      </w:pPr>
    </w:p>
    <w:p w14:paraId="37E004D7">
      <w:pPr>
        <w:pStyle w:val="2"/>
        <w:rPr>
          <w:rFonts w:ascii="仿宋" w:hAnsi="仿宋" w:eastAsia="仿宋"/>
          <w:b/>
          <w:sz w:val="32"/>
          <w:szCs w:val="32"/>
        </w:rPr>
      </w:pPr>
      <w:r>
        <w:drawing>
          <wp:inline distT="0" distB="0" distL="114300" distR="114300">
            <wp:extent cx="5272405" cy="2626995"/>
            <wp:effectExtent l="0" t="0" r="4445" b="190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1"/>
                    <a:stretch>
                      <a:fillRect/>
                    </a:stretch>
                  </pic:blipFill>
                  <pic:spPr>
                    <a:xfrm>
                      <a:off x="0" y="0"/>
                      <a:ext cx="5272405" cy="2626995"/>
                    </a:xfrm>
                    <a:prstGeom prst="rect">
                      <a:avLst/>
                    </a:prstGeom>
                    <a:noFill/>
                    <a:ln>
                      <a:noFill/>
                    </a:ln>
                  </pic:spPr>
                </pic:pic>
              </a:graphicData>
            </a:graphic>
          </wp:inline>
        </w:drawing>
      </w:r>
    </w:p>
    <w:p w14:paraId="65F7A515">
      <w:pPr>
        <w:pStyle w:val="2"/>
        <w:rPr>
          <w:rFonts w:ascii="仿宋" w:hAnsi="仿宋" w:eastAsia="仿宋"/>
          <w:b/>
          <w:sz w:val="32"/>
          <w:szCs w:val="32"/>
        </w:rPr>
      </w:pPr>
    </w:p>
    <w:p w14:paraId="253CE28F">
      <w:pPr>
        <w:spacing w:line="600" w:lineRule="exact"/>
        <w:ind w:firstLine="640" w:firstLineChars="200"/>
        <w:outlineLvl w:val="1"/>
        <w:rPr>
          <w:rStyle w:val="28"/>
          <w:rFonts w:ascii="黑体" w:hAnsi="黑体" w:eastAsia="黑体"/>
          <w:b w:val="0"/>
        </w:rPr>
      </w:pPr>
      <w:bookmarkStart w:id="20" w:name="_Toc15377209"/>
      <w:bookmarkStart w:id="21"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0"/>
      <w:bookmarkEnd w:id="21"/>
    </w:p>
    <w:p w14:paraId="4CC239AF">
      <w:pPr>
        <w:spacing w:line="600" w:lineRule="exact"/>
        <w:ind w:firstLine="643" w:firstLineChars="200"/>
        <w:outlineLvl w:val="2"/>
        <w:rPr>
          <w:rFonts w:ascii="仿宋" w:hAnsi="仿宋" w:eastAsia="仿宋"/>
          <w:b/>
          <w:sz w:val="32"/>
          <w:szCs w:val="32"/>
        </w:rPr>
      </w:pPr>
      <w:bookmarkStart w:id="22" w:name="_Toc15377210"/>
      <w:r>
        <w:rPr>
          <w:rFonts w:hint="eastAsia" w:ascii="仿宋" w:hAnsi="仿宋" w:eastAsia="仿宋"/>
          <w:b/>
          <w:sz w:val="32"/>
          <w:szCs w:val="32"/>
        </w:rPr>
        <w:t>（一）一般公共预算财政拨款支出决算总体情况</w:t>
      </w:r>
      <w:bookmarkEnd w:id="22"/>
    </w:p>
    <w:p w14:paraId="1C253398">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150.46</w:t>
      </w:r>
      <w:r>
        <w:rPr>
          <w:rFonts w:hint="eastAsia" w:ascii="仿宋" w:hAnsi="仿宋" w:eastAsia="仿宋"/>
          <w:sz w:val="32"/>
          <w:szCs w:val="32"/>
        </w:rPr>
        <w:t>万元，占本年支出合计的</w:t>
      </w:r>
      <w:r>
        <w:rPr>
          <w:rFonts w:ascii="仿宋" w:hAnsi="仿宋" w:eastAsia="仿宋"/>
          <w:b/>
          <w:sz w:val="32"/>
          <w:szCs w:val="32"/>
        </w:rPr>
        <w:t>12.56</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150.46</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是本年度使用一体化管理，财政金额下发到位。</w:t>
      </w:r>
    </w:p>
    <w:p w14:paraId="1E120AED">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3CCBA400">
      <w:pPr>
        <w:pStyle w:val="2"/>
        <w:rPr>
          <w:rFonts w:ascii="仿宋" w:hAnsi="仿宋" w:eastAsia="仿宋"/>
          <w:sz w:val="32"/>
          <w:szCs w:val="32"/>
        </w:rPr>
      </w:pPr>
      <w:r>
        <w:drawing>
          <wp:inline distT="0" distB="0" distL="114300" distR="114300">
            <wp:extent cx="5153025" cy="2657475"/>
            <wp:effectExtent l="0" t="0" r="9525" b="9525"/>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12"/>
                    <a:stretch>
                      <a:fillRect/>
                    </a:stretch>
                  </pic:blipFill>
                  <pic:spPr>
                    <a:xfrm>
                      <a:off x="0" y="0"/>
                      <a:ext cx="5153025" cy="2657475"/>
                    </a:xfrm>
                    <a:prstGeom prst="rect">
                      <a:avLst/>
                    </a:prstGeom>
                    <a:noFill/>
                    <a:ln>
                      <a:noFill/>
                    </a:ln>
                  </pic:spPr>
                </pic:pic>
              </a:graphicData>
            </a:graphic>
          </wp:inline>
        </w:drawing>
      </w:r>
    </w:p>
    <w:p w14:paraId="4F4FF012">
      <w:pPr>
        <w:spacing w:line="600" w:lineRule="exact"/>
        <w:ind w:firstLine="643" w:firstLineChars="200"/>
        <w:outlineLvl w:val="2"/>
        <w:rPr>
          <w:rFonts w:ascii="仿宋" w:hAnsi="仿宋" w:eastAsia="仿宋"/>
          <w:b/>
          <w:sz w:val="32"/>
          <w:szCs w:val="32"/>
        </w:rPr>
      </w:pPr>
      <w:bookmarkStart w:id="23" w:name="_Toc15377211"/>
      <w:r>
        <w:rPr>
          <w:rFonts w:hint="eastAsia" w:ascii="仿宋" w:hAnsi="仿宋" w:eastAsia="仿宋"/>
          <w:b/>
          <w:sz w:val="32"/>
          <w:szCs w:val="32"/>
        </w:rPr>
        <w:t>（二）一般公共预算财政拨款支出决算结构情况</w:t>
      </w:r>
      <w:bookmarkEnd w:id="23"/>
    </w:p>
    <w:p w14:paraId="20781533">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150.46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val="en-US" w:eastAsia="zh-CN"/>
        </w:rPr>
        <w:t>150.46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14:paraId="646933AD">
      <w:pPr>
        <w:spacing w:line="600" w:lineRule="exact"/>
        <w:ind w:firstLine="643" w:firstLineChars="200"/>
        <w:outlineLvl w:val="2"/>
        <w:rPr>
          <w:rFonts w:ascii="仿宋" w:hAnsi="仿宋" w:eastAsia="仿宋"/>
          <w:b/>
          <w:sz w:val="32"/>
          <w:szCs w:val="32"/>
        </w:rPr>
      </w:pPr>
      <w:bookmarkStart w:id="24" w:name="_Toc15377212"/>
      <w:r>
        <w:rPr>
          <w:rFonts w:hint="eastAsia" w:ascii="仿宋" w:hAnsi="仿宋" w:eastAsia="仿宋"/>
          <w:b/>
          <w:sz w:val="32"/>
          <w:szCs w:val="32"/>
        </w:rPr>
        <w:t>（三）一般公共预算财政拨款支出决算具体情况</w:t>
      </w:r>
      <w:bookmarkEnd w:id="24"/>
    </w:p>
    <w:p w14:paraId="7EAE8A7C">
      <w:pPr>
        <w:spacing w:line="600" w:lineRule="exact"/>
        <w:ind w:firstLine="643" w:firstLineChars="200"/>
        <w:outlineLvl w:val="2"/>
        <w:rPr>
          <w:rFonts w:ascii="仿宋" w:hAnsi="仿宋" w:eastAsia="仿宋"/>
          <w:sz w:val="32"/>
          <w:szCs w:val="32"/>
        </w:rPr>
      </w:pPr>
      <w:bookmarkStart w:id="25" w:name="_Toc15377213"/>
      <w:bookmarkStart w:id="26" w:name="_Toc15377444"/>
      <w:bookmarkStart w:id="27" w:name="_Toc15378460"/>
      <w:r>
        <w:rPr>
          <w:rFonts w:hint="eastAsia" w:ascii="仿宋" w:hAnsi="仿宋" w:eastAsia="仿宋"/>
          <w:b/>
          <w:sz w:val="32"/>
          <w:szCs w:val="32"/>
        </w:rPr>
        <w:t>2023年度一般公共预算支出决算数为</w:t>
      </w:r>
      <w:r>
        <w:rPr>
          <w:rFonts w:ascii="仿宋" w:hAnsi="仿宋" w:eastAsia="仿宋"/>
          <w:b/>
          <w:sz w:val="32"/>
          <w:szCs w:val="32"/>
        </w:rPr>
        <w:t>150.46</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25"/>
      <w:bookmarkEnd w:id="26"/>
      <w:bookmarkEnd w:id="27"/>
    </w:p>
    <w:p w14:paraId="5A8905AA">
      <w:pPr>
        <w:spacing w:line="600" w:lineRule="exact"/>
        <w:ind w:firstLine="643" w:firstLineChars="200"/>
        <w:rPr>
          <w:rFonts w:ascii="仿宋" w:hAnsi="仿宋" w:eastAsia="仿宋"/>
          <w:sz w:val="32"/>
          <w:szCs w:val="32"/>
        </w:rPr>
      </w:pPr>
      <w:r>
        <w:rPr>
          <w:rStyle w:val="16"/>
          <w:rFonts w:ascii="仿宋" w:hAnsi="仿宋" w:eastAsia="仿宋"/>
          <w:bCs/>
          <w:sz w:val="32"/>
          <w:szCs w:val="32"/>
        </w:rPr>
        <w:t>6.</w:t>
      </w:r>
      <w:r>
        <w:rPr>
          <w:rFonts w:hint="eastAsia" w:ascii="仿宋" w:hAnsi="仿宋" w:eastAsia="仿宋"/>
          <w:b/>
          <w:bCs/>
          <w:sz w:val="32"/>
          <w:szCs w:val="32"/>
        </w:rPr>
        <w:t>卫生健康</w:t>
      </w:r>
      <w:r>
        <w:rPr>
          <w:rFonts w:hint="eastAsia" w:ascii="仿宋" w:hAnsi="仿宋" w:eastAsia="仿宋"/>
          <w:b/>
          <w:bCs/>
          <w:sz w:val="32"/>
          <w:szCs w:val="32"/>
          <w:lang w:eastAsia="zh-CN"/>
        </w:rPr>
        <w:t>支出</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150.46</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20C4ED05">
      <w:pPr>
        <w:tabs>
          <w:tab w:val="right" w:pos="8306"/>
        </w:tabs>
        <w:spacing w:line="600" w:lineRule="exact"/>
        <w:ind w:firstLine="640"/>
        <w:outlineLvl w:val="1"/>
        <w:rPr>
          <w:rStyle w:val="28"/>
        </w:rPr>
      </w:pPr>
      <w:bookmarkStart w:id="28" w:name="_Toc15377214"/>
      <w:bookmarkStart w:id="2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28"/>
      <w:bookmarkEnd w:id="29"/>
      <w:r>
        <w:rPr>
          <w:rStyle w:val="28"/>
          <w:rFonts w:ascii="黑体" w:hAnsi="黑体" w:eastAsia="黑体"/>
          <w:b w:val="0"/>
        </w:rPr>
        <w:tab/>
      </w:r>
    </w:p>
    <w:p w14:paraId="6D0BFE54">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150.46</w:t>
      </w:r>
      <w:r>
        <w:rPr>
          <w:rFonts w:hint="eastAsia" w:ascii="仿宋" w:hAnsi="仿宋" w:eastAsia="仿宋"/>
          <w:sz w:val="32"/>
          <w:szCs w:val="32"/>
        </w:rPr>
        <w:t>万元，其中：</w:t>
      </w:r>
    </w:p>
    <w:p w14:paraId="4F6A428B">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150.46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0</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69C8712">
      <w:pPr>
        <w:spacing w:line="600" w:lineRule="exact"/>
        <w:ind w:firstLine="640"/>
        <w:rPr>
          <w:rFonts w:ascii="仿宋" w:hAnsi="仿宋" w:eastAsia="仿宋"/>
          <w:b/>
          <w:sz w:val="32"/>
          <w:szCs w:val="32"/>
        </w:rPr>
      </w:pPr>
    </w:p>
    <w:p w14:paraId="263D72EF">
      <w:pPr>
        <w:spacing w:line="600" w:lineRule="exact"/>
        <w:ind w:firstLine="640"/>
        <w:outlineLvl w:val="1"/>
        <w:rPr>
          <w:rStyle w:val="28"/>
          <w:rFonts w:ascii="黑体" w:hAnsi="黑体" w:eastAsia="黑体"/>
          <w:b w:val="0"/>
        </w:rPr>
      </w:pPr>
      <w:bookmarkStart w:id="30" w:name="_Toc15377215"/>
      <w:bookmarkStart w:id="31"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0"/>
      <w:bookmarkEnd w:id="31"/>
    </w:p>
    <w:p w14:paraId="667B23D4">
      <w:pPr>
        <w:spacing w:line="600" w:lineRule="exact"/>
        <w:ind w:firstLine="640"/>
        <w:outlineLvl w:val="2"/>
        <w:rPr>
          <w:rFonts w:ascii="仿宋" w:hAnsi="仿宋" w:eastAsia="仿宋"/>
          <w:b/>
          <w:sz w:val="32"/>
          <w:szCs w:val="32"/>
        </w:rPr>
      </w:pPr>
      <w:bookmarkStart w:id="32" w:name="_Toc15377216"/>
      <w:r>
        <w:rPr>
          <w:rFonts w:hint="eastAsia" w:ascii="仿宋" w:hAnsi="仿宋" w:eastAsia="仿宋"/>
          <w:b/>
          <w:sz w:val="32"/>
          <w:szCs w:val="32"/>
        </w:rPr>
        <w:t>（一）“三公”经费财政拨款支出决算总体情况说明</w:t>
      </w:r>
      <w:bookmarkEnd w:id="32"/>
    </w:p>
    <w:p w14:paraId="05E1AD33">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w:t>
      </w:r>
      <w:r>
        <w:rPr>
          <w:rFonts w:hint="eastAsia" w:ascii="仿宋" w:hAnsi="仿宋" w:eastAsia="仿宋"/>
          <w:sz w:val="32"/>
          <w:szCs w:val="32"/>
        </w:rPr>
        <w:t>万元。</w:t>
      </w:r>
    </w:p>
    <w:p w14:paraId="5E8DE2A2">
      <w:pPr>
        <w:spacing w:line="600" w:lineRule="exact"/>
        <w:ind w:firstLine="640"/>
        <w:outlineLvl w:val="2"/>
        <w:rPr>
          <w:rFonts w:ascii="仿宋" w:hAnsi="仿宋" w:eastAsia="仿宋"/>
          <w:b/>
          <w:sz w:val="32"/>
          <w:szCs w:val="32"/>
        </w:rPr>
      </w:pPr>
      <w:bookmarkStart w:id="33" w:name="_Toc15377217"/>
      <w:r>
        <w:rPr>
          <w:rFonts w:hint="eastAsia" w:ascii="仿宋" w:hAnsi="仿宋" w:eastAsia="仿宋"/>
          <w:b/>
          <w:sz w:val="32"/>
          <w:szCs w:val="32"/>
        </w:rPr>
        <w:t>（二）“三公”经费财政拨款支出决算具体情况说明</w:t>
      </w:r>
      <w:bookmarkEnd w:id="33"/>
    </w:p>
    <w:p w14:paraId="5C0344AF">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1F8BD512">
      <w:pPr>
        <w:numPr>
          <w:ilvl w:val="0"/>
          <w:numId w:val="3"/>
        </w:numPr>
        <w:spacing w:line="600" w:lineRule="exact"/>
        <w:ind w:firstLine="640"/>
        <w:rPr>
          <w:rFonts w:hint="eastAsia" w:ascii="仿宋_GB2312" w:eastAsia="仿宋_GB2312"/>
          <w:sz w:val="32"/>
          <w:szCs w:val="32"/>
        </w:rPr>
      </w:pPr>
      <w:bookmarkStart w:id="34" w:name="_Toc15377218"/>
      <w:bookmarkStart w:id="35" w:name="_Toc15396610"/>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14:paraId="649340AF">
      <w:pPr>
        <w:numPr>
          <w:ilvl w:val="0"/>
          <w:numId w:val="0"/>
        </w:num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14:paraId="6E55AA89">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1810A323">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14:paraId="62CBDA3A">
      <w:pPr>
        <w:numPr>
          <w:ilvl w:val="0"/>
          <w:numId w:val="3"/>
        </w:numPr>
        <w:spacing w:line="600" w:lineRule="exact"/>
        <w:ind w:left="0" w:leftChars="0" w:firstLine="640" w:firstLineChars="0"/>
        <w:rPr>
          <w:rFonts w:hint="eastAsia" w:ascii="仿宋_GB2312" w:eastAsia="仿宋_GB2312"/>
          <w:sz w:val="32"/>
          <w:szCs w:val="32"/>
        </w:rPr>
      </w:pP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w:t>
      </w:r>
    </w:p>
    <w:p w14:paraId="07C2FB73">
      <w:pPr>
        <w:numPr>
          <w:ilvl w:val="0"/>
          <w:numId w:val="3"/>
        </w:numPr>
        <w:spacing w:line="600" w:lineRule="exact"/>
        <w:ind w:left="0" w:leftChars="0" w:firstLine="640" w:firstLineChars="0"/>
        <w:rPr>
          <w:rFonts w:hint="eastAsia" w:ascii="仿宋_GB2312" w:eastAsia="仿宋_GB2312"/>
          <w:sz w:val="32"/>
          <w:szCs w:val="32"/>
          <w:lang w:eastAsia="zh-CN"/>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14:paraId="74EF764B">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B2E8DDB">
      <w:pPr>
        <w:spacing w:line="600" w:lineRule="exact"/>
        <w:ind w:firstLine="640"/>
        <w:outlineLvl w:val="1"/>
        <w:rPr>
          <w:rFonts w:ascii="黑体" w:eastAsia="黑体"/>
          <w:sz w:val="32"/>
          <w:szCs w:val="32"/>
        </w:rPr>
      </w:pPr>
    </w:p>
    <w:p w14:paraId="164C19FA">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34"/>
      <w:bookmarkEnd w:id="35"/>
    </w:p>
    <w:p w14:paraId="2B1FDBE3">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5123466C">
      <w:pPr>
        <w:spacing w:line="600" w:lineRule="exact"/>
        <w:ind w:firstLine="640"/>
        <w:rPr>
          <w:rFonts w:ascii="仿宋_GB2312" w:eastAsia="仿宋_GB2312"/>
          <w:sz w:val="32"/>
          <w:szCs w:val="32"/>
        </w:rPr>
      </w:pPr>
    </w:p>
    <w:p w14:paraId="2039F555">
      <w:pPr>
        <w:numPr>
          <w:ilvl w:val="0"/>
          <w:numId w:val="4"/>
        </w:numPr>
        <w:spacing w:line="600" w:lineRule="exact"/>
        <w:ind w:firstLine="640"/>
        <w:outlineLvl w:val="1"/>
        <w:rPr>
          <w:rStyle w:val="28"/>
          <w:rFonts w:ascii="黑体" w:hAnsi="黑体" w:eastAsia="黑体"/>
          <w:b w:val="0"/>
        </w:rPr>
      </w:pPr>
      <w:bookmarkStart w:id="36" w:name="_Toc15396611"/>
      <w:bookmarkStart w:id="37" w:name="_Toc15377219"/>
      <w:r>
        <w:rPr>
          <w:rStyle w:val="28"/>
          <w:rFonts w:hint="eastAsia" w:ascii="黑体" w:hAnsi="黑体" w:eastAsia="黑体"/>
          <w:b w:val="0"/>
        </w:rPr>
        <w:t>国有资本经营预算支出决算情况说明</w:t>
      </w:r>
      <w:bookmarkEnd w:id="36"/>
      <w:bookmarkEnd w:id="37"/>
    </w:p>
    <w:p w14:paraId="62918E65">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15C7DF8F">
      <w:pPr>
        <w:spacing w:line="580" w:lineRule="exact"/>
        <w:jc w:val="center"/>
        <w:rPr>
          <w:rFonts w:ascii="方正小标宋简体" w:hAnsi="方正小标宋简体" w:eastAsia="方正小标宋简体" w:cs="方正小标宋简体"/>
          <w:sz w:val="44"/>
          <w:szCs w:val="44"/>
        </w:rPr>
      </w:pPr>
    </w:p>
    <w:p w14:paraId="2D6B16EA">
      <w:pPr>
        <w:numPr>
          <w:ilvl w:val="0"/>
          <w:numId w:val="4"/>
        </w:numPr>
        <w:spacing w:line="600" w:lineRule="exact"/>
        <w:ind w:firstLine="640"/>
        <w:outlineLvl w:val="1"/>
        <w:rPr>
          <w:rStyle w:val="28"/>
          <w:rFonts w:ascii="黑体" w:hAnsi="黑体" w:eastAsia="黑体"/>
          <w:b w:val="0"/>
        </w:rPr>
      </w:pPr>
      <w:bookmarkStart w:id="38" w:name="_Toc15377221"/>
      <w:bookmarkStart w:id="39" w:name="_Toc15396612"/>
      <w:r>
        <w:rPr>
          <w:rStyle w:val="28"/>
          <w:rFonts w:hint="eastAsia" w:ascii="黑体" w:hAnsi="黑体" w:eastAsia="黑体"/>
          <w:b w:val="0"/>
        </w:rPr>
        <w:t>其他重要事项的情况说明</w:t>
      </w:r>
      <w:bookmarkEnd w:id="38"/>
      <w:bookmarkEnd w:id="39"/>
    </w:p>
    <w:p w14:paraId="20CFEF90">
      <w:pPr>
        <w:spacing w:line="600" w:lineRule="exact"/>
        <w:ind w:firstLine="643" w:firstLineChars="200"/>
        <w:outlineLvl w:val="2"/>
        <w:rPr>
          <w:rFonts w:ascii="仿宋" w:hAnsi="仿宋" w:eastAsia="仿宋"/>
          <w:sz w:val="32"/>
          <w:szCs w:val="32"/>
        </w:rPr>
      </w:pPr>
      <w:bookmarkStart w:id="40" w:name="_Toc15377222"/>
      <w:r>
        <w:rPr>
          <w:rFonts w:hint="eastAsia" w:ascii="仿宋" w:hAnsi="仿宋" w:eastAsia="仿宋"/>
          <w:b/>
          <w:sz w:val="32"/>
          <w:szCs w:val="32"/>
        </w:rPr>
        <w:t>（一）机关运行经费支出情况</w:t>
      </w:r>
      <w:bookmarkEnd w:id="40"/>
    </w:p>
    <w:p w14:paraId="0D75B20F">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大竹县文星中心卫生院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万元，比2022年度增加</w:t>
      </w:r>
      <w:r>
        <w:rPr>
          <w:rFonts w:hint="eastAsia" w:ascii="仿宋_GB2312" w:eastAsia="仿宋_GB2312"/>
          <w:sz w:val="32"/>
          <w:szCs w:val="32"/>
          <w:lang w:val="en-US" w:eastAsia="zh-CN"/>
        </w:rPr>
        <w:t>0</w:t>
      </w:r>
      <w:r>
        <w:rPr>
          <w:rFonts w:hint="eastAsia" w:ascii="仿宋_GB2312" w:eastAsia="仿宋_GB2312"/>
          <w:sz w:val="32"/>
          <w:szCs w:val="32"/>
        </w:rPr>
        <w:t>万元。</w:t>
      </w:r>
    </w:p>
    <w:p w14:paraId="1A95D1C7">
      <w:pPr>
        <w:autoSpaceDE w:val="0"/>
        <w:autoSpaceDN w:val="0"/>
        <w:adjustRightInd w:val="0"/>
        <w:spacing w:line="600" w:lineRule="exact"/>
        <w:ind w:firstLine="643" w:firstLineChars="200"/>
        <w:jc w:val="left"/>
        <w:outlineLvl w:val="2"/>
        <w:rPr>
          <w:rFonts w:ascii="仿宋" w:hAnsi="仿宋" w:eastAsia="仿宋"/>
          <w:b/>
          <w:sz w:val="32"/>
          <w:szCs w:val="32"/>
        </w:rPr>
      </w:pPr>
      <w:bookmarkStart w:id="41" w:name="_Toc15377223"/>
      <w:r>
        <w:rPr>
          <w:rFonts w:hint="eastAsia" w:ascii="仿宋" w:hAnsi="仿宋" w:eastAsia="仿宋"/>
          <w:b/>
          <w:sz w:val="32"/>
          <w:szCs w:val="32"/>
        </w:rPr>
        <w:t>（二）政府采购支出情况</w:t>
      </w:r>
      <w:bookmarkEnd w:id="41"/>
    </w:p>
    <w:p w14:paraId="57AC4422">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大竹县文星中心卫生院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15B2E449">
      <w:pPr>
        <w:autoSpaceDE w:val="0"/>
        <w:autoSpaceDN w:val="0"/>
        <w:adjustRightInd w:val="0"/>
        <w:spacing w:line="600" w:lineRule="exact"/>
        <w:ind w:firstLine="643" w:firstLineChars="200"/>
        <w:jc w:val="left"/>
        <w:outlineLvl w:val="2"/>
        <w:rPr>
          <w:rFonts w:ascii="仿宋" w:hAnsi="仿宋" w:eastAsia="仿宋"/>
          <w:b/>
          <w:sz w:val="32"/>
          <w:szCs w:val="32"/>
        </w:rPr>
      </w:pPr>
      <w:bookmarkStart w:id="42" w:name="_Toc15377224"/>
      <w:r>
        <w:rPr>
          <w:rFonts w:hint="eastAsia" w:ascii="仿宋" w:hAnsi="仿宋" w:eastAsia="仿宋"/>
          <w:b/>
          <w:sz w:val="32"/>
          <w:szCs w:val="32"/>
        </w:rPr>
        <w:t>（三）国有资产占有使用情况</w:t>
      </w:r>
      <w:bookmarkEnd w:id="42"/>
    </w:p>
    <w:p w14:paraId="1C3075EB">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大竹县文星中心卫生院</w:t>
      </w:r>
      <w:r>
        <w:rPr>
          <w:rFonts w:hint="eastAsia" w:ascii="仿宋_GB2312" w:eastAsia="仿宋_GB2312"/>
          <w:sz w:val="32"/>
          <w:szCs w:val="32"/>
        </w:rPr>
        <w:t>共有车辆</w:t>
      </w:r>
      <w:r>
        <w:rPr>
          <w:rFonts w:hint="eastAsia" w:ascii="仿宋_GB2312" w:eastAsia="仿宋_GB2312"/>
          <w:b/>
          <w:sz w:val="32"/>
          <w:szCs w:val="32"/>
        </w:rPr>
        <w:t>2</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w:t>
      </w:r>
      <w:r>
        <w:rPr>
          <w:rFonts w:hint="default" w:ascii="Times New Roman" w:hAnsi="Times New Roman" w:eastAsia="仿宋_GB2312" w:cs="Times New Roman"/>
          <w:color w:val="auto"/>
          <w:sz w:val="32"/>
          <w:szCs w:val="32"/>
          <w:highlight w:val="none"/>
          <w:lang w:eastAsia="zh-CN"/>
        </w:rPr>
        <w:t>接送危急病人</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254C54D6">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65B4A90">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根据预算绩效管理要求，本单位在2023年度预算编制阶段，</w:t>
      </w:r>
      <w:r>
        <w:rPr>
          <w:rFonts w:hint="eastAsia" w:ascii="仿宋_GB2312" w:eastAsia="仿宋_GB2312"/>
          <w:sz w:val="32"/>
          <w:szCs w:val="32"/>
          <w:lang w:eastAsia="zh-CN"/>
        </w:rPr>
        <w:t>未</w:t>
      </w:r>
      <w:r>
        <w:rPr>
          <w:rFonts w:hint="eastAsia" w:ascii="仿宋_GB2312" w:eastAsia="仿宋_GB2312"/>
          <w:sz w:val="32"/>
          <w:szCs w:val="32"/>
        </w:rPr>
        <w:t>开展绩效自评</w:t>
      </w:r>
      <w:r>
        <w:rPr>
          <w:rFonts w:hint="eastAsia" w:ascii="仿宋_GB2312" w:eastAsia="仿宋_GB2312"/>
          <w:sz w:val="32"/>
          <w:szCs w:val="32"/>
          <w:lang w:val="en-US" w:eastAsia="zh-CN"/>
        </w:rPr>
        <w:t>.</w:t>
      </w:r>
    </w:p>
    <w:p w14:paraId="7619FD3C">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6AD3B28B">
      <w:pPr>
        <w:numPr>
          <w:ilvl w:val="0"/>
          <w:numId w:val="5"/>
        </w:numPr>
        <w:spacing w:line="600" w:lineRule="exact"/>
        <w:ind w:firstLine="660" w:firstLineChars="150"/>
        <w:jc w:val="center"/>
        <w:outlineLvl w:val="0"/>
        <w:rPr>
          <w:rStyle w:val="27"/>
          <w:rFonts w:ascii="黑体" w:hAnsi="黑体" w:eastAsia="黑体"/>
          <w:b w:val="0"/>
        </w:rPr>
      </w:pPr>
      <w:bookmarkStart w:id="43" w:name="_Toc15377225"/>
      <w:bookmarkStart w:id="44" w:name="_Toc15396613"/>
      <w:r>
        <w:rPr>
          <w:rFonts w:hint="eastAsia" w:ascii="黑体" w:hAnsi="黑体" w:eastAsia="黑体"/>
          <w:sz w:val="44"/>
          <w:szCs w:val="44"/>
        </w:rPr>
        <w:t>名</w:t>
      </w:r>
      <w:r>
        <w:rPr>
          <w:rStyle w:val="27"/>
          <w:rFonts w:hint="eastAsia" w:ascii="黑体" w:hAnsi="黑体" w:eastAsia="黑体"/>
          <w:b w:val="0"/>
        </w:rPr>
        <w:t>词解释</w:t>
      </w:r>
      <w:bookmarkEnd w:id="43"/>
      <w:bookmarkEnd w:id="44"/>
    </w:p>
    <w:p w14:paraId="75736455">
      <w:pPr>
        <w:spacing w:line="600" w:lineRule="exact"/>
        <w:jc w:val="left"/>
        <w:rPr>
          <w:rFonts w:ascii="宋体"/>
          <w:b/>
          <w:sz w:val="44"/>
          <w:szCs w:val="44"/>
        </w:rPr>
      </w:pPr>
    </w:p>
    <w:p w14:paraId="23216617">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A1C0709">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14:paraId="5F88BA73">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14:paraId="2E24A575">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14:paraId="23D69BCF">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3CCA70D2">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5EDEDCD8">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D3CB6DA">
      <w:pPr>
        <w:pStyle w:val="25"/>
        <w:spacing w:line="560" w:lineRule="exact"/>
        <w:ind w:firstLine="640" w:firstLineChars="200"/>
        <w:rPr>
          <w:rFonts w:ascii="仿宋_GB2312" w:eastAsia="仿宋_GB2312"/>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6E5595A9">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25E9236B">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7C29B8A8">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57A4B260">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开支的各类公务接待（含外宾接待）支出。</w:t>
      </w:r>
    </w:p>
    <w:p w14:paraId="1CA32E76">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384FE14">
      <w:pPr>
        <w:pStyle w:val="25"/>
        <w:spacing w:line="560" w:lineRule="exact"/>
        <w:ind w:firstLine="640" w:firstLineChars="200"/>
        <w:rPr>
          <w:rFonts w:ascii="仿宋_GB2312" w:eastAsia="仿宋_GB2312" w:cs="黑体"/>
          <w:color w:val="auto"/>
          <w:sz w:val="32"/>
          <w:szCs w:val="32"/>
        </w:rPr>
      </w:pPr>
    </w:p>
    <w:p w14:paraId="6DDC2D9A">
      <w:pPr>
        <w:numPr>
          <w:ilvl w:val="0"/>
          <w:numId w:val="5"/>
        </w:numPr>
        <w:spacing w:line="600" w:lineRule="exact"/>
        <w:ind w:left="0" w:leftChars="0" w:firstLine="663" w:firstLineChars="150"/>
        <w:jc w:val="center"/>
        <w:outlineLvl w:val="0"/>
        <w:rPr>
          <w:rStyle w:val="27"/>
          <w:rFonts w:hint="eastAsia" w:ascii="黑体" w:hAnsi="黑体" w:eastAsia="黑体"/>
          <w:b w:val="0"/>
        </w:rPr>
      </w:pPr>
      <w:bookmarkStart w:id="45" w:name="_Toc15377226"/>
      <w:r>
        <w:rPr>
          <w:rFonts w:ascii="宋体"/>
          <w:b/>
          <w:sz w:val="44"/>
          <w:szCs w:val="44"/>
        </w:rPr>
        <w:br w:type="page"/>
      </w:r>
      <w:bookmarkStart w:id="46" w:name="_Toc15396614"/>
      <w:r>
        <w:rPr>
          <w:rStyle w:val="27"/>
          <w:rFonts w:hint="eastAsia" w:ascii="黑体" w:hAnsi="黑体" w:eastAsia="黑体"/>
          <w:b w:val="0"/>
        </w:rPr>
        <w:t>附件</w:t>
      </w:r>
      <w:bookmarkEnd w:id="46"/>
      <w:bookmarkStart w:id="47" w:name="_Toc15396618"/>
    </w:p>
    <w:p w14:paraId="69E7E1BE">
      <w:pPr>
        <w:spacing w:line="600" w:lineRule="exact"/>
        <w:jc w:val="center"/>
        <w:rPr>
          <w:rFonts w:hint="default" w:ascii="Times New Roman" w:hAnsi="Times New Roman" w:eastAsia="方正小标宋简体" w:cs="Times New Roman"/>
          <w:color w:val="000000"/>
          <w:kern w:val="0"/>
          <w:sz w:val="44"/>
          <w:szCs w:val="44"/>
          <w:lang w:eastAsia="zh-CN"/>
        </w:rPr>
      </w:pPr>
      <w:r>
        <w:rPr>
          <w:rFonts w:hint="eastAsia" w:eastAsia="方正小标宋简体" w:cs="Times New Roman"/>
          <w:color w:val="000000"/>
          <w:kern w:val="0"/>
          <w:sz w:val="44"/>
          <w:szCs w:val="44"/>
          <w:lang w:eastAsia="zh-CN"/>
        </w:rPr>
        <w:t>大竹县文星中心卫生院</w:t>
      </w:r>
    </w:p>
    <w:p w14:paraId="2309AF5E">
      <w:pPr>
        <w:spacing w:line="600" w:lineRule="exact"/>
        <w:jc w:val="center"/>
        <w:rPr>
          <w:rFonts w:hint="eastAsia"/>
        </w:rPr>
      </w:pPr>
      <w:r>
        <w:rPr>
          <w:rFonts w:hint="default" w:ascii="Times New Roman" w:hAnsi="Times New Roman" w:eastAsia="方正小标宋简体" w:cs="Times New Roman"/>
          <w:color w:val="000000"/>
          <w:kern w:val="0"/>
          <w:sz w:val="44"/>
          <w:szCs w:val="44"/>
        </w:rPr>
        <w:t>20</w:t>
      </w:r>
      <w:r>
        <w:rPr>
          <w:rFonts w:hint="default" w:ascii="Times New Roman" w:hAnsi="Times New Roman" w:eastAsia="方正小标宋简体" w:cs="Times New Roman"/>
          <w:color w:val="000000"/>
          <w:kern w:val="0"/>
          <w:sz w:val="44"/>
          <w:szCs w:val="44"/>
          <w:lang w:val="en-US" w:eastAsia="zh-CN"/>
        </w:rPr>
        <w:t>2</w:t>
      </w:r>
      <w:r>
        <w:rPr>
          <w:rFonts w:hint="eastAsia" w:eastAsia="方正小标宋简体" w:cs="Times New Roman"/>
          <w:color w:val="000000"/>
          <w:kern w:val="0"/>
          <w:sz w:val="44"/>
          <w:szCs w:val="44"/>
          <w:lang w:val="en-US" w:eastAsia="zh-CN"/>
        </w:rPr>
        <w:t>3</w:t>
      </w:r>
      <w:r>
        <w:rPr>
          <w:rFonts w:hint="default" w:ascii="Times New Roman" w:hAnsi="Times New Roman" w:eastAsia="方正小标宋简体" w:cs="Times New Roman"/>
          <w:color w:val="000000"/>
          <w:kern w:val="0"/>
          <w:sz w:val="44"/>
          <w:szCs w:val="44"/>
        </w:rPr>
        <w:t>年部门</w:t>
      </w:r>
      <w:r>
        <w:rPr>
          <w:rFonts w:hint="default" w:ascii="Times New Roman" w:hAnsi="Times New Roman" w:eastAsia="方正小标宋简体" w:cs="Times New Roman"/>
          <w:color w:val="000000"/>
          <w:kern w:val="0"/>
          <w:sz w:val="44"/>
          <w:szCs w:val="44"/>
          <w:lang w:val="zh-CN"/>
        </w:rPr>
        <w:t>整体支出绩效评价报告</w:t>
      </w:r>
    </w:p>
    <w:p w14:paraId="762EF0D4">
      <w:pPr>
        <w:numPr>
          <w:ilvl w:val="0"/>
          <w:numId w:val="0"/>
        </w:numPr>
        <w:snapToGrid w:val="0"/>
        <w:spacing w:line="520" w:lineRule="exact"/>
        <w:ind w:leftChars="200" w:firstLine="320" w:firstLineChars="1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年我院认真做好年度财政资金的预算编制。在</w:t>
      </w:r>
      <w:r>
        <w:rPr>
          <w:rFonts w:hint="eastAsia" w:ascii="Times New Roman" w:hAnsi="Times New Roman" w:eastAsia="仿宋_GB2312" w:cs="Times New Roman"/>
          <w:sz w:val="32"/>
          <w:szCs w:val="32"/>
          <w:lang w:val="en-US" w:eastAsia="zh-CN"/>
        </w:rPr>
        <w:t>资</w:t>
      </w:r>
      <w:r>
        <w:rPr>
          <w:rFonts w:hint="default" w:ascii="Times New Roman" w:hAnsi="Times New Roman" w:eastAsia="仿宋_GB2312" w:cs="Times New Roman"/>
          <w:sz w:val="32"/>
          <w:szCs w:val="32"/>
          <w:lang w:val="en-US" w:eastAsia="zh-CN"/>
        </w:rPr>
        <w:t>金使用和管理方面，明确开支范围，细化资金用途，确保本单位各项工作任务顺利完成。全年基本支出保证了我院的正常运行和日常工作的正常开展，达到预期的绩效目标。</w:t>
      </w:r>
    </w:p>
    <w:p w14:paraId="410DEDF0">
      <w:pPr>
        <w:widowControl/>
        <w:numPr>
          <w:ilvl w:val="0"/>
          <w:numId w:val="0"/>
        </w:numPr>
        <w:adjustRightInd w:val="0"/>
        <w:snapToGrid w:val="0"/>
        <w:spacing w:line="580" w:lineRule="exact"/>
        <w:ind w:firstLine="640" w:firstLineChars="200"/>
        <w:contextualSpacing/>
        <w:jc w:val="left"/>
        <w:rPr>
          <w:rFonts w:hint="default" w:ascii="Times New Roman" w:hAnsi="Times New Roman" w:eastAsia="楷体_GB2312" w:cs="Times New Roman"/>
          <w:color w:val="000000"/>
          <w:kern w:val="0"/>
          <w:sz w:val="32"/>
          <w:szCs w:val="32"/>
          <w:shd w:val="clear" w:color="auto" w:fill="FFFFFF"/>
          <w:lang w:val="zh-CN"/>
        </w:rPr>
      </w:pPr>
      <w:r>
        <w:rPr>
          <w:rFonts w:hint="eastAsia" w:ascii="Times New Roman" w:hAnsi="Times New Roman" w:eastAsia="楷体_GB2312" w:cs="Times New Roman"/>
          <w:color w:val="000000"/>
          <w:kern w:val="0"/>
          <w:sz w:val="32"/>
          <w:szCs w:val="32"/>
          <w:shd w:val="clear" w:color="auto" w:fill="FFFFFF"/>
          <w:lang w:val="en-US" w:eastAsia="zh-CN"/>
        </w:rPr>
        <w:t>1.</w:t>
      </w:r>
      <w:r>
        <w:rPr>
          <w:rFonts w:hint="default" w:ascii="Times New Roman" w:hAnsi="Times New Roman" w:eastAsia="楷体_GB2312" w:cs="Times New Roman"/>
          <w:color w:val="000000"/>
          <w:kern w:val="0"/>
          <w:sz w:val="32"/>
          <w:szCs w:val="32"/>
          <w:shd w:val="clear" w:color="auto" w:fill="FFFFFF"/>
          <w:lang w:val="zh-CN"/>
        </w:rPr>
        <w:t>存在问题。</w:t>
      </w:r>
    </w:p>
    <w:p w14:paraId="0AC4EA9C">
      <w:pPr>
        <w:widowControl/>
        <w:numPr>
          <w:ilvl w:val="0"/>
          <w:numId w:val="0"/>
        </w:numPr>
        <w:adjustRightInd w:val="0"/>
        <w:snapToGrid w:val="0"/>
        <w:spacing w:line="580" w:lineRule="exact"/>
        <w:ind w:firstLine="640" w:firstLineChars="200"/>
        <w:contextualSpacing/>
        <w:jc w:val="left"/>
        <w:rPr>
          <w:rFonts w:hint="default" w:ascii="Times New Roman" w:hAnsi="Times New Roman" w:cs="Times New Roman"/>
          <w:lang w:val="zh-CN"/>
        </w:rPr>
      </w:pPr>
      <w:r>
        <w:rPr>
          <w:rFonts w:hint="default" w:ascii="Times New Roman" w:hAnsi="Times New Roman" w:cs="Times New Roman"/>
          <w:b w:val="0"/>
          <w:bCs w:val="0"/>
          <w:sz w:val="32"/>
          <w:szCs w:val="32"/>
          <w:lang w:val="en-US" w:eastAsia="zh-CN"/>
        </w:rPr>
        <w:t>一是人才缺失严重，由于我院地处偏远山后，人员流动较大；</w:t>
      </w:r>
      <w:r>
        <w:rPr>
          <w:rFonts w:hint="default" w:ascii="Times New Roman" w:hAnsi="Times New Roman" w:eastAsia="仿宋_GB2312" w:cs="Times New Roman"/>
          <w:b w:val="0"/>
          <w:bCs w:val="0"/>
          <w:sz w:val="32"/>
          <w:szCs w:val="32"/>
          <w:lang w:val="en-US" w:eastAsia="zh-CN"/>
        </w:rPr>
        <w:t>二</w:t>
      </w:r>
      <w:r>
        <w:rPr>
          <w:rFonts w:hint="default" w:ascii="Times New Roman" w:hAnsi="Times New Roman" w:cs="Times New Roman"/>
          <w:b w:val="0"/>
          <w:bCs w:val="0"/>
          <w:sz w:val="32"/>
          <w:szCs w:val="32"/>
          <w:lang w:val="en-US" w:eastAsia="zh-CN"/>
        </w:rPr>
        <w:t>是</w:t>
      </w:r>
      <w:r>
        <w:rPr>
          <w:rFonts w:hint="default" w:ascii="Times New Roman" w:hAnsi="Times New Roman" w:eastAsia="仿宋_GB2312" w:cs="Times New Roman"/>
          <w:b w:val="0"/>
          <w:bCs w:val="0"/>
          <w:sz w:val="32"/>
          <w:szCs w:val="32"/>
          <w:lang w:val="en-US" w:eastAsia="zh-CN"/>
        </w:rPr>
        <w:t>绩效评价及结果应用工作</w:t>
      </w:r>
      <w:r>
        <w:rPr>
          <w:rFonts w:hint="eastAsia" w:eastAsia="仿宋_GB2312" w:cs="Times New Roman"/>
          <w:b w:val="0"/>
          <w:bCs w:val="0"/>
          <w:sz w:val="32"/>
          <w:szCs w:val="32"/>
          <w:lang w:val="en-US" w:eastAsia="zh-CN"/>
        </w:rPr>
        <w:t>力度</w:t>
      </w:r>
      <w:r>
        <w:rPr>
          <w:rFonts w:hint="default" w:ascii="Times New Roman" w:hAnsi="Times New Roman" w:eastAsia="仿宋_GB2312" w:cs="Times New Roman"/>
          <w:b w:val="0"/>
          <w:bCs w:val="0"/>
          <w:sz w:val="32"/>
          <w:szCs w:val="32"/>
          <w:lang w:val="en-US" w:eastAsia="zh-CN"/>
        </w:rPr>
        <w:t>不够，未能充分运用评价结果促进工作改进；三是群众满意度</w:t>
      </w:r>
      <w:r>
        <w:rPr>
          <w:rFonts w:hint="default" w:ascii="Times New Roman" w:hAnsi="Times New Roman" w:cs="Times New Roman"/>
          <w:b w:val="0"/>
          <w:bCs w:val="0"/>
          <w:sz w:val="32"/>
          <w:szCs w:val="32"/>
          <w:lang w:val="en-US" w:eastAsia="zh-CN"/>
        </w:rPr>
        <w:t>还有待提升</w:t>
      </w:r>
      <w:r>
        <w:rPr>
          <w:rFonts w:hint="default" w:ascii="Times New Roman" w:hAnsi="Times New Roman" w:eastAsia="仿宋_GB2312" w:cs="Times New Roman"/>
          <w:b w:val="0"/>
          <w:bCs w:val="0"/>
          <w:sz w:val="32"/>
          <w:szCs w:val="32"/>
          <w:lang w:val="en-US" w:eastAsia="zh-CN"/>
        </w:rPr>
        <w:t>。</w:t>
      </w:r>
    </w:p>
    <w:p w14:paraId="48D2E3A9">
      <w:pPr>
        <w:widowControl/>
        <w:numPr>
          <w:ilvl w:val="0"/>
          <w:numId w:val="0"/>
        </w:numPr>
        <w:adjustRightInd w:val="0"/>
        <w:snapToGrid w:val="0"/>
        <w:spacing w:line="580" w:lineRule="exact"/>
        <w:ind w:leftChars="200" w:firstLine="320" w:firstLineChars="100"/>
        <w:contextualSpacing/>
        <w:jc w:val="left"/>
        <w:rPr>
          <w:rFonts w:hint="default" w:ascii="Times New Roman" w:hAnsi="Times New Roman" w:eastAsia="楷体_GB2312" w:cs="Times New Roman"/>
          <w:color w:val="000000"/>
          <w:kern w:val="0"/>
          <w:sz w:val="32"/>
          <w:szCs w:val="32"/>
          <w:shd w:val="clear" w:color="auto" w:fill="FFFFFF"/>
          <w:lang w:val="zh-CN"/>
        </w:rPr>
      </w:pPr>
      <w:r>
        <w:rPr>
          <w:rFonts w:hint="eastAsia" w:ascii="Times New Roman" w:hAnsi="Times New Roman" w:eastAsia="楷体_GB2312" w:cs="Times New Roman"/>
          <w:color w:val="000000"/>
          <w:kern w:val="0"/>
          <w:sz w:val="32"/>
          <w:szCs w:val="32"/>
          <w:shd w:val="clear" w:color="auto" w:fill="FFFFFF"/>
          <w:lang w:val="en-US" w:eastAsia="zh-CN"/>
        </w:rPr>
        <w:t>2.</w:t>
      </w:r>
      <w:r>
        <w:rPr>
          <w:rFonts w:hint="default" w:ascii="Times New Roman" w:hAnsi="Times New Roman" w:eastAsia="楷体_GB2312" w:cs="Times New Roman"/>
          <w:color w:val="000000"/>
          <w:kern w:val="0"/>
          <w:sz w:val="32"/>
          <w:szCs w:val="32"/>
          <w:shd w:val="clear" w:color="auto" w:fill="FFFFFF"/>
          <w:lang w:val="zh-CN"/>
        </w:rPr>
        <w:t>改进</w:t>
      </w:r>
      <w:r>
        <w:rPr>
          <w:rFonts w:hint="eastAsia" w:ascii="Times New Roman" w:hAnsi="Times New Roman" w:eastAsia="楷体_GB2312" w:cs="Times New Roman"/>
          <w:color w:val="000000"/>
          <w:kern w:val="0"/>
          <w:sz w:val="32"/>
          <w:szCs w:val="32"/>
          <w:shd w:val="clear" w:color="auto" w:fill="FFFFFF"/>
          <w:lang w:val="zh-CN"/>
        </w:rPr>
        <w:t>措施</w:t>
      </w:r>
      <w:r>
        <w:rPr>
          <w:rFonts w:hint="default" w:ascii="Times New Roman" w:hAnsi="Times New Roman" w:eastAsia="楷体_GB2312" w:cs="Times New Roman"/>
          <w:color w:val="000000"/>
          <w:kern w:val="0"/>
          <w:sz w:val="32"/>
          <w:szCs w:val="32"/>
          <w:shd w:val="clear" w:color="auto" w:fill="FFFFFF"/>
          <w:lang w:val="zh-CN"/>
        </w:rPr>
        <w:t>。</w:t>
      </w:r>
      <w:bookmarkStart w:id="62" w:name="_GoBack"/>
      <w:bookmarkEnd w:id="62"/>
    </w:p>
    <w:p w14:paraId="60358934">
      <w:pPr>
        <w:numPr>
          <w:ilvl w:val="0"/>
          <w:numId w:val="0"/>
        </w:numPr>
        <w:snapToGrid w:val="0"/>
        <w:spacing w:line="520" w:lineRule="exact"/>
        <w:rPr>
          <w:rFonts w:hint="eastAsia" w:ascii="楷体_GB2312" w:hAnsi="仿宋" w:eastAsia="仿宋_GB2312"/>
          <w:b/>
          <w:sz w:val="32"/>
          <w:szCs w:val="32"/>
          <w:lang w:val="en-US" w:eastAsia="zh-CN"/>
        </w:rPr>
      </w:pP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eastAsia="仿宋_GB2312" w:cs="Times New Roman"/>
          <w:b w:val="0"/>
          <w:bCs w:val="0"/>
          <w:sz w:val="32"/>
          <w:szCs w:val="32"/>
          <w:lang w:val="en-US" w:eastAsia="zh-CN"/>
        </w:rPr>
        <w:t>一是充分调动全科医生的积极主动性，通过进修、专题学习等方式培养医护等紧缺岗位的人才；二是加强绩效管理小组的职能职责，且充分利用评价结果促进工作的改进；进一步完善工作方案，加强对预算执行进度的事前、事中评估，适时监控预算执行进度，按期开展中期评估，对基本公共卫生的服务数量和质量加大监管力度；三是提升医务人员的服务水平，进一步提高社会满意度</w:t>
      </w:r>
      <w:r>
        <w:rPr>
          <w:rFonts w:hint="default" w:ascii="Times New Roman" w:hAnsi="Times New Roman" w:eastAsia="仿宋" w:cs="Times New Roman"/>
          <w:b w:val="0"/>
          <w:bCs w:val="0"/>
          <w:sz w:val="32"/>
          <w:szCs w:val="32"/>
          <w:lang w:val="en-US" w:eastAsia="zh-CN"/>
        </w:rPr>
        <w:t>。</w:t>
      </w:r>
    </w:p>
    <w:p w14:paraId="150D4169">
      <w:pPr>
        <w:pStyle w:val="2"/>
        <w:rPr>
          <w:rFonts w:hint="eastAsia"/>
        </w:rPr>
      </w:pPr>
    </w:p>
    <w:p w14:paraId="08C51EE2">
      <w:pPr>
        <w:snapToGrid w:val="0"/>
        <w:spacing w:line="520" w:lineRule="exact"/>
        <w:ind w:firstLine="640" w:firstLineChars="200"/>
        <w:rPr>
          <w:rFonts w:hint="eastAsia" w:ascii="仿宋_GB2312" w:hAnsi="仿宋" w:eastAsia="仿宋_GB2312" w:cs="Times New Roman"/>
          <w:b/>
          <w:sz w:val="32"/>
          <w:szCs w:val="32"/>
        </w:rPr>
      </w:pPr>
      <w:bookmarkStart w:id="48" w:name="YS060104"/>
      <w:r>
        <w:rPr>
          <w:rFonts w:hint="eastAsia" w:ascii="黑体" w:hAnsi="黑体" w:eastAsia="黑体"/>
          <w:sz w:val="32"/>
          <w:szCs w:val="32"/>
        </w:rPr>
        <w:t>三、</w:t>
      </w:r>
      <w:r>
        <w:rPr>
          <w:rFonts w:hint="eastAsia" w:ascii="仿宋_GB2312" w:hAnsi="仿宋" w:eastAsia="仿宋_GB2312" w:cs="Times New Roman"/>
          <w:b/>
          <w:sz w:val="32"/>
          <w:szCs w:val="32"/>
        </w:rPr>
        <w:t>对部门决算管理工作的意见和建议</w:t>
      </w:r>
    </w:p>
    <w:bookmarkEnd w:id="48"/>
    <w:p w14:paraId="50806871">
      <w:pPr>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eastAsia="zh-CN"/>
        </w:rPr>
        <w:t>一是</w:t>
      </w:r>
      <w:r>
        <w:rPr>
          <w:rFonts w:hint="default" w:ascii="Times New Roman" w:hAnsi="Times New Roman" w:eastAsia="仿宋_GB2312" w:cs="Times New Roman"/>
          <w:color w:val="000000"/>
          <w:kern w:val="0"/>
          <w:sz w:val="32"/>
          <w:szCs w:val="32"/>
        </w:rPr>
        <w:t>推进预算管理制度的改革，以财政收支分类改革为基础，细化预算，增强预算的刚性</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b/>
          <w:bCs/>
          <w:color w:val="000000"/>
          <w:kern w:val="0"/>
          <w:sz w:val="32"/>
          <w:szCs w:val="32"/>
          <w:lang w:eastAsia="zh-CN"/>
        </w:rPr>
        <w:t>二是</w:t>
      </w:r>
      <w:r>
        <w:rPr>
          <w:rFonts w:hint="default" w:ascii="Times New Roman" w:hAnsi="Times New Roman" w:eastAsia="仿宋_GB2312" w:cs="Times New Roman"/>
          <w:color w:val="000000"/>
          <w:kern w:val="0"/>
          <w:sz w:val="32"/>
          <w:szCs w:val="32"/>
        </w:rPr>
        <w:t xml:space="preserve">完善会议费、培训费等管理制度，强化行政、经济监督职能，加大管控力度； </w:t>
      </w:r>
      <w:r>
        <w:rPr>
          <w:rFonts w:hint="default" w:ascii="Times New Roman" w:hAnsi="Times New Roman" w:eastAsia="仿宋_GB2312" w:cs="Times New Roman"/>
          <w:b/>
          <w:bCs/>
          <w:color w:val="000000"/>
          <w:kern w:val="0"/>
          <w:sz w:val="32"/>
          <w:szCs w:val="32"/>
          <w:lang w:eastAsia="zh-CN"/>
        </w:rPr>
        <w:t>三是</w:t>
      </w:r>
      <w:r>
        <w:rPr>
          <w:rFonts w:hint="default" w:ascii="Times New Roman" w:hAnsi="Times New Roman" w:eastAsia="仿宋_GB2312" w:cs="Times New Roman"/>
          <w:color w:val="000000"/>
          <w:kern w:val="0"/>
          <w:sz w:val="32"/>
          <w:szCs w:val="32"/>
        </w:rPr>
        <w:t>加快人事制度改革，完善人事管理制度，增加编制人数，提升人员素质。</w:t>
      </w:r>
    </w:p>
    <w:p w14:paraId="6E3A21F6">
      <w:pPr>
        <w:numPr>
          <w:ilvl w:val="0"/>
          <w:numId w:val="0"/>
        </w:numPr>
        <w:snapToGrid w:val="0"/>
        <w:spacing w:line="520" w:lineRule="exact"/>
        <w:ind w:firstLine="640" w:firstLineChars="200"/>
        <w:rPr>
          <w:rFonts w:hint="eastAsia" w:ascii="Times New Roman" w:hAnsi="Times New Roman" w:eastAsia="仿宋_GB2312" w:cs="Times New Roman"/>
          <w:b w:val="0"/>
          <w:bCs w:val="0"/>
          <w:sz w:val="32"/>
          <w:szCs w:val="32"/>
          <w:lang w:val="en-US" w:eastAsia="zh-CN"/>
        </w:rPr>
      </w:pPr>
    </w:p>
    <w:p w14:paraId="33D150F1">
      <w:pPr>
        <w:pStyle w:val="2"/>
        <w:spacing w:before="93"/>
        <w:rPr>
          <w:rFonts w:hAnsi="Calibri" w:cs="仿宋"/>
          <w:sz w:val="32"/>
          <w:szCs w:val="32"/>
        </w:rPr>
      </w:pPr>
    </w:p>
    <w:p w14:paraId="39720F00">
      <w:pPr>
        <w:pStyle w:val="2"/>
        <w:spacing w:before="93"/>
        <w:rPr>
          <w:rFonts w:hAnsi="Calibri" w:cs="仿宋"/>
          <w:sz w:val="32"/>
          <w:szCs w:val="32"/>
        </w:rPr>
      </w:pPr>
    </w:p>
    <w:p w14:paraId="4A5629BF">
      <w:pPr>
        <w:pStyle w:val="2"/>
        <w:spacing w:before="93"/>
        <w:rPr>
          <w:rFonts w:hAnsi="Calibri" w:cs="仿宋"/>
          <w:sz w:val="32"/>
          <w:szCs w:val="32"/>
        </w:rPr>
      </w:pPr>
    </w:p>
    <w:p w14:paraId="1E5F2A91">
      <w:pPr>
        <w:pStyle w:val="2"/>
        <w:spacing w:before="93"/>
        <w:rPr>
          <w:rFonts w:hAnsi="Calibri" w:cs="仿宋"/>
          <w:sz w:val="32"/>
          <w:szCs w:val="32"/>
        </w:rPr>
      </w:pPr>
    </w:p>
    <w:p w14:paraId="44A360E7">
      <w:pPr>
        <w:pStyle w:val="2"/>
        <w:spacing w:before="93"/>
        <w:rPr>
          <w:rFonts w:hAnsi="Calibri" w:cs="仿宋"/>
          <w:sz w:val="32"/>
          <w:szCs w:val="32"/>
        </w:rPr>
      </w:pPr>
    </w:p>
    <w:p w14:paraId="0251C467">
      <w:pPr>
        <w:pStyle w:val="2"/>
        <w:spacing w:before="93"/>
        <w:rPr>
          <w:rFonts w:hAnsi="Calibri" w:cs="仿宋"/>
          <w:sz w:val="32"/>
          <w:szCs w:val="32"/>
        </w:rPr>
      </w:pPr>
    </w:p>
    <w:p w14:paraId="574122C3">
      <w:pPr>
        <w:pStyle w:val="2"/>
        <w:spacing w:before="93"/>
        <w:rPr>
          <w:rFonts w:hAnsi="Calibri" w:cs="仿宋"/>
          <w:sz w:val="32"/>
          <w:szCs w:val="32"/>
        </w:rPr>
      </w:pPr>
    </w:p>
    <w:p w14:paraId="04156647">
      <w:pPr>
        <w:pStyle w:val="2"/>
        <w:spacing w:before="93"/>
        <w:rPr>
          <w:rFonts w:hAnsi="Calibri" w:cs="仿宋"/>
          <w:sz w:val="32"/>
          <w:szCs w:val="32"/>
        </w:rPr>
      </w:pPr>
    </w:p>
    <w:p w14:paraId="63CA3298">
      <w:pPr>
        <w:pStyle w:val="2"/>
        <w:spacing w:before="93"/>
        <w:rPr>
          <w:rFonts w:hAnsi="Calibri" w:cs="仿宋"/>
          <w:sz w:val="32"/>
          <w:szCs w:val="32"/>
        </w:rPr>
      </w:pPr>
    </w:p>
    <w:p w14:paraId="251AC186">
      <w:pPr>
        <w:pStyle w:val="2"/>
        <w:spacing w:before="93"/>
        <w:rPr>
          <w:rFonts w:hAnsi="Calibri" w:cs="仿宋"/>
          <w:sz w:val="32"/>
          <w:szCs w:val="32"/>
        </w:rPr>
      </w:pPr>
    </w:p>
    <w:p w14:paraId="57F45AFB">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45"/>
      <w:bookmarkEnd w:id="47"/>
      <w:bookmarkStart w:id="49" w:name="_Toc15396619"/>
    </w:p>
    <w:p w14:paraId="631FA41A">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49"/>
    </w:p>
    <w:p w14:paraId="39E98505">
      <w:pPr>
        <w:pStyle w:val="4"/>
        <w:rPr>
          <w:rFonts w:ascii="仿宋" w:hAnsi="仿宋" w:eastAsia="仿宋"/>
        </w:rPr>
      </w:pPr>
      <w:bookmarkStart w:id="50" w:name="_Toc15396620"/>
      <w:r>
        <w:rPr>
          <w:rFonts w:hint="eastAsia" w:ascii="仿宋" w:hAnsi="仿宋" w:eastAsia="仿宋"/>
          <w:b w:val="0"/>
        </w:rPr>
        <w:t>二、收</w:t>
      </w:r>
      <w:r>
        <w:rPr>
          <w:rStyle w:val="28"/>
          <w:rFonts w:hint="eastAsia" w:ascii="仿宋" w:hAnsi="仿宋" w:eastAsia="仿宋"/>
          <w:b w:val="0"/>
          <w:bCs w:val="0"/>
        </w:rPr>
        <w:t>入决算表</w:t>
      </w:r>
      <w:bookmarkEnd w:id="50"/>
    </w:p>
    <w:p w14:paraId="513DAA80">
      <w:pPr>
        <w:pStyle w:val="4"/>
        <w:rPr>
          <w:rFonts w:ascii="仿宋" w:hAnsi="仿宋" w:eastAsia="仿宋"/>
        </w:rPr>
      </w:pPr>
      <w:bookmarkStart w:id="51"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1"/>
    </w:p>
    <w:p w14:paraId="24B3033B">
      <w:pPr>
        <w:pStyle w:val="4"/>
        <w:rPr>
          <w:rFonts w:ascii="仿宋" w:hAnsi="仿宋" w:eastAsia="仿宋"/>
          <w:b w:val="0"/>
        </w:rPr>
      </w:pPr>
      <w:bookmarkStart w:id="52"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2"/>
    </w:p>
    <w:p w14:paraId="2C0BC193">
      <w:pPr>
        <w:pStyle w:val="4"/>
        <w:rPr>
          <w:rStyle w:val="28"/>
          <w:rFonts w:ascii="仿宋" w:hAnsi="仿宋" w:eastAsia="仿宋"/>
          <w:b w:val="0"/>
          <w:bCs w:val="0"/>
        </w:rPr>
      </w:pPr>
      <w:bookmarkStart w:id="53"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3"/>
      <w:bookmarkStart w:id="54" w:name="_Toc15396624"/>
    </w:p>
    <w:p w14:paraId="127F111A">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4"/>
    </w:p>
    <w:p w14:paraId="121218FA">
      <w:pPr>
        <w:pStyle w:val="4"/>
        <w:rPr>
          <w:rFonts w:ascii="仿宋" w:hAnsi="仿宋" w:eastAsia="仿宋"/>
        </w:rPr>
      </w:pPr>
      <w:bookmarkStart w:id="55"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55"/>
    </w:p>
    <w:p w14:paraId="75B1DF2D">
      <w:pPr>
        <w:pStyle w:val="4"/>
        <w:rPr>
          <w:rFonts w:ascii="仿宋" w:hAnsi="仿宋" w:eastAsia="仿宋"/>
        </w:rPr>
      </w:pPr>
      <w:bookmarkStart w:id="56"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56"/>
    </w:p>
    <w:p w14:paraId="71DACF32">
      <w:pPr>
        <w:pStyle w:val="4"/>
        <w:rPr>
          <w:rFonts w:ascii="仿宋" w:hAnsi="仿宋" w:eastAsia="仿宋"/>
        </w:rPr>
      </w:pPr>
      <w:bookmarkStart w:id="57"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57"/>
    </w:p>
    <w:p w14:paraId="79F4495D">
      <w:pPr>
        <w:pStyle w:val="4"/>
        <w:rPr>
          <w:rFonts w:ascii="仿宋" w:hAnsi="仿宋" w:eastAsia="仿宋"/>
        </w:rPr>
      </w:pPr>
      <w:bookmarkStart w:id="58" w:name="_Toc15396628"/>
      <w:r>
        <w:rPr>
          <w:rStyle w:val="28"/>
          <w:rFonts w:hint="eastAsia" w:ascii="仿宋" w:hAnsi="仿宋" w:eastAsia="仿宋"/>
          <w:b w:val="0"/>
          <w:bCs w:val="0"/>
        </w:rPr>
        <w:t>十、</w:t>
      </w:r>
      <w:bookmarkEnd w:id="58"/>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737E6F6B">
      <w:pPr>
        <w:pStyle w:val="4"/>
        <w:rPr>
          <w:rFonts w:ascii="仿宋" w:hAnsi="仿宋" w:eastAsia="仿宋"/>
        </w:rPr>
      </w:pPr>
      <w:bookmarkStart w:id="59" w:name="_Toc15396629"/>
      <w:r>
        <w:rPr>
          <w:rStyle w:val="28"/>
          <w:rFonts w:hint="eastAsia" w:ascii="仿宋" w:hAnsi="仿宋" w:eastAsia="仿宋"/>
          <w:b w:val="0"/>
          <w:bCs w:val="0"/>
        </w:rPr>
        <w:t>十一、</w:t>
      </w:r>
      <w:bookmarkEnd w:id="59"/>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0ABADFCB">
      <w:pPr>
        <w:pStyle w:val="4"/>
        <w:rPr>
          <w:rFonts w:ascii="仿宋" w:hAnsi="仿宋" w:eastAsia="仿宋"/>
        </w:rPr>
      </w:pPr>
      <w:bookmarkStart w:id="60" w:name="_Toc15396630"/>
      <w:r>
        <w:rPr>
          <w:rStyle w:val="28"/>
          <w:rFonts w:hint="eastAsia" w:ascii="仿宋" w:hAnsi="仿宋" w:eastAsia="仿宋"/>
          <w:b w:val="0"/>
          <w:bCs w:val="0"/>
        </w:rPr>
        <w:t>十二、</w:t>
      </w:r>
      <w:bookmarkEnd w:id="60"/>
      <w:r>
        <w:rPr>
          <w:rStyle w:val="28"/>
          <w:rFonts w:hint="eastAsia" w:ascii="仿宋" w:hAnsi="仿宋" w:eastAsia="仿宋"/>
          <w:b w:val="0"/>
          <w:bCs w:val="0"/>
        </w:rPr>
        <w:t>国有资本经营预算财政拨款支出决算表</w:t>
      </w:r>
    </w:p>
    <w:p w14:paraId="4E64A1BA">
      <w:pPr>
        <w:pStyle w:val="4"/>
        <w:rPr>
          <w:rFonts w:eastAsia="仿宋"/>
        </w:rPr>
      </w:pPr>
      <w:bookmarkStart w:id="61" w:name="_Toc15396631"/>
      <w:r>
        <w:rPr>
          <w:rStyle w:val="28"/>
          <w:rFonts w:hint="eastAsia" w:ascii="仿宋" w:hAnsi="仿宋" w:eastAsia="仿宋"/>
          <w:b w:val="0"/>
          <w:bCs w:val="0"/>
        </w:rPr>
        <w:t>十三、</w:t>
      </w:r>
      <w:bookmarkEnd w:id="61"/>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4A1077A">
        <w:pPr>
          <w:pStyle w:val="9"/>
          <w:jc w:val="center"/>
        </w:pPr>
        <w:r>
          <w:fldChar w:fldCharType="begin"/>
        </w:r>
        <w:r>
          <w:instrText xml:space="preserve">PAGE   \* MERGEFORMAT</w:instrText>
        </w:r>
        <w:r>
          <w:fldChar w:fldCharType="separate"/>
        </w:r>
        <w:r>
          <w:rPr>
            <w:lang w:val="zh-CN"/>
          </w:rPr>
          <w:t>15</w:t>
        </w:r>
        <w:r>
          <w:fldChar w:fldCharType="end"/>
        </w:r>
      </w:p>
    </w:sdtContent>
  </w:sdt>
  <w:p w14:paraId="7DF7AC3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C770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4DA08592"/>
    <w:multiLevelType w:val="singleLevel"/>
    <w:tmpl w:val="4DA08592"/>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ZmMzNGE3ZjMyYjg1MzdlMjZkNzQ2Yjc0ZGEyOG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C055FF"/>
    <w:rsid w:val="118107EC"/>
    <w:rsid w:val="11C60597"/>
    <w:rsid w:val="11DD6519"/>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4B4D8F"/>
    <w:rsid w:val="2F9D17E1"/>
    <w:rsid w:val="30B46D73"/>
    <w:rsid w:val="319F7F4E"/>
    <w:rsid w:val="356A28F1"/>
    <w:rsid w:val="357C035A"/>
    <w:rsid w:val="368E000D"/>
    <w:rsid w:val="383D272C"/>
    <w:rsid w:val="39AE70AB"/>
    <w:rsid w:val="3A4DCE41"/>
    <w:rsid w:val="3BCB56FA"/>
    <w:rsid w:val="3C0C0783"/>
    <w:rsid w:val="3EE7C2F4"/>
    <w:rsid w:val="3F371B56"/>
    <w:rsid w:val="3F49205C"/>
    <w:rsid w:val="3F792ED8"/>
    <w:rsid w:val="3F9F3A96"/>
    <w:rsid w:val="3FECA4B2"/>
    <w:rsid w:val="3FF58C48"/>
    <w:rsid w:val="403070CC"/>
    <w:rsid w:val="42FF6694"/>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4CA39A1"/>
    <w:rsid w:val="69630ADE"/>
    <w:rsid w:val="69BD5F13"/>
    <w:rsid w:val="69FB0B4B"/>
    <w:rsid w:val="6BFFE1FB"/>
    <w:rsid w:val="6C4A05C8"/>
    <w:rsid w:val="6CC41340"/>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4463</Words>
  <Characters>4738</Characters>
  <Lines>54</Lines>
  <Paragraphs>15</Paragraphs>
  <TotalTime>1</TotalTime>
  <ScaleCrop>false</ScaleCrop>
  <LinksUpToDate>false</LinksUpToDate>
  <CharactersWithSpaces>4760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青春</cp:lastModifiedBy>
  <cp:lastPrinted>2023-08-03T02:35:00Z</cp:lastPrinted>
  <dcterms:modified xsi:type="dcterms:W3CDTF">2024-10-23T10:46:59Z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9ED9C8C9C3FE482091839BCFD9CB4F6E_12</vt:lpwstr>
  </property>
</Properties>
</file>