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66"/>
        <w:ind w:right="195" w:firstLine="0" w:firstLineChars="0"/>
        <w:jc w:val="center"/>
        <w:rPr>
          <w:rFonts w:ascii="Times New Roman" w:hAnsi="Times New Roman" w:cs="Times New Roman"/>
          <w:b/>
          <w:sz w:val="52"/>
          <w:szCs w:val="52"/>
        </w:rPr>
      </w:pPr>
    </w:p>
    <w:p>
      <w:pPr>
        <w:spacing w:before="266"/>
        <w:ind w:right="195" w:firstLine="0" w:firstLineChars="0"/>
        <w:jc w:val="center"/>
        <w:rPr>
          <w:rFonts w:ascii="Times New Roman" w:hAnsi="Times New Roman" w:eastAsia="方正小标宋简体" w:cs="Times New Roman"/>
          <w:b/>
          <w:sz w:val="52"/>
          <w:szCs w:val="52"/>
        </w:rPr>
      </w:pPr>
      <w:r>
        <w:rPr>
          <w:rFonts w:ascii="Times New Roman" w:hAnsi="Times New Roman" w:eastAsia="华文中宋" w:cs="Times New Roman"/>
          <w:b/>
          <w:sz w:val="52"/>
          <w:szCs w:val="52"/>
          <w:lang w:val="en-US"/>
        </w:rPr>
        <w:t xml:space="preserve">  </w:t>
      </w:r>
      <w:r>
        <w:rPr>
          <w:rFonts w:ascii="Times New Roman" w:hAnsi="方正小标宋简体" w:eastAsia="方正小标宋简体" w:cs="Times New Roman"/>
          <w:b/>
          <w:sz w:val="52"/>
          <w:szCs w:val="52"/>
          <w:lang w:val="en-US"/>
        </w:rPr>
        <w:t>达州市大竹县</w:t>
      </w:r>
      <w:r>
        <w:rPr>
          <w:rFonts w:ascii="Times New Roman" w:hAnsi="方正小标宋简体" w:eastAsia="方正小标宋简体" w:cs="Times New Roman"/>
          <w:b/>
          <w:sz w:val="52"/>
          <w:szCs w:val="52"/>
        </w:rPr>
        <w:t>自然保护地整合优化</w:t>
      </w:r>
    </w:p>
    <w:p>
      <w:pPr>
        <w:spacing w:before="266"/>
        <w:ind w:right="195" w:firstLine="0" w:firstLineChars="0"/>
        <w:jc w:val="center"/>
        <w:rPr>
          <w:rFonts w:ascii="Times New Roman" w:hAnsi="Times New Roman" w:eastAsia="方正小标宋简体" w:cs="Times New Roman"/>
          <w:b/>
          <w:sz w:val="52"/>
          <w:szCs w:val="52"/>
        </w:rPr>
      </w:pPr>
      <w:r>
        <w:rPr>
          <w:rFonts w:ascii="Times New Roman" w:hAnsi="方正小标宋简体" w:eastAsia="方正小标宋简体" w:cs="Times New Roman"/>
          <w:b/>
          <w:sz w:val="52"/>
          <w:szCs w:val="52"/>
        </w:rPr>
        <w:t>方</w:t>
      </w:r>
      <w:r>
        <w:rPr>
          <w:rFonts w:ascii="Times New Roman" w:hAnsi="Times New Roman" w:eastAsia="方正小标宋简体" w:cs="Times New Roman"/>
          <w:b/>
          <w:sz w:val="52"/>
          <w:szCs w:val="52"/>
          <w:lang w:val="en-US"/>
        </w:rPr>
        <w:t xml:space="preserve"> </w:t>
      </w:r>
      <w:r>
        <w:rPr>
          <w:rFonts w:ascii="Times New Roman" w:hAnsi="方正小标宋简体" w:eastAsia="方正小标宋简体" w:cs="Times New Roman"/>
          <w:b/>
          <w:sz w:val="52"/>
          <w:szCs w:val="52"/>
        </w:rPr>
        <w:t>案</w:t>
      </w: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pStyle w:val="5"/>
        <w:ind w:firstLine="560"/>
        <w:rPr>
          <w:rFonts w:ascii="Times New Roman" w:hAnsi="Times New Roman" w:cs="Times New Roman"/>
          <w:sz w:val="28"/>
          <w:szCs w:val="28"/>
        </w:rPr>
      </w:pPr>
    </w:p>
    <w:p>
      <w:pPr>
        <w:spacing w:line="578" w:lineRule="exact"/>
        <w:ind w:left="561" w:firstLine="0" w:firstLineChars="0"/>
        <w:jc w:val="center"/>
        <w:rPr>
          <w:rFonts w:ascii="Times New Roman" w:hAnsi="Times New Roman" w:eastAsia="仿宋_GB2312" w:cs="Times New Roman"/>
          <w:b/>
          <w:sz w:val="36"/>
          <w:szCs w:val="36"/>
          <w:lang w:val="en-US"/>
        </w:rPr>
      </w:pPr>
      <w:r>
        <w:rPr>
          <w:rFonts w:ascii="Times New Roman" w:hAnsi="仿宋_GB2312" w:eastAsia="仿宋_GB2312" w:cs="Times New Roman"/>
          <w:b/>
          <w:sz w:val="36"/>
          <w:szCs w:val="36"/>
        </w:rPr>
        <w:t>大竹县林业局</w:t>
      </w:r>
    </w:p>
    <w:p>
      <w:pPr>
        <w:spacing w:line="578" w:lineRule="exact"/>
        <w:ind w:left="561" w:firstLine="0" w:firstLineChars="0"/>
        <w:jc w:val="center"/>
        <w:rPr>
          <w:rFonts w:ascii="Times New Roman" w:hAnsi="Times New Roman" w:eastAsia="仿宋_GB2312" w:cs="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10" w:h="16840"/>
          <w:pgMar w:top="1418" w:right="1418" w:bottom="1418" w:left="1418" w:header="850" w:footer="964" w:gutter="0"/>
          <w:cols w:space="720" w:num="1"/>
          <w:docGrid w:linePitch="381" w:charSpace="0"/>
        </w:sectPr>
      </w:pPr>
      <w:r>
        <w:rPr>
          <w:rFonts w:ascii="Times New Roman" w:hAnsi="Times New Roman" w:eastAsia="仿宋_GB2312" w:cs="Times New Roman"/>
          <w:b/>
          <w:sz w:val="36"/>
          <w:szCs w:val="36"/>
        </w:rPr>
        <w:t>2023</w:t>
      </w:r>
      <w:r>
        <w:rPr>
          <w:rFonts w:ascii="Times New Roman" w:hAnsi="仿宋_GB2312" w:eastAsia="仿宋_GB2312" w:cs="Times New Roman"/>
          <w:b/>
          <w:sz w:val="36"/>
          <w:szCs w:val="36"/>
        </w:rPr>
        <w:t>年</w:t>
      </w:r>
      <w:r>
        <w:rPr>
          <w:rFonts w:ascii="Times New Roman" w:hAnsi="Times New Roman" w:eastAsia="仿宋_GB2312" w:cs="Times New Roman"/>
          <w:b/>
          <w:sz w:val="36"/>
          <w:szCs w:val="36"/>
          <w:lang w:val="en-US"/>
        </w:rPr>
        <w:t>4</w:t>
      </w:r>
      <w:r>
        <w:rPr>
          <w:rFonts w:ascii="Times New Roman" w:hAnsi="仿宋_GB2312" w:eastAsia="仿宋_GB2312" w:cs="Times New Roman"/>
          <w:b/>
          <w:sz w:val="36"/>
          <w:szCs w:val="36"/>
        </w:rPr>
        <w:t>月</w:t>
      </w:r>
    </w:p>
    <w:sdt>
      <w:sdtPr>
        <w:rPr>
          <w:rFonts w:ascii="Times New Roman" w:hAnsi="Times New Roman" w:eastAsia="仿宋" w:cs="Times New Roman"/>
          <w:b w:val="0"/>
          <w:bCs w:val="0"/>
          <w:color w:val="auto"/>
          <w:szCs w:val="22"/>
          <w:lang w:val="zh-CN" w:bidi="zh-CN"/>
        </w:rPr>
        <w:id w:val="1184397440"/>
        <w:docPartObj>
          <w:docPartGallery w:val="Table of Contents"/>
          <w:docPartUnique/>
        </w:docPartObj>
      </w:sdtPr>
      <w:sdtEndPr>
        <w:rPr>
          <w:rFonts w:ascii="Times New Roman" w:hAnsi="Times New Roman" w:eastAsia="仿宋" w:cs="Times New Roman"/>
          <w:b w:val="0"/>
          <w:bCs w:val="0"/>
          <w:color w:val="auto"/>
          <w:szCs w:val="28"/>
          <w:lang w:val="zh-CN" w:bidi="zh-CN"/>
        </w:rPr>
      </w:sdtEndPr>
      <w:sdtContent>
        <w:p>
          <w:pPr>
            <w:pStyle w:val="22"/>
            <w:spacing w:line="680" w:lineRule="exact"/>
            <w:ind w:firstLine="560"/>
            <w:jc w:val="center"/>
            <w:rPr>
              <w:rFonts w:ascii="Times New Roman" w:hAnsi="Times New Roman" w:eastAsia="仿宋" w:cs="Times New Roman"/>
              <w:color w:val="auto"/>
              <w:sz w:val="30"/>
              <w:szCs w:val="30"/>
            </w:rPr>
          </w:pPr>
          <w:r>
            <w:rPr>
              <w:rFonts w:ascii="Times New Roman" w:hAnsi="Times New Roman" w:eastAsia="华文中宋" w:cs="Times New Roman"/>
              <w:color w:val="auto"/>
              <w:sz w:val="32"/>
              <w:szCs w:val="32"/>
              <w:lang w:val="zh-CN"/>
            </w:rPr>
            <w:t>目  录</w:t>
          </w:r>
        </w:p>
        <w:p>
          <w:pPr>
            <w:pStyle w:val="10"/>
            <w:tabs>
              <w:tab w:val="right" w:leader="dot" w:pos="9064"/>
            </w:tabs>
            <w:ind w:firstLine="600"/>
            <w:rPr>
              <w:rFonts w:ascii="Times New Roman" w:hAnsi="Times New Roman" w:cs="Times New Roman" w:eastAsiaTheme="minorEastAsia"/>
              <w:kern w:val="2"/>
              <w:sz w:val="21"/>
              <w:szCs w:val="22"/>
              <w:lang w:val="en-US" w:bidi="ar-SA"/>
            </w:rPr>
          </w:pPr>
          <w:r>
            <w:rPr>
              <w:rFonts w:ascii="Times New Roman" w:hAnsi="Times New Roman" w:eastAsia="仿宋" w:cs="Times New Roman"/>
              <w:sz w:val="30"/>
              <w:szCs w:val="30"/>
            </w:rPr>
            <w:fldChar w:fldCharType="begin"/>
          </w:r>
          <w:r>
            <w:rPr>
              <w:rFonts w:ascii="Times New Roman" w:hAnsi="Times New Roman" w:eastAsia="仿宋" w:cs="Times New Roman"/>
              <w:sz w:val="30"/>
              <w:szCs w:val="30"/>
            </w:rPr>
            <w:instrText xml:space="preserve"> TOC \o "1-3" \h \z \u </w:instrText>
          </w:r>
          <w:r>
            <w:rPr>
              <w:rFonts w:ascii="Times New Roman" w:hAnsi="Times New Roman" w:eastAsia="仿宋" w:cs="Times New Roman"/>
              <w:sz w:val="30"/>
              <w:szCs w:val="30"/>
            </w:rPr>
            <w:fldChar w:fldCharType="separate"/>
          </w:r>
          <w:r>
            <w:fldChar w:fldCharType="begin"/>
          </w:r>
          <w:r>
            <w:instrText xml:space="preserve"> HYPERLINK \l "_Toc130654985" </w:instrText>
          </w:r>
          <w:r>
            <w:fldChar w:fldCharType="separate"/>
          </w:r>
          <w:r>
            <w:rPr>
              <w:rStyle w:val="15"/>
              <w:rFonts w:ascii="Times New Roman" w:hAnsi="Times New Roman" w:cs="Times New Roman"/>
            </w:rPr>
            <w:t>一、概况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_Toc130654985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"_Toc130654986" </w:instrText>
          </w:r>
          <w:r>
            <w:fldChar w:fldCharType="separate"/>
          </w:r>
          <w:r>
            <w:rPr>
              <w:rStyle w:val="15"/>
              <w:rFonts w:ascii="Times New Roman" w:hAnsi="Times New Roman" w:cs="Times New Roman"/>
            </w:rPr>
            <w:t>（一）自然生态现状及保护价值</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_Toc130654986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"_Toc130654987" </w:instrText>
          </w:r>
          <w:r>
            <w:fldChar w:fldCharType="separate"/>
          </w:r>
          <w:r>
            <w:rPr>
              <w:rStyle w:val="15"/>
              <w:rFonts w:ascii="Times New Roman" w:hAnsi="Times New Roman" w:cs="Times New Roman"/>
            </w:rPr>
            <w:t>（二）自然保护地现状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_Toc130654987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"_Toc130654988" </w:instrText>
          </w:r>
          <w:r>
            <w:fldChar w:fldCharType="separate"/>
          </w:r>
          <w:r>
            <w:rPr>
              <w:rStyle w:val="15"/>
              <w:rFonts w:ascii="Times New Roman" w:hAnsi="Times New Roman" w:cs="Times New Roman"/>
            </w:rPr>
            <w:t>（三）整合优化工作开展情况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_Toc130654988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"_Toc130654989" </w:instrText>
          </w:r>
          <w:r>
            <w:fldChar w:fldCharType="separate"/>
          </w:r>
          <w:r>
            <w:rPr>
              <w:rStyle w:val="15"/>
              <w:rFonts w:ascii="Times New Roman" w:hAnsi="Times New Roman" w:cs="Times New Roman"/>
            </w:rPr>
            <w:t>二、自然保护地存在主要问题和冲突现状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_Toc130654989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"_Toc130654990" </w:instrText>
          </w:r>
          <w:r>
            <w:fldChar w:fldCharType="separate"/>
          </w:r>
          <w:r>
            <w:rPr>
              <w:rStyle w:val="15"/>
              <w:rFonts w:ascii="Times New Roman" w:hAnsi="Times New Roman" w:cs="Times New Roman"/>
              <w:w w:val="95"/>
            </w:rPr>
            <w:t>（一）不同类型自然保护地交叉重叠情况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_Toc130654990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"_Toc130654991" </w:instrText>
          </w:r>
          <w:r>
            <w:fldChar w:fldCharType="separate"/>
          </w:r>
          <w:r>
            <w:rPr>
              <w:rStyle w:val="15"/>
              <w:rFonts w:ascii="Times New Roman" w:hAnsi="Times New Roman" w:cs="Times New Roman"/>
            </w:rPr>
            <w:t>（二）现有自然保护地内冲突概况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_Toc130654991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"_Toc130654992" </w:instrText>
          </w:r>
          <w:r>
            <w:fldChar w:fldCharType="separate"/>
          </w:r>
          <w:r>
            <w:rPr>
              <w:rStyle w:val="15"/>
              <w:rFonts w:ascii="Times New Roman" w:hAnsi="Times New Roman" w:cs="Times New Roman"/>
            </w:rPr>
            <w:t>三、自然保护地整合优化方案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_Toc130654992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"_Toc130654993" </w:instrText>
          </w:r>
          <w:r>
            <w:fldChar w:fldCharType="separate"/>
          </w:r>
          <w:r>
            <w:rPr>
              <w:rStyle w:val="15"/>
              <w:rFonts w:ascii="Times New Roman" w:hAnsi="Times New Roman" w:cs="Times New Roman"/>
            </w:rPr>
            <w:t>（一）整合优化结果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_Toc130654993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"_Toc130654994" </w:instrText>
          </w:r>
          <w:r>
            <w:fldChar w:fldCharType="separate"/>
          </w:r>
          <w:r>
            <w:rPr>
              <w:rStyle w:val="15"/>
              <w:rFonts w:ascii="Times New Roman" w:hAnsi="Times New Roman" w:cs="Times New Roman"/>
            </w:rPr>
            <w:t>（二）四川五峰山国家森林公园整合优化方案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_Toc130654994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"_Toc130654995" </w:instrText>
          </w:r>
          <w:r>
            <w:fldChar w:fldCharType="separate"/>
          </w:r>
          <w:r>
            <w:rPr>
              <w:rStyle w:val="15"/>
              <w:rFonts w:ascii="Times New Roman" w:hAnsi="Times New Roman" w:cs="Times New Roman"/>
            </w:rPr>
            <w:t>（三）四川大竹百岛湖省级湿地公园整合优化方案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_Toc130654995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"_Toc130654996" </w:instrText>
          </w:r>
          <w:r>
            <w:fldChar w:fldCharType="separate"/>
          </w:r>
          <w:r>
            <w:rPr>
              <w:rStyle w:val="15"/>
              <w:rFonts w:ascii="Times New Roman" w:hAnsi="Times New Roman" w:cs="Times New Roman"/>
            </w:rPr>
            <w:t>四、影响和效益评价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_Toc130654996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"_Toc130654997" </w:instrText>
          </w:r>
          <w:r>
            <w:fldChar w:fldCharType="separate"/>
          </w:r>
          <w:r>
            <w:rPr>
              <w:rStyle w:val="15"/>
              <w:rFonts w:ascii="Times New Roman" w:hAnsi="Times New Roman" w:cs="Times New Roman"/>
            </w:rPr>
            <w:t>（一）效益评价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_Toc130654997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"_Toc130654998" </w:instrText>
          </w:r>
          <w:r>
            <w:fldChar w:fldCharType="separate"/>
          </w:r>
          <w:r>
            <w:rPr>
              <w:rStyle w:val="15"/>
              <w:rFonts w:ascii="Times New Roman" w:hAnsi="Times New Roman" w:cs="Times New Roman"/>
            </w:rPr>
            <w:t>（二）影响评价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_Toc130654998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"_Toc130654999" </w:instrText>
          </w:r>
          <w:r>
            <w:fldChar w:fldCharType="separate"/>
          </w:r>
          <w:r>
            <w:rPr>
              <w:rStyle w:val="15"/>
              <w:rFonts w:ascii="Times New Roman" w:hAnsi="Times New Roman" w:cs="Times New Roman"/>
            </w:rPr>
            <w:t>五、相关意见和承诺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_Toc130654999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"_Toc130655000" </w:instrText>
          </w:r>
          <w:r>
            <w:fldChar w:fldCharType="separate"/>
          </w:r>
          <w:r>
            <w:rPr>
              <w:rStyle w:val="15"/>
              <w:rFonts w:ascii="Times New Roman" w:hAnsi="Times New Roman" w:cs="Times New Roman"/>
            </w:rPr>
            <w:t>（一）相关意见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_Toc130655000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ind w:firstLine="560"/>
            <w:rPr>
              <w:rFonts w:ascii="Times New Roman" w:hAnsi="Times New Roman" w:cs="Times New Roman" w:eastAsiaTheme="minorEastAsia"/>
              <w:kern w:val="2"/>
              <w:sz w:val="21"/>
              <w:szCs w:val="22"/>
              <w:lang w:val="en-US" w:bidi="ar-SA"/>
            </w:rPr>
          </w:pPr>
          <w:r>
            <w:fldChar w:fldCharType="begin"/>
          </w:r>
          <w:r>
            <w:instrText xml:space="preserve"> HYPERLINK \l "_Toc130655001" </w:instrText>
          </w:r>
          <w:r>
            <w:fldChar w:fldCharType="separate"/>
          </w:r>
          <w:r>
            <w:rPr>
              <w:rStyle w:val="15"/>
              <w:rFonts w:ascii="Times New Roman" w:hAnsi="Times New Roman" w:cs="Times New Roman"/>
            </w:rPr>
            <w:t>（二）相关承诺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_Toc130655001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11"/>
            <w:tabs>
              <w:tab w:val="right" w:leader="dot" w:pos="9064"/>
            </w:tabs>
            <w:spacing w:before="0"/>
            <w:ind w:left="0" w:firstLine="560" w:firstLineChars="0"/>
            <w:rPr>
              <w:rFonts w:ascii="Times New Roman" w:hAnsi="Times New Roman" w:cs="Times New Roman"/>
            </w:rPr>
          </w:pPr>
          <w:r>
            <w:rPr>
              <w:rFonts w:ascii="Times New Roman" w:hAnsi="Times New Roman" w:cs="Times New Roman"/>
              <w:bCs/>
              <w:szCs w:val="30"/>
            </w:rPr>
            <w:fldChar w:fldCharType="end"/>
          </w:r>
        </w:p>
      </w:sdtContent>
    </w:sdt>
    <w:p>
      <w:pPr>
        <w:tabs>
          <w:tab w:val="left" w:pos="1360"/>
        </w:tabs>
        <w:spacing w:before="177" w:line="360" w:lineRule="auto"/>
        <w:ind w:firstLine="0" w:firstLineChars="0"/>
        <w:rPr>
          <w:rFonts w:ascii="Times New Roman" w:hAnsi="Times New Roman" w:eastAsia="仿宋_GB2312" w:cs="Times New Roman"/>
          <w:b/>
          <w:bCs/>
          <w:szCs w:val="28"/>
        </w:rPr>
      </w:pPr>
    </w:p>
    <w:p>
      <w:pPr>
        <w:tabs>
          <w:tab w:val="left" w:pos="1360"/>
        </w:tabs>
        <w:spacing w:before="177" w:line="360" w:lineRule="auto"/>
        <w:ind w:firstLine="0" w:firstLineChars="0"/>
        <w:rPr>
          <w:rFonts w:ascii="Times New Roman" w:hAnsi="Times New Roman" w:eastAsia="仿宋_GB2312" w:cs="Times New Roman"/>
          <w:b/>
          <w:bCs/>
          <w:szCs w:val="28"/>
        </w:rPr>
      </w:pPr>
      <w:r>
        <w:rPr>
          <w:rFonts w:ascii="Times New Roman" w:hAnsi="Times New Roman" w:eastAsia="仿宋_GB2312" w:cs="Times New Roman"/>
          <w:b/>
          <w:bCs/>
          <w:szCs w:val="28"/>
        </w:rPr>
        <w:t>附表:</w:t>
      </w:r>
    </w:p>
    <w:p>
      <w:pPr>
        <w:tabs>
          <w:tab w:val="left" w:pos="1360"/>
        </w:tabs>
        <w:spacing w:line="360" w:lineRule="auto"/>
        <w:ind w:firstLine="708" w:firstLineChars="253"/>
        <w:rPr>
          <w:rFonts w:ascii="Times New Roman" w:hAnsi="Times New Roman" w:eastAsia="仿宋_GB2312" w:cs="Times New Roman"/>
          <w:szCs w:val="28"/>
        </w:rPr>
      </w:pPr>
      <w:r>
        <w:rPr>
          <w:rFonts w:ascii="Times New Roman" w:hAnsi="Times New Roman" w:eastAsia="仿宋_GB2312" w:cs="Times New Roman"/>
          <w:szCs w:val="28"/>
          <w:lang w:val="en-US"/>
        </w:rPr>
        <w:t>1</w:t>
      </w:r>
      <w:r>
        <w:rPr>
          <w:rFonts w:ascii="Times New Roman" w:hAnsi="Times New Roman" w:eastAsia="仿宋_GB2312" w:cs="Times New Roman"/>
          <w:szCs w:val="28"/>
        </w:rPr>
        <w:t>．</w:t>
      </w:r>
      <w:r>
        <w:rPr>
          <w:rFonts w:ascii="Times New Roman" w:hAnsi="Times New Roman" w:eastAsia="仿宋_GB2312" w:cs="Times New Roman"/>
          <w:szCs w:val="28"/>
          <w:lang w:val="en-US"/>
        </w:rPr>
        <w:t>大竹县</w:t>
      </w:r>
      <w:r>
        <w:rPr>
          <w:rFonts w:ascii="Times New Roman" w:hAnsi="Times New Roman" w:eastAsia="仿宋_GB2312" w:cs="Times New Roman"/>
          <w:szCs w:val="28"/>
        </w:rPr>
        <w:t>整合优化前自然保护地</w:t>
      </w:r>
      <w:r>
        <w:rPr>
          <w:rFonts w:ascii="Times New Roman" w:hAnsi="Times New Roman" w:eastAsia="仿宋_GB2312" w:cs="Times New Roman"/>
          <w:szCs w:val="28"/>
          <w:lang w:val="en-US"/>
        </w:rPr>
        <w:t>名单</w:t>
      </w:r>
    </w:p>
    <w:p>
      <w:pPr>
        <w:tabs>
          <w:tab w:val="left" w:pos="1360"/>
        </w:tabs>
        <w:spacing w:line="360" w:lineRule="auto"/>
        <w:ind w:firstLine="708" w:firstLineChars="253"/>
        <w:rPr>
          <w:rFonts w:ascii="Times New Roman" w:hAnsi="Times New Roman" w:eastAsia="仿宋_GB2312" w:cs="Times New Roman"/>
          <w:szCs w:val="28"/>
        </w:rPr>
      </w:pPr>
      <w:r>
        <w:rPr>
          <w:rFonts w:ascii="Times New Roman" w:hAnsi="Times New Roman" w:eastAsia="仿宋_GB2312" w:cs="Times New Roman"/>
          <w:szCs w:val="28"/>
          <w:lang w:val="en-US"/>
        </w:rPr>
        <w:t>2</w:t>
      </w:r>
      <w:r>
        <w:rPr>
          <w:rFonts w:ascii="Times New Roman" w:hAnsi="Times New Roman" w:eastAsia="仿宋_GB2312" w:cs="Times New Roman"/>
          <w:szCs w:val="28"/>
        </w:rPr>
        <w:t>．</w:t>
      </w:r>
      <w:r>
        <w:rPr>
          <w:rFonts w:ascii="Times New Roman" w:hAnsi="Times New Roman" w:eastAsia="仿宋_GB2312" w:cs="Times New Roman"/>
          <w:szCs w:val="28"/>
          <w:lang w:val="en-US"/>
        </w:rPr>
        <w:t>大竹县</w:t>
      </w:r>
      <w:r>
        <w:rPr>
          <w:rFonts w:ascii="Times New Roman" w:hAnsi="Times New Roman" w:eastAsia="仿宋_GB2312" w:cs="Times New Roman"/>
          <w:szCs w:val="28"/>
        </w:rPr>
        <w:t>整合优化后自然保护地</w:t>
      </w:r>
      <w:r>
        <w:rPr>
          <w:rFonts w:ascii="Times New Roman" w:hAnsi="Times New Roman" w:eastAsia="仿宋_GB2312" w:cs="Times New Roman"/>
          <w:szCs w:val="28"/>
          <w:lang w:val="en-US"/>
        </w:rPr>
        <w:t>名单</w:t>
      </w:r>
    </w:p>
    <w:p>
      <w:pPr>
        <w:tabs>
          <w:tab w:val="left" w:pos="1360"/>
        </w:tabs>
        <w:spacing w:before="177" w:line="360" w:lineRule="auto"/>
        <w:ind w:firstLine="0" w:firstLineChars="0"/>
        <w:rPr>
          <w:rFonts w:ascii="Times New Roman" w:hAnsi="Times New Roman" w:eastAsia="仿宋_GB2312" w:cs="Times New Roman"/>
          <w:b/>
          <w:bCs/>
          <w:szCs w:val="28"/>
        </w:rPr>
      </w:pPr>
      <w:r>
        <w:rPr>
          <w:rFonts w:ascii="Times New Roman" w:hAnsi="Times New Roman" w:eastAsia="仿宋_GB2312" w:cs="Times New Roman"/>
          <w:b/>
          <w:bCs/>
          <w:szCs w:val="28"/>
        </w:rPr>
        <w:t>附图：</w:t>
      </w:r>
    </w:p>
    <w:p>
      <w:pPr>
        <w:tabs>
          <w:tab w:val="left" w:pos="1360"/>
        </w:tabs>
        <w:spacing w:before="177" w:line="360" w:lineRule="auto"/>
        <w:ind w:firstLine="708" w:firstLineChars="253"/>
        <w:rPr>
          <w:rFonts w:ascii="Times New Roman" w:hAnsi="Times New Roman" w:eastAsia="仿宋_GB2312" w:cs="Times New Roman"/>
          <w:szCs w:val="28"/>
        </w:rPr>
      </w:pPr>
      <w:r>
        <w:rPr>
          <w:rFonts w:ascii="Times New Roman" w:hAnsi="Times New Roman" w:eastAsia="仿宋_GB2312" w:cs="Times New Roman"/>
          <w:szCs w:val="28"/>
        </w:rPr>
        <w:t>1．</w:t>
      </w:r>
      <w:r>
        <w:rPr>
          <w:rFonts w:ascii="Times New Roman" w:hAnsi="Times New Roman" w:eastAsia="仿宋_GB2312" w:cs="Times New Roman"/>
          <w:szCs w:val="28"/>
          <w:lang w:val="en-US"/>
        </w:rPr>
        <w:t>大竹县</w:t>
      </w:r>
      <w:r>
        <w:rPr>
          <w:rFonts w:ascii="Times New Roman" w:hAnsi="Times New Roman" w:eastAsia="仿宋_GB2312" w:cs="Times New Roman"/>
          <w:szCs w:val="28"/>
        </w:rPr>
        <w:t>整合优化前自然保护地分布图</w:t>
      </w:r>
    </w:p>
    <w:p>
      <w:pPr>
        <w:tabs>
          <w:tab w:val="left" w:pos="1360"/>
        </w:tabs>
        <w:spacing w:line="360" w:lineRule="auto"/>
        <w:ind w:firstLine="708" w:firstLineChars="253"/>
        <w:rPr>
          <w:rFonts w:ascii="Times New Roman" w:hAnsi="Times New Roman" w:eastAsia="仿宋_GB2312" w:cs="Times New Roman"/>
          <w:szCs w:val="28"/>
        </w:rPr>
      </w:pPr>
      <w:r>
        <w:rPr>
          <w:rFonts w:ascii="Times New Roman" w:hAnsi="Times New Roman" w:eastAsia="仿宋_GB2312" w:cs="Times New Roman"/>
          <w:szCs w:val="28"/>
        </w:rPr>
        <w:t>2．</w:t>
      </w:r>
      <w:r>
        <w:rPr>
          <w:rFonts w:ascii="Times New Roman" w:hAnsi="Times New Roman" w:eastAsia="仿宋_GB2312" w:cs="Times New Roman"/>
          <w:szCs w:val="28"/>
          <w:lang w:val="en-US"/>
        </w:rPr>
        <w:t>大竹县</w:t>
      </w:r>
      <w:r>
        <w:rPr>
          <w:rFonts w:ascii="Times New Roman" w:hAnsi="Times New Roman" w:eastAsia="仿宋_GB2312" w:cs="Times New Roman"/>
          <w:szCs w:val="28"/>
        </w:rPr>
        <w:t>整合优化后自然保护地分布图</w:t>
      </w:r>
    </w:p>
    <w:p>
      <w:pPr>
        <w:tabs>
          <w:tab w:val="left" w:pos="1360"/>
        </w:tabs>
        <w:spacing w:line="360" w:lineRule="auto"/>
        <w:ind w:firstLine="708" w:firstLineChars="253"/>
        <w:rPr>
          <w:rFonts w:ascii="Times New Roman" w:hAnsi="Times New Roman" w:eastAsia="仿宋_GB2312" w:cs="Times New Roman"/>
          <w:szCs w:val="28"/>
        </w:rPr>
      </w:pPr>
      <w:r>
        <w:rPr>
          <w:rFonts w:ascii="Times New Roman" w:hAnsi="Times New Roman" w:eastAsia="仿宋_GB2312" w:cs="Times New Roman"/>
          <w:szCs w:val="28"/>
          <w:lang w:val="en-US"/>
        </w:rPr>
        <w:t>3</w:t>
      </w:r>
      <w:r>
        <w:rPr>
          <w:rFonts w:ascii="Times New Roman" w:hAnsi="Times New Roman" w:eastAsia="仿宋_GB2312" w:cs="Times New Roman"/>
          <w:szCs w:val="28"/>
        </w:rPr>
        <w:t>．大竹县整合优化后自然保护地与生态保护红线分布图</w:t>
      </w:r>
    </w:p>
    <w:p>
      <w:pPr>
        <w:tabs>
          <w:tab w:val="left" w:pos="1360"/>
        </w:tabs>
        <w:spacing w:line="360" w:lineRule="auto"/>
        <w:ind w:firstLine="708" w:firstLineChars="253"/>
        <w:rPr>
          <w:rFonts w:ascii="Times New Roman" w:hAnsi="Times New Roman" w:eastAsia="仿宋_GB2312" w:cs="Times New Roman"/>
          <w:szCs w:val="28"/>
          <w:highlight w:val="yellow"/>
          <w:lang w:val="en-US"/>
        </w:rPr>
      </w:pPr>
      <w:r>
        <w:rPr>
          <w:rFonts w:ascii="Times New Roman" w:hAnsi="Times New Roman" w:eastAsia="仿宋_GB2312" w:cs="Times New Roman"/>
          <w:szCs w:val="28"/>
          <w:lang w:val="en-US"/>
        </w:rPr>
        <w:t>4-1 四川五峰山国家森林公园整合优化前后对比图</w:t>
      </w:r>
    </w:p>
    <w:p>
      <w:pPr>
        <w:tabs>
          <w:tab w:val="left" w:pos="1360"/>
        </w:tabs>
        <w:spacing w:line="360" w:lineRule="auto"/>
        <w:ind w:firstLine="708" w:firstLineChars="253"/>
        <w:rPr>
          <w:rFonts w:ascii="Times New Roman" w:hAnsi="Times New Roman" w:eastAsia="仿宋_GB2312" w:cs="Times New Roman"/>
          <w:szCs w:val="28"/>
          <w:highlight w:val="yellow"/>
          <w:lang w:val="en-US"/>
        </w:rPr>
      </w:pPr>
      <w:r>
        <w:rPr>
          <w:rFonts w:ascii="Times New Roman" w:hAnsi="Times New Roman" w:eastAsia="仿宋_GB2312" w:cs="Times New Roman"/>
          <w:szCs w:val="28"/>
          <w:lang w:val="en-US"/>
        </w:rPr>
        <w:t>4-2 四川大竹百岛湖省级湿地公园整合优化前后对比图</w:t>
      </w:r>
    </w:p>
    <w:p>
      <w:pPr>
        <w:tabs>
          <w:tab w:val="left" w:pos="1360"/>
        </w:tabs>
        <w:spacing w:line="360" w:lineRule="auto"/>
        <w:ind w:firstLine="708" w:firstLineChars="253"/>
        <w:rPr>
          <w:rFonts w:ascii="Times New Roman" w:hAnsi="Times New Roman" w:eastAsia="仿宋_GB2312" w:cs="Times New Roman"/>
          <w:szCs w:val="28"/>
        </w:rPr>
      </w:pPr>
    </w:p>
    <w:p>
      <w:pPr>
        <w:tabs>
          <w:tab w:val="left" w:pos="1360"/>
        </w:tabs>
        <w:spacing w:line="360" w:lineRule="auto"/>
        <w:ind w:firstLine="708" w:firstLineChars="253"/>
        <w:rPr>
          <w:rFonts w:ascii="Times New Roman" w:hAnsi="Times New Roman" w:eastAsia="仿宋_GB2312" w:cs="Times New Roman"/>
          <w:szCs w:val="28"/>
        </w:rPr>
      </w:pPr>
    </w:p>
    <w:p>
      <w:pPr>
        <w:spacing w:line="360" w:lineRule="auto"/>
        <w:ind w:firstLine="708" w:firstLineChars="253"/>
        <w:rPr>
          <w:rFonts w:ascii="Times New Roman" w:hAnsi="Times New Roman" w:cs="Times New Roman"/>
          <w:szCs w:val="28"/>
        </w:rPr>
        <w:sectPr>
          <w:footerReference r:id="rId11" w:type="default"/>
          <w:footerReference r:id="rId12" w:type="even"/>
          <w:pgSz w:w="11910" w:h="16840"/>
          <w:pgMar w:top="1418" w:right="1418" w:bottom="1418" w:left="1418" w:header="794" w:footer="794" w:gutter="0"/>
          <w:pgNumType w:fmt="lowerRoman" w:start="1"/>
          <w:cols w:space="720" w:num="1"/>
          <w:docGrid w:linePitch="381" w:charSpace="0"/>
        </w:sectPr>
      </w:pP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根据自然资函〔2020〕71号、自然资办发〔2020〕42号、自然资函〔2020〕861号、自然资办函〔2021〕458号、办函保字〔2022〕99号</w:t>
      </w:r>
      <w:r>
        <w:rPr>
          <w:rFonts w:ascii="Times New Roman" w:hAnsi="Times New Roman" w:eastAsia="仿宋_GB2312" w:cs="Times New Roman"/>
          <w:spacing w:val="-4"/>
          <w:sz w:val="32"/>
          <w:szCs w:val="32"/>
        </w:rPr>
        <w:t>和四川省林业和草原局、四川省自然资源厅、四川省生态环境厅《关于编制报送自然保护</w:t>
      </w:r>
      <w:r>
        <w:rPr>
          <w:rFonts w:ascii="Times New Roman" w:hAnsi="Times New Roman" w:eastAsia="仿宋_GB2312" w:cs="Times New Roman"/>
          <w:spacing w:val="-8"/>
          <w:sz w:val="32"/>
          <w:szCs w:val="32"/>
        </w:rPr>
        <w:t>地整合优化方案的函》</w:t>
      </w:r>
      <w:r>
        <w:rPr>
          <w:rFonts w:ascii="Times New Roman" w:hAnsi="Times New Roman" w:eastAsia="仿宋_GB2312" w:cs="Times New Roman"/>
          <w:spacing w:val="4"/>
          <w:sz w:val="32"/>
          <w:szCs w:val="32"/>
        </w:rPr>
        <w:t>（川林护函〔</w:t>
      </w:r>
      <w:r>
        <w:rPr>
          <w:rFonts w:ascii="Times New Roman" w:hAnsi="Times New Roman" w:eastAsia="仿宋_GB2312" w:cs="Times New Roman"/>
          <w:sz w:val="32"/>
          <w:szCs w:val="32"/>
        </w:rPr>
        <w:t>2023</w:t>
      </w:r>
      <w:r>
        <w:rPr>
          <w:rFonts w:ascii="Times New Roman" w:hAnsi="Times New Roman" w:eastAsia="仿宋_GB2312" w:cs="Times New Roman"/>
          <w:spacing w:val="4"/>
          <w:sz w:val="32"/>
          <w:szCs w:val="32"/>
        </w:rPr>
        <w:t>〕</w:t>
      </w:r>
      <w:r>
        <w:rPr>
          <w:rFonts w:ascii="Times New Roman" w:hAnsi="Times New Roman" w:eastAsia="仿宋_GB2312" w:cs="Times New Roman"/>
          <w:sz w:val="32"/>
          <w:szCs w:val="32"/>
        </w:rPr>
        <w:t>228</w:t>
      </w:r>
      <w:r>
        <w:rPr>
          <w:rFonts w:ascii="Times New Roman" w:hAnsi="Times New Roman" w:eastAsia="仿宋_GB2312" w:cs="Times New Roman"/>
          <w:spacing w:val="-33"/>
          <w:sz w:val="32"/>
          <w:szCs w:val="32"/>
        </w:rPr>
        <w:t>号</w:t>
      </w:r>
      <w:r>
        <w:rPr>
          <w:rFonts w:ascii="Times New Roman" w:hAnsi="Times New Roman" w:eastAsia="仿宋_GB2312" w:cs="Times New Roman"/>
          <w:spacing w:val="4"/>
          <w:sz w:val="32"/>
          <w:szCs w:val="32"/>
        </w:rPr>
        <w:t>）</w:t>
      </w:r>
      <w:r>
        <w:rPr>
          <w:rFonts w:ascii="Times New Roman" w:hAnsi="Times New Roman" w:eastAsia="仿宋_GB2312" w:cs="Times New Roman"/>
          <w:spacing w:val="3"/>
          <w:sz w:val="32"/>
          <w:szCs w:val="32"/>
        </w:rPr>
        <w:t>等文</w:t>
      </w:r>
      <w:r>
        <w:rPr>
          <w:rFonts w:ascii="Times New Roman" w:hAnsi="Times New Roman" w:eastAsia="仿宋_GB2312" w:cs="Times New Roman"/>
          <w:spacing w:val="-9"/>
          <w:sz w:val="32"/>
          <w:szCs w:val="32"/>
        </w:rPr>
        <w:t>件精神，为</w:t>
      </w:r>
      <w:r>
        <w:rPr>
          <w:rFonts w:ascii="Times New Roman" w:hAnsi="Times New Roman" w:eastAsia="仿宋_GB2312" w:cs="Times New Roman"/>
          <w:spacing w:val="-9"/>
          <w:sz w:val="32"/>
          <w:szCs w:val="32"/>
          <w:lang w:val="en-US"/>
        </w:rPr>
        <w:t>有效</w:t>
      </w:r>
      <w:r>
        <w:rPr>
          <w:rFonts w:ascii="Times New Roman" w:hAnsi="Times New Roman" w:eastAsia="仿宋_GB2312" w:cs="Times New Roman"/>
          <w:spacing w:val="-9"/>
          <w:sz w:val="32"/>
          <w:szCs w:val="32"/>
        </w:rPr>
        <w:t>推动全</w:t>
      </w:r>
      <w:r>
        <w:rPr>
          <w:rFonts w:ascii="Times New Roman" w:hAnsi="Times New Roman" w:eastAsia="仿宋_GB2312" w:cs="Times New Roman"/>
          <w:spacing w:val="-9"/>
          <w:sz w:val="32"/>
          <w:szCs w:val="32"/>
          <w:lang w:val="en-US"/>
        </w:rPr>
        <w:t>县</w:t>
      </w:r>
      <w:r>
        <w:rPr>
          <w:rFonts w:ascii="Times New Roman" w:hAnsi="Times New Roman" w:eastAsia="仿宋_GB2312" w:cs="Times New Roman"/>
          <w:spacing w:val="-9"/>
          <w:sz w:val="32"/>
          <w:szCs w:val="32"/>
        </w:rPr>
        <w:t>自然保护地整合优化成果报批落地，</w:t>
      </w:r>
      <w:r>
        <w:rPr>
          <w:rFonts w:ascii="Times New Roman" w:hAnsi="Times New Roman" w:eastAsia="仿宋_GB2312" w:cs="Times New Roman"/>
          <w:sz w:val="32"/>
          <w:szCs w:val="32"/>
        </w:rPr>
        <w:t>编制达州市</w:t>
      </w: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自然保护地整合优化方案。</w:t>
      </w:r>
    </w:p>
    <w:p>
      <w:pPr>
        <w:pStyle w:val="2"/>
        <w:numPr>
          <w:ilvl w:val="0"/>
          <w:numId w:val="1"/>
        </w:numPr>
        <w:tabs>
          <w:tab w:val="left" w:pos="607"/>
        </w:tabs>
        <w:spacing w:line="578" w:lineRule="exact"/>
        <w:ind w:firstLine="640"/>
        <w:rPr>
          <w:rFonts w:ascii="Times New Roman" w:hAnsi="黑体" w:eastAsia="黑体" w:cs="Times New Roman"/>
          <w:b w:val="0"/>
        </w:rPr>
      </w:pPr>
      <w:bookmarkStart w:id="0" w:name="_bookmark0"/>
      <w:bookmarkEnd w:id="0"/>
      <w:bookmarkStart w:id="1" w:name="一、概况"/>
      <w:bookmarkEnd w:id="1"/>
      <w:bookmarkStart w:id="2" w:name="_Toc130654985"/>
      <w:r>
        <w:rPr>
          <w:rFonts w:ascii="Times New Roman" w:hAnsi="黑体" w:eastAsia="黑体" w:cs="Times New Roman"/>
          <w:b w:val="0"/>
        </w:rPr>
        <w:t>概况</w:t>
      </w:r>
      <w:bookmarkEnd w:id="2"/>
      <w:bookmarkStart w:id="3" w:name="（一）自然生态现状及保护价值"/>
      <w:bookmarkEnd w:id="3"/>
      <w:bookmarkStart w:id="4" w:name="_bookmark1"/>
      <w:bookmarkEnd w:id="4"/>
      <w:bookmarkStart w:id="5" w:name="_Toc130654986"/>
    </w:p>
    <w:p>
      <w:pPr>
        <w:pStyle w:val="2"/>
        <w:tabs>
          <w:tab w:val="left" w:pos="607"/>
        </w:tabs>
        <w:spacing w:line="578" w:lineRule="exact"/>
        <w:ind w:left="560" w:leftChars="200" w:firstLine="0" w:firstLineChars="0"/>
        <w:rPr>
          <w:rFonts w:ascii="Times New Roman" w:hAnsi="Times New Roman" w:eastAsia="楷体_GB2312" w:cs="Times New Roman"/>
        </w:rPr>
      </w:pPr>
      <w:r>
        <w:rPr>
          <w:rFonts w:ascii="Times New Roman" w:hAnsi="Times New Roman" w:eastAsia="楷体_GB2312" w:cs="Times New Roman"/>
        </w:rPr>
        <w:t>（一）自然生态现状及保护价值</w:t>
      </w:r>
      <w:bookmarkEnd w:id="5"/>
    </w:p>
    <w:p>
      <w:pPr>
        <w:pStyle w:val="2"/>
        <w:tabs>
          <w:tab w:val="left" w:pos="607"/>
        </w:tabs>
        <w:spacing w:line="578" w:lineRule="exact"/>
        <w:ind w:firstLine="643"/>
        <w:rPr>
          <w:rFonts w:ascii="Times New Roman" w:hAnsi="Times New Roman" w:eastAsia="仿宋_GB2312" w:cs="Times New Roman"/>
          <w:szCs w:val="32"/>
        </w:rPr>
      </w:pPr>
      <w:r>
        <w:rPr>
          <w:rFonts w:hint="eastAsia" w:ascii="Times New Roman" w:hAnsi="Times New Roman" w:eastAsia="仿宋_GB2312" w:cs="Times New Roman"/>
          <w:szCs w:val="32"/>
          <w:lang w:val="en-US"/>
        </w:rPr>
        <w:t xml:space="preserve">1. </w:t>
      </w:r>
      <w:r>
        <w:rPr>
          <w:rFonts w:ascii="Times New Roman" w:hAnsi="Times New Roman" w:eastAsia="仿宋_GB2312" w:cs="Times New Roman"/>
          <w:szCs w:val="32"/>
        </w:rPr>
        <w:t>县情概况</w:t>
      </w:r>
    </w:p>
    <w:p>
      <w:pPr>
        <w:pStyle w:val="2"/>
        <w:tabs>
          <w:tab w:val="left" w:pos="607"/>
        </w:tabs>
        <w:spacing w:line="578" w:lineRule="exact"/>
        <w:ind w:firstLine="640"/>
        <w:rPr>
          <w:rFonts w:ascii="仿宋_GB2312" w:hAnsi="仿宋_GB2312" w:eastAsia="仿宋_GB2312" w:cs="仿宋_GB2312"/>
          <w:b w:val="0"/>
          <w:bCs w:val="0"/>
          <w:szCs w:val="32"/>
        </w:rPr>
      </w:pPr>
      <w:r>
        <w:rPr>
          <w:rFonts w:hint="eastAsia" w:ascii="仿宋_GB2312" w:hAnsi="仿宋_GB2312" w:eastAsia="仿宋_GB2312" w:cs="仿宋_GB2312"/>
          <w:b w:val="0"/>
          <w:bCs w:val="0"/>
          <w:szCs w:val="32"/>
        </w:rPr>
        <w:t>大竹县隶属四川省达州市，位于四川省东部、达州市南部，东邻重庆市梁平区、重庆市垫江县，南接广安邻水县，西界广安区、渠县，北连达川区，地理坐标为东经106°59′—107°32′，北纬30°20′—31°00′，东西宽45公里，南北长75公里，幅员面积2076.41平方公里。地处川东丘陵地区，境内西山(华蓥山背斜山脉)、中山(铜锣峡背斜山脉)、东山(明月峡背斜山脉)由北东、南西向平行排列，由南而北纵贯本县中部，构成“三山两槽”的平行岭谷地形。气候属四川盆地亚热带湿润气候，特点是：日照适宜，热量丰富，雨量充沛，温暖湿润，无霜期长，大陆性季风气候显著。2021年，大竹县地区生产总值（GDP）421.2 亿元，常住人口为84万人。</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大竹县积极营造“生态大竹、共建共享”氛围，形成自然保护政府发力、企业用力、全社会合力的良好氛围；全县坚定不移推进自然生态保护工作，实施绿色发展工程，着力打造五峰山森林公园，巩固华蓥山、铜锣山、明月山“三道自然生态屏障”，建设境内国道210线、国道318线、达渝高速、南大梁高速“四条绿色走廊”，构筑东柳河、铜钵河、黄滩河、东河“四条绿色河廊”。</w:t>
      </w:r>
    </w:p>
    <w:p>
      <w:pPr>
        <w:numPr>
          <w:ilvl w:val="0"/>
          <w:numId w:val="2"/>
        </w:num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生态现状及保护价值</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生态系统包括森林、湿地、灌丛、村镇、农田等类型。森林生态系统</w:t>
      </w:r>
      <w:r>
        <w:rPr>
          <w:rFonts w:ascii="Times New Roman" w:hAnsi="Times New Roman" w:eastAsia="仿宋_GB2312" w:cs="Times New Roman"/>
          <w:sz w:val="32"/>
          <w:szCs w:val="32"/>
          <w:lang w:val="en-US"/>
        </w:rPr>
        <w:t>以柏木、马尾松、杉木</w:t>
      </w:r>
      <w:r>
        <w:rPr>
          <w:rFonts w:ascii="Times New Roman" w:hAnsi="Times New Roman" w:eastAsia="仿宋_GB2312" w:cs="Times New Roman"/>
          <w:sz w:val="32"/>
          <w:szCs w:val="32"/>
        </w:rPr>
        <w:t>等人工林为主，整体类型相对单一，且人工林林分郁闭度较高、林下植被稀疏或缺失，其生物多样性较低，生物多样性较为丰富的区域为四川五峰山国家森林公园</w:t>
      </w:r>
      <w:r>
        <w:rPr>
          <w:rFonts w:ascii="Times New Roman" w:hAnsi="Times New Roman" w:eastAsia="仿宋_GB2312" w:cs="Times New Roman"/>
          <w:sz w:val="32"/>
          <w:szCs w:val="32"/>
          <w:lang w:val="en-US"/>
        </w:rPr>
        <w:t>的核心</w:t>
      </w:r>
      <w:r>
        <w:rPr>
          <w:rFonts w:ascii="Times New Roman" w:hAnsi="Times New Roman" w:eastAsia="仿宋_GB2312" w:cs="Times New Roman"/>
          <w:sz w:val="32"/>
          <w:szCs w:val="32"/>
        </w:rPr>
        <w:t>区域，该区域拥有较完善的森林生态系统。湿地生态系统主要以</w:t>
      </w:r>
      <w:r>
        <w:rPr>
          <w:rFonts w:ascii="Times New Roman" w:hAnsi="Times New Roman" w:eastAsia="仿宋_GB2312" w:cs="Times New Roman"/>
          <w:sz w:val="32"/>
          <w:szCs w:val="32"/>
          <w:lang w:val="en-US"/>
        </w:rPr>
        <w:t>人工湿地、</w:t>
      </w:r>
      <w:r>
        <w:rPr>
          <w:rFonts w:ascii="Times New Roman" w:hAnsi="Times New Roman" w:eastAsia="仿宋_GB2312" w:cs="Times New Roman"/>
          <w:sz w:val="32"/>
          <w:szCs w:val="32"/>
        </w:rPr>
        <w:t>河流湿地为主，大竹县属典型的内陆河源县，境内无大江大河，仅有东柳河、铜钵河、东河、黄滩河(西河)四条小河及竹溪河、柳城溪、兴隆河、清水河、八渡乡、上白水河、下白水河七条小溪，全属长江水系</w:t>
      </w:r>
      <w:r>
        <w:rPr>
          <w:rFonts w:ascii="Times New Roman" w:hAnsi="Times New Roman" w:eastAsia="仿宋_GB2312" w:cs="Times New Roman"/>
          <w:sz w:val="32"/>
          <w:szCs w:val="32"/>
          <w:lang w:val="en-US"/>
        </w:rPr>
        <w:t>，以百岛湖为主体，湿地生态系统的结构、物种和功能具有较高完整性。</w:t>
      </w:r>
      <w:r>
        <w:rPr>
          <w:rFonts w:ascii="Times New Roman" w:hAnsi="Times New Roman" w:eastAsia="仿宋_GB2312" w:cs="Times New Roman"/>
          <w:sz w:val="32"/>
          <w:szCs w:val="32"/>
        </w:rPr>
        <w:t>其余灌丛、村镇、农田生态系统保护价值较低。</w:t>
      </w:r>
    </w:p>
    <w:p>
      <w:pPr>
        <w:pStyle w:val="3"/>
        <w:spacing w:line="578" w:lineRule="exact"/>
        <w:ind w:firstLine="643"/>
        <w:rPr>
          <w:rFonts w:ascii="Times New Roman" w:hAnsi="Times New Roman" w:eastAsia="楷体_GB2312" w:cs="Times New Roman"/>
        </w:rPr>
      </w:pPr>
      <w:bookmarkStart w:id="6" w:name="_bookmark2"/>
      <w:bookmarkEnd w:id="6"/>
      <w:bookmarkStart w:id="7" w:name="（二）自然保护地现状"/>
      <w:bookmarkEnd w:id="7"/>
      <w:bookmarkStart w:id="8" w:name="_Toc130654987"/>
      <w:r>
        <w:rPr>
          <w:rFonts w:ascii="Times New Roman" w:hAnsi="Times New Roman" w:eastAsia="楷体_GB2312" w:cs="Times New Roman"/>
        </w:rPr>
        <w:t>（二）自然保护地现状</w:t>
      </w:r>
      <w:bookmarkEnd w:id="8"/>
    </w:p>
    <w:p>
      <w:pPr>
        <w:spacing w:line="578" w:lineRule="exact"/>
        <w:ind w:firstLine="640"/>
        <w:jc w:val="both"/>
        <w:rPr>
          <w:rFonts w:ascii="Times New Roman" w:hAnsi="Times New Roman" w:eastAsia="仿宋_GB2312" w:cs="Times New Roman"/>
          <w:sz w:val="32"/>
          <w:szCs w:val="32"/>
        </w:rPr>
      </w:pPr>
      <w:bookmarkStart w:id="9" w:name="_bookmark3"/>
      <w:bookmarkEnd w:id="9"/>
      <w:bookmarkStart w:id="10" w:name="（三）工作开展情况"/>
      <w:bookmarkEnd w:id="10"/>
      <w:bookmarkStart w:id="11" w:name="_Hlk130141762"/>
      <w:r>
        <w:rPr>
          <w:rFonts w:ascii="Times New Roman" w:hAnsi="Times New Roman" w:eastAsia="仿宋_GB2312" w:cs="Times New Roman"/>
          <w:sz w:val="32"/>
          <w:szCs w:val="32"/>
          <w:lang w:val="en-US"/>
        </w:rPr>
        <w:t>自然保护地优化前大竹县</w:t>
      </w:r>
      <w:r>
        <w:rPr>
          <w:rFonts w:ascii="Times New Roman" w:hAnsi="Times New Roman" w:eastAsia="仿宋_GB2312" w:cs="Times New Roman"/>
          <w:sz w:val="32"/>
          <w:szCs w:val="32"/>
        </w:rPr>
        <w:t>有2种类型自然保护地，共计2个，整合优化前面积合计</w:t>
      </w:r>
      <w:r>
        <w:rPr>
          <w:rFonts w:ascii="Times New Roman" w:hAnsi="Times New Roman" w:eastAsia="仿宋_GB2312" w:cs="Times New Roman"/>
          <w:sz w:val="32"/>
          <w:szCs w:val="32"/>
          <w:lang w:val="en-US"/>
        </w:rPr>
        <w:t>1998.74</w:t>
      </w:r>
      <w:r>
        <w:rPr>
          <w:rFonts w:ascii="Times New Roman" w:hAnsi="Times New Roman" w:eastAsia="仿宋_GB2312" w:cs="Times New Roman"/>
          <w:sz w:val="32"/>
          <w:szCs w:val="32"/>
        </w:rPr>
        <w:t>公顷，</w:t>
      </w:r>
      <w:r>
        <w:rPr>
          <w:rFonts w:ascii="Times New Roman" w:cs="Times New Roman"/>
          <w:sz w:val="32"/>
          <w:szCs w:val="32"/>
        </w:rPr>
        <w:t>占县域面积的</w:t>
      </w:r>
      <w:r>
        <w:rPr>
          <w:rFonts w:ascii="Times New Roman" w:hAnsi="Times New Roman" w:cs="Times New Roman"/>
          <w:sz w:val="32"/>
          <w:szCs w:val="32"/>
          <w:lang w:val="en-US"/>
        </w:rPr>
        <w:t>0.96</w:t>
      </w:r>
      <w:r>
        <w:rPr>
          <w:rFonts w:ascii="Times New Roman" w:hAnsi="Times New Roman" w:cs="Times New Roman"/>
          <w:sz w:val="32"/>
          <w:szCs w:val="32"/>
        </w:rPr>
        <w:t>%</w:t>
      </w:r>
      <w:r>
        <w:rPr>
          <w:rFonts w:ascii="Times New Roman" w:cs="Times New Roman"/>
          <w:sz w:val="32"/>
          <w:szCs w:val="32"/>
        </w:rPr>
        <w:t>。</w:t>
      </w:r>
      <w:r>
        <w:rPr>
          <w:rFonts w:ascii="Times New Roman" w:hAnsi="Times New Roman" w:eastAsia="仿宋_GB2312" w:cs="Times New Roman"/>
          <w:sz w:val="32"/>
          <w:szCs w:val="32"/>
        </w:rPr>
        <w:t>其中：森林公园1个—四川五峰山国家森林公园（国家级）；湿地公园1个—四川大竹百岛湖省级湿地公园（省级）。</w:t>
      </w:r>
    </w:p>
    <w:bookmarkEnd w:id="11"/>
    <w:p>
      <w:pPr>
        <w:numPr>
          <w:ilvl w:val="0"/>
          <w:numId w:val="3"/>
        </w:num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四川五峰山国家森林公园</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类型：森林公园；</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级别：国家级；</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面积：优化前面积918.69公顷；</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管理机构设置：大竹县五峰山事务服务中心；</w:t>
      </w:r>
    </w:p>
    <w:p>
      <w:pPr>
        <w:spacing w:line="578" w:lineRule="exact"/>
        <w:ind w:firstLine="640"/>
        <w:jc w:val="both"/>
        <w:rPr>
          <w:rFonts w:ascii="Times New Roman" w:hAnsi="Times New Roman" w:cs="Times New Roman"/>
          <w:sz w:val="32"/>
          <w:szCs w:val="32"/>
        </w:rPr>
      </w:pPr>
      <w:bookmarkStart w:id="12" w:name="_Hlk130133613"/>
      <w:r>
        <w:rPr>
          <w:rFonts w:ascii="Times New Roman" w:cs="Times New Roman"/>
          <w:sz w:val="32"/>
          <w:szCs w:val="32"/>
        </w:rPr>
        <w:t>基本情况：</w:t>
      </w:r>
      <w:bookmarkEnd w:id="12"/>
      <w:r>
        <w:rPr>
          <w:rFonts w:ascii="Times New Roman" w:cs="Times New Roman"/>
          <w:sz w:val="32"/>
          <w:szCs w:val="32"/>
        </w:rPr>
        <w:t>四川五峰山国家森林公园于</w:t>
      </w:r>
      <w:r>
        <w:rPr>
          <w:rFonts w:ascii="Times New Roman" w:hAnsi="Times New Roman" w:cs="Times New Roman"/>
          <w:sz w:val="32"/>
          <w:szCs w:val="32"/>
        </w:rPr>
        <w:t>2002</w:t>
      </w:r>
      <w:r>
        <w:rPr>
          <w:rFonts w:ascii="Times New Roman" w:cs="Times New Roman"/>
          <w:sz w:val="32"/>
          <w:szCs w:val="32"/>
        </w:rPr>
        <w:t>年被原国家林业部批准为</w:t>
      </w:r>
      <w:r>
        <w:rPr>
          <w:rFonts w:ascii="Times New Roman" w:hAnsi="Times New Roman" w:cs="Times New Roman"/>
          <w:sz w:val="32"/>
          <w:szCs w:val="32"/>
        </w:rPr>
        <w:t>“</w:t>
      </w:r>
      <w:r>
        <w:rPr>
          <w:rFonts w:ascii="Times New Roman" w:cs="Times New Roman"/>
          <w:sz w:val="32"/>
          <w:szCs w:val="32"/>
        </w:rPr>
        <w:t>国家级森林公园</w:t>
      </w:r>
      <w:r>
        <w:rPr>
          <w:rFonts w:ascii="Times New Roman" w:hAnsi="Times New Roman" w:cs="Times New Roman"/>
          <w:sz w:val="32"/>
          <w:szCs w:val="32"/>
        </w:rPr>
        <w:t>”</w:t>
      </w:r>
      <w:r>
        <w:rPr>
          <w:rFonts w:ascii="Times New Roman" w:cs="Times New Roman"/>
          <w:sz w:val="32"/>
          <w:szCs w:val="32"/>
        </w:rPr>
        <w:t>，</w:t>
      </w:r>
      <w:r>
        <w:rPr>
          <w:rFonts w:ascii="Times New Roman" w:hAnsi="Times New Roman" w:cs="Times New Roman"/>
          <w:sz w:val="32"/>
          <w:szCs w:val="32"/>
        </w:rPr>
        <w:t>2016</w:t>
      </w:r>
      <w:r>
        <w:rPr>
          <w:rFonts w:ascii="Times New Roman" w:cs="Times New Roman"/>
          <w:sz w:val="32"/>
          <w:szCs w:val="32"/>
        </w:rPr>
        <w:t>年被评为</w:t>
      </w:r>
      <w:r>
        <w:rPr>
          <w:rFonts w:ascii="Times New Roman" w:hAnsi="Times New Roman" w:cs="Times New Roman"/>
          <w:sz w:val="32"/>
          <w:szCs w:val="32"/>
        </w:rPr>
        <w:t>“</w:t>
      </w:r>
      <w:r>
        <w:rPr>
          <w:rFonts w:ascii="Times New Roman" w:cs="Times New Roman"/>
          <w:sz w:val="32"/>
          <w:szCs w:val="32"/>
        </w:rPr>
        <w:t>国家</w:t>
      </w:r>
      <w:r>
        <w:rPr>
          <w:rFonts w:ascii="Times New Roman" w:hAnsi="Times New Roman" w:cs="Times New Roman"/>
          <w:sz w:val="32"/>
          <w:szCs w:val="32"/>
        </w:rPr>
        <w:t>AAAA</w:t>
      </w:r>
      <w:r>
        <w:rPr>
          <w:rFonts w:ascii="Times New Roman" w:cs="Times New Roman"/>
          <w:sz w:val="32"/>
          <w:szCs w:val="32"/>
        </w:rPr>
        <w:t>级旅游景区</w:t>
      </w:r>
      <w:r>
        <w:rPr>
          <w:rFonts w:ascii="Times New Roman" w:hAnsi="Times New Roman" w:cs="Times New Roman"/>
          <w:sz w:val="32"/>
          <w:szCs w:val="32"/>
        </w:rPr>
        <w:t>”</w:t>
      </w:r>
      <w:r>
        <w:rPr>
          <w:rFonts w:ascii="Times New Roman" w:cs="Times New Roman"/>
          <w:sz w:val="32"/>
          <w:szCs w:val="32"/>
        </w:rPr>
        <w:t>，</w:t>
      </w:r>
      <w:r>
        <w:rPr>
          <w:rFonts w:ascii="Times New Roman" w:hAnsi="Times New Roman" w:cs="Times New Roman"/>
          <w:sz w:val="32"/>
          <w:szCs w:val="32"/>
        </w:rPr>
        <w:t>2018</w:t>
      </w:r>
      <w:r>
        <w:rPr>
          <w:rFonts w:ascii="Times New Roman" w:cs="Times New Roman"/>
          <w:sz w:val="32"/>
          <w:szCs w:val="32"/>
        </w:rPr>
        <w:t>年被评为</w:t>
      </w:r>
      <w:r>
        <w:rPr>
          <w:rFonts w:ascii="Times New Roman" w:hAnsi="Times New Roman" w:cs="Times New Roman"/>
          <w:sz w:val="32"/>
          <w:szCs w:val="32"/>
        </w:rPr>
        <w:t>“</w:t>
      </w:r>
      <w:r>
        <w:rPr>
          <w:rFonts w:ascii="Times New Roman" w:cs="Times New Roman"/>
          <w:sz w:val="32"/>
          <w:szCs w:val="32"/>
        </w:rPr>
        <w:t>四川省生态文明教育基地</w:t>
      </w:r>
      <w:r>
        <w:rPr>
          <w:rFonts w:ascii="Times New Roman" w:hAnsi="Times New Roman" w:cs="Times New Roman"/>
          <w:sz w:val="32"/>
          <w:szCs w:val="32"/>
        </w:rPr>
        <w:t>”</w:t>
      </w:r>
      <w:r>
        <w:rPr>
          <w:rFonts w:ascii="Times New Roman" w:cs="Times New Roman"/>
          <w:sz w:val="32"/>
          <w:szCs w:val="32"/>
        </w:rPr>
        <w:t>和</w:t>
      </w:r>
      <w:r>
        <w:rPr>
          <w:rFonts w:ascii="Times New Roman" w:hAnsi="Times New Roman" w:cs="Times New Roman"/>
          <w:sz w:val="32"/>
          <w:szCs w:val="32"/>
        </w:rPr>
        <w:t>“</w:t>
      </w:r>
      <w:r>
        <w:rPr>
          <w:rFonts w:ascii="Times New Roman" w:cs="Times New Roman"/>
          <w:sz w:val="32"/>
          <w:szCs w:val="32"/>
        </w:rPr>
        <w:t>四川省森林康养基地</w:t>
      </w:r>
      <w:r>
        <w:rPr>
          <w:rFonts w:ascii="Times New Roman" w:hAnsi="Times New Roman" w:cs="Times New Roman"/>
          <w:sz w:val="32"/>
          <w:szCs w:val="32"/>
        </w:rPr>
        <w:t>”</w:t>
      </w:r>
      <w:r>
        <w:rPr>
          <w:rFonts w:ascii="Times New Roman" w:cs="Times New Roman"/>
          <w:sz w:val="32"/>
          <w:szCs w:val="32"/>
        </w:rPr>
        <w:t>，</w:t>
      </w:r>
      <w:r>
        <w:rPr>
          <w:rFonts w:ascii="Times New Roman" w:hAnsi="Times New Roman" w:cs="Times New Roman"/>
          <w:sz w:val="32"/>
          <w:szCs w:val="32"/>
        </w:rPr>
        <w:t>2019</w:t>
      </w:r>
      <w:r>
        <w:rPr>
          <w:rFonts w:ascii="Times New Roman" w:cs="Times New Roman"/>
          <w:sz w:val="32"/>
          <w:szCs w:val="32"/>
        </w:rPr>
        <w:t>年被评为</w:t>
      </w:r>
      <w:r>
        <w:rPr>
          <w:rFonts w:ascii="Times New Roman" w:hAnsi="Times New Roman" w:cs="Times New Roman"/>
          <w:sz w:val="32"/>
          <w:szCs w:val="32"/>
        </w:rPr>
        <w:t>“</w:t>
      </w:r>
      <w:r>
        <w:rPr>
          <w:rFonts w:ascii="Times New Roman" w:cs="Times New Roman"/>
          <w:sz w:val="32"/>
          <w:szCs w:val="32"/>
        </w:rPr>
        <w:t>四川省旅游景区满意度</w:t>
      </w:r>
      <w:r>
        <w:rPr>
          <w:rFonts w:ascii="Times New Roman" w:hAnsi="Times New Roman" w:cs="Times New Roman"/>
          <w:sz w:val="32"/>
          <w:szCs w:val="32"/>
        </w:rPr>
        <w:t>50</w:t>
      </w:r>
      <w:r>
        <w:rPr>
          <w:rFonts w:ascii="Times New Roman" w:cs="Times New Roman"/>
          <w:sz w:val="32"/>
          <w:szCs w:val="32"/>
        </w:rPr>
        <w:t>强</w:t>
      </w:r>
      <w:r>
        <w:rPr>
          <w:rFonts w:ascii="Times New Roman" w:hAnsi="Times New Roman" w:cs="Times New Roman"/>
          <w:sz w:val="32"/>
          <w:szCs w:val="32"/>
        </w:rPr>
        <w:t>”</w:t>
      </w:r>
      <w:r>
        <w:rPr>
          <w:rFonts w:ascii="Times New Roman" w:cs="Times New Roman"/>
          <w:sz w:val="32"/>
          <w:szCs w:val="32"/>
        </w:rPr>
        <w:t>，</w:t>
      </w:r>
      <w:r>
        <w:rPr>
          <w:rFonts w:ascii="Times New Roman" w:hAnsi="Times New Roman" w:cs="Times New Roman"/>
          <w:sz w:val="32"/>
          <w:szCs w:val="32"/>
        </w:rPr>
        <w:t>2022</w:t>
      </w:r>
      <w:r>
        <w:rPr>
          <w:rFonts w:ascii="Times New Roman" w:cs="Times New Roman"/>
          <w:sz w:val="32"/>
          <w:szCs w:val="32"/>
        </w:rPr>
        <w:t>年</w:t>
      </w:r>
      <w:r>
        <w:rPr>
          <w:rFonts w:ascii="Times New Roman" w:hAnsi="Times New Roman" w:cs="Times New Roman"/>
          <w:sz w:val="32"/>
          <w:szCs w:val="32"/>
        </w:rPr>
        <w:t>8</w:t>
      </w:r>
      <w:r>
        <w:rPr>
          <w:rFonts w:ascii="Times New Roman" w:cs="Times New Roman"/>
          <w:sz w:val="32"/>
          <w:szCs w:val="32"/>
        </w:rPr>
        <w:t>月被评为</w:t>
      </w:r>
      <w:r>
        <w:rPr>
          <w:rFonts w:ascii="Times New Roman" w:hAnsi="Times New Roman" w:cs="Times New Roman"/>
          <w:sz w:val="32"/>
          <w:szCs w:val="32"/>
        </w:rPr>
        <w:t>“2021</w:t>
      </w:r>
      <w:r>
        <w:rPr>
          <w:rFonts w:ascii="Times New Roman" w:cs="Times New Roman"/>
          <w:sz w:val="32"/>
          <w:szCs w:val="32"/>
        </w:rPr>
        <w:t>四川省旅游景区满意度</w:t>
      </w:r>
      <w:r>
        <w:rPr>
          <w:rFonts w:ascii="Times New Roman" w:hAnsi="Times New Roman" w:cs="Times New Roman"/>
          <w:sz w:val="32"/>
          <w:szCs w:val="32"/>
        </w:rPr>
        <w:t>”</w:t>
      </w:r>
      <w:r>
        <w:rPr>
          <w:rFonts w:ascii="Times New Roman" w:cs="Times New Roman"/>
          <w:sz w:val="32"/>
          <w:szCs w:val="32"/>
        </w:rPr>
        <w:t>评选活动</w:t>
      </w:r>
      <w:r>
        <w:rPr>
          <w:rFonts w:ascii="Times New Roman" w:hAnsi="Times New Roman" w:cs="Times New Roman"/>
          <w:sz w:val="32"/>
          <w:szCs w:val="32"/>
        </w:rPr>
        <w:t>50</w:t>
      </w:r>
      <w:r>
        <w:rPr>
          <w:rFonts w:ascii="Times New Roman" w:cs="Times New Roman"/>
          <w:sz w:val="32"/>
          <w:szCs w:val="32"/>
        </w:rPr>
        <w:t>强</w:t>
      </w:r>
      <w:r>
        <w:rPr>
          <w:rFonts w:hint="eastAsia" w:ascii="Times New Roman" w:hAnsi="Times New Roman" w:cs="Times New Roman"/>
          <w:sz w:val="32"/>
          <w:szCs w:val="32"/>
        </w:rPr>
        <w:t>，</w:t>
      </w:r>
      <w:r>
        <w:rPr>
          <w:rFonts w:ascii="Times New Roman" w:cs="Times New Roman"/>
          <w:sz w:val="32"/>
          <w:szCs w:val="32"/>
        </w:rPr>
        <w:t>在达州市乃至整个西南地区有较高的知名度。</w:t>
      </w:r>
    </w:p>
    <w:p>
      <w:pPr>
        <w:spacing w:line="578" w:lineRule="exact"/>
        <w:ind w:firstLine="640"/>
        <w:jc w:val="both"/>
        <w:rPr>
          <w:rFonts w:ascii="Times New Roman" w:hAnsi="Times New Roman" w:eastAsia="仿宋_GB2312" w:cs="Times New Roman"/>
          <w:sz w:val="32"/>
          <w:szCs w:val="32"/>
          <w:lang w:val="en-US"/>
        </w:rPr>
      </w:pPr>
      <w:r>
        <w:rPr>
          <w:rFonts w:ascii="Times New Roman" w:cs="Times New Roman"/>
          <w:sz w:val="32"/>
          <w:szCs w:val="32"/>
        </w:rPr>
        <w:t>公园以楠竹、白夹竹为主，还有斑竹、凤尾竹等竹类品种</w:t>
      </w:r>
      <w:r>
        <w:rPr>
          <w:rFonts w:ascii="Times New Roman" w:hAnsi="Times New Roman" w:cs="Times New Roman"/>
          <w:sz w:val="32"/>
          <w:szCs w:val="32"/>
        </w:rPr>
        <w:t>20</w:t>
      </w:r>
      <w:r>
        <w:rPr>
          <w:rFonts w:ascii="Times New Roman" w:cs="Times New Roman"/>
          <w:sz w:val="32"/>
          <w:szCs w:val="32"/>
        </w:rPr>
        <w:t>余种。主要景观为遮天蔽日、苍翠挺拔的楠竹和白夹竹，绵延近百里，构成奇特的竹海奇观。竹海清幽静溢、苍翠欲滴，可观竹影、兰香、清泉、石径与小亭，可赏神妙莫测的溶洞、情态各异的群峰、各具神韵的溪河湖泉和瑰丽奇幻的天象景观，是避暑、赏景、休闲观光、感受生态旅游的绝佳去处。公园植物繁茂，有红豆杉（国家一级保护树种）、桂花、罗汉松、塔柏等种子植物</w:t>
      </w:r>
      <w:r>
        <w:rPr>
          <w:rFonts w:ascii="Times New Roman" w:hAnsi="Times New Roman" w:cs="Times New Roman"/>
          <w:sz w:val="32"/>
          <w:szCs w:val="32"/>
        </w:rPr>
        <w:t>80</w:t>
      </w:r>
      <w:r>
        <w:rPr>
          <w:rFonts w:ascii="Times New Roman" w:cs="Times New Roman"/>
          <w:sz w:val="32"/>
          <w:szCs w:val="32"/>
        </w:rPr>
        <w:t>余科</w:t>
      </w:r>
      <w:r>
        <w:rPr>
          <w:rFonts w:ascii="Times New Roman" w:hAnsi="Times New Roman" w:cs="Times New Roman"/>
          <w:sz w:val="32"/>
          <w:szCs w:val="32"/>
        </w:rPr>
        <w:t>400</w:t>
      </w:r>
      <w:r>
        <w:rPr>
          <w:rFonts w:ascii="Times New Roman" w:cs="Times New Roman"/>
          <w:sz w:val="32"/>
          <w:szCs w:val="32"/>
        </w:rPr>
        <w:t>余种；有野山羊、野兔、穿山甲、刺猬、野猪、相思鸟、班尾榛鸡、杜鹃鸟等蹄类、爬行类、两栖类和鸟类野生动物</w:t>
      </w:r>
      <w:r>
        <w:rPr>
          <w:rFonts w:ascii="Times New Roman" w:hAnsi="Times New Roman" w:cs="Times New Roman"/>
          <w:sz w:val="32"/>
          <w:szCs w:val="32"/>
        </w:rPr>
        <w:t>120</w:t>
      </w:r>
      <w:r>
        <w:rPr>
          <w:rFonts w:ascii="Times New Roman" w:cs="Times New Roman"/>
          <w:sz w:val="32"/>
          <w:szCs w:val="32"/>
        </w:rPr>
        <w:t>余种，昆虫</w:t>
      </w:r>
      <w:r>
        <w:rPr>
          <w:rFonts w:ascii="Times New Roman" w:hAnsi="Times New Roman" w:cs="Times New Roman"/>
          <w:sz w:val="32"/>
          <w:szCs w:val="32"/>
        </w:rPr>
        <w:t>800</w:t>
      </w:r>
      <w:r>
        <w:rPr>
          <w:rFonts w:ascii="Times New Roman" w:cs="Times New Roman"/>
          <w:sz w:val="32"/>
          <w:szCs w:val="32"/>
        </w:rPr>
        <w:t>余种。</w:t>
      </w:r>
    </w:p>
    <w:p>
      <w:pPr>
        <w:numPr>
          <w:ilvl w:val="0"/>
          <w:numId w:val="3"/>
        </w:numPr>
        <w:spacing w:line="578" w:lineRule="exact"/>
        <w:ind w:firstLine="643"/>
        <w:jc w:val="both"/>
        <w:rPr>
          <w:rFonts w:ascii="Times New Roman" w:hAnsi="Times New Roman" w:eastAsia="仿宋_GB2312" w:cs="Times New Roman"/>
          <w:b/>
          <w:bCs/>
          <w:sz w:val="32"/>
          <w:szCs w:val="32"/>
        </w:rPr>
      </w:pPr>
      <w:bookmarkStart w:id="13" w:name="_Hlk130136363"/>
      <w:r>
        <w:rPr>
          <w:rFonts w:ascii="Times New Roman" w:hAnsi="Times New Roman" w:eastAsia="仿宋_GB2312" w:cs="Times New Roman"/>
          <w:b/>
          <w:bCs/>
          <w:sz w:val="32"/>
          <w:szCs w:val="32"/>
        </w:rPr>
        <w:t>四川大竹百岛湖省级湿地公园</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类型：湿地公园；</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级别：省级；</w:t>
      </w:r>
      <w:bookmarkEnd w:id="13"/>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面积：优化前面积1080.05公顷；</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管理机构设置：大竹县百岛湖湿地公园管理委员会</w:t>
      </w:r>
      <w:r>
        <w:rPr>
          <w:rFonts w:ascii="Times New Roman" w:hAnsi="Times New Roman" w:eastAsia="仿宋_GB2312" w:cs="Times New Roman"/>
          <w:sz w:val="32"/>
          <w:szCs w:val="32"/>
          <w:lang w:val="en-US"/>
        </w:rPr>
        <w:t>；</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基本情况：四川大竹百岛湖省级湿地公园根据中共大竹县委机构编制委员会文件（竹编委〔2014〕20号）设立，管理机构为在大竹县乌木滩水库管理所加挂“大竹县百岛湖湿地公园管理委员会”牌子，并增加了相关职责。该湿地始建于1958年9月，建成于1960年3月，是一座以农田灌溉、城镇供水为主，兼防洪、发电、旅游等综合效益为一体的中型水利工程。历经50余年的保护和自然发育，形成了独具特色库塘—岛屿复合湿地生态系统，地处长江上游流域，是研究动物演化和生物多样性的重要节点，区域生态地位十分重要。公园湿地类型多样，生物多样性丰富，在长江上游流域具有重要性、典型性和代表性。公园动植物资源丰富，水质清澈、岛屿众多、山峦起伏，森林环绕，自然风光旖旎，湿地发育良好，湿地植物丰富。公园还是川东近百万人口的重要水源地，具有较好的保护基础。</w:t>
      </w:r>
    </w:p>
    <w:p>
      <w:pPr>
        <w:pStyle w:val="3"/>
        <w:spacing w:line="578" w:lineRule="exact"/>
        <w:ind w:firstLine="643"/>
        <w:rPr>
          <w:rFonts w:ascii="Times New Roman" w:hAnsi="Times New Roman" w:cs="Times New Roman"/>
        </w:rPr>
      </w:pPr>
      <w:bookmarkStart w:id="14" w:name="_Toc130654988"/>
      <w:r>
        <w:rPr>
          <w:rFonts w:ascii="Times New Roman" w:hAnsi="Times New Roman" w:cs="Times New Roman"/>
        </w:rPr>
        <w:t>（三）整合优化工作开展情况</w:t>
      </w:r>
      <w:bookmarkEnd w:id="14"/>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高度重视自然保护地摸底调查工作，自觉将思想和行动统一到中央和省委、省政府、市委、市政府的决策部署上来，由</w:t>
      </w:r>
      <w:r>
        <w:rPr>
          <w:rFonts w:ascii="Times New Roman" w:hAnsi="Times New Roman" w:eastAsia="仿宋_GB2312" w:cs="Times New Roman"/>
          <w:sz w:val="32"/>
          <w:szCs w:val="32"/>
          <w:lang w:val="en-US"/>
        </w:rPr>
        <w:t>县林业局</w:t>
      </w:r>
      <w:r>
        <w:rPr>
          <w:rFonts w:ascii="Times New Roman" w:hAnsi="Times New Roman" w:eastAsia="仿宋_GB2312" w:cs="Times New Roman"/>
          <w:sz w:val="32"/>
          <w:szCs w:val="32"/>
        </w:rPr>
        <w:t>牵头，</w:t>
      </w:r>
      <w:r>
        <w:rPr>
          <w:rFonts w:ascii="Times New Roman" w:hAnsi="Times New Roman" w:eastAsia="仿宋_GB2312" w:cs="Times New Roman"/>
          <w:sz w:val="32"/>
          <w:szCs w:val="32"/>
          <w:lang w:val="en-US"/>
        </w:rPr>
        <w:t>县</w:t>
      </w:r>
      <w:r>
        <w:rPr>
          <w:rFonts w:ascii="Times New Roman" w:hAnsi="Times New Roman" w:eastAsia="仿宋_GB2312" w:cs="Times New Roman"/>
          <w:sz w:val="32"/>
          <w:szCs w:val="32"/>
        </w:rPr>
        <w:t>级相关部门配合，委托第三方机构对辖区内的自然保护地开展了全面摸底调查，从范围边界、功能分区、保护管理现状、历史遗留问题等方面入手，系统调查保护地基本情况、地情林情，认真梳理各自然保护地历史遗留问题，客观准确反映问题，为自然保护地整合归并优化提供科学依据。</w:t>
      </w:r>
    </w:p>
    <w:p>
      <w:pPr>
        <w:pStyle w:val="2"/>
        <w:spacing w:line="578" w:lineRule="exact"/>
        <w:ind w:firstLine="640"/>
        <w:rPr>
          <w:rFonts w:ascii="Times New Roman" w:hAnsi="Times New Roman" w:eastAsia="黑体" w:cs="Times New Roman"/>
          <w:b w:val="0"/>
        </w:rPr>
      </w:pPr>
      <w:bookmarkStart w:id="15" w:name="二、自然保护地存在主要问题和冲突现状"/>
      <w:bookmarkEnd w:id="15"/>
      <w:bookmarkStart w:id="16" w:name="_Toc130654989"/>
      <w:r>
        <w:rPr>
          <w:rFonts w:ascii="Times New Roman" w:hAnsi="黑体" w:eastAsia="黑体" w:cs="Times New Roman"/>
          <w:b w:val="0"/>
        </w:rPr>
        <w:t>二、自然保护地存在主要问题和冲突现状</w:t>
      </w:r>
      <w:bookmarkEnd w:id="16"/>
    </w:p>
    <w:p>
      <w:pPr>
        <w:pStyle w:val="3"/>
        <w:spacing w:line="578" w:lineRule="exact"/>
        <w:ind w:firstLine="613"/>
        <w:rPr>
          <w:rFonts w:ascii="Times New Roman" w:hAnsi="Times New Roman" w:eastAsia="楷体_GB2312" w:cs="Times New Roman"/>
        </w:rPr>
      </w:pPr>
      <w:bookmarkStart w:id="17" w:name="（一）不同类型自然保护地交叉重叠情况"/>
      <w:bookmarkEnd w:id="17"/>
      <w:bookmarkStart w:id="18" w:name="_bookmark5"/>
      <w:bookmarkEnd w:id="18"/>
      <w:bookmarkStart w:id="19" w:name="_Toc130654990"/>
      <w:r>
        <w:rPr>
          <w:rFonts w:ascii="Times New Roman" w:hAnsi="Times New Roman" w:eastAsia="楷体_GB2312" w:cs="Times New Roman"/>
          <w:w w:val="95"/>
        </w:rPr>
        <w:t>（一）不同类型自然保护地交叉重叠情况</w:t>
      </w:r>
      <w:bookmarkEnd w:id="19"/>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2个自然保护地中，</w:t>
      </w:r>
      <w:bookmarkStart w:id="20" w:name="_Hlk130138082"/>
      <w:r>
        <w:rPr>
          <w:rFonts w:ascii="Times New Roman" w:hAnsi="Times New Roman" w:eastAsia="仿宋_GB2312" w:cs="Times New Roman"/>
          <w:sz w:val="32"/>
          <w:szCs w:val="32"/>
          <w:lang w:val="en-US"/>
        </w:rPr>
        <w:t>四川五峰山国家森林公园和四川大竹百岛湖湿地公园重叠，重叠面积为：70.09公顷。</w:t>
      </w:r>
      <w:bookmarkEnd w:id="20"/>
      <w:r>
        <w:rPr>
          <w:rFonts w:ascii="Times New Roman" w:hAnsi="Times New Roman" w:eastAsia="仿宋_GB2312" w:cs="Times New Roman"/>
          <w:sz w:val="32"/>
          <w:szCs w:val="32"/>
          <w:lang w:val="en-US"/>
        </w:rPr>
        <w:t>重叠原因为在2002年原四川五峰山省级森林公园升级为四川五峰山国家森林公园中划入了乌木水库（即现在的大竹百岛湖湿地公园）的面积。</w:t>
      </w:r>
    </w:p>
    <w:p>
      <w:pPr>
        <w:pStyle w:val="3"/>
        <w:spacing w:line="578" w:lineRule="exact"/>
        <w:ind w:firstLine="643"/>
        <w:rPr>
          <w:rFonts w:ascii="Times New Roman" w:hAnsi="Times New Roman" w:eastAsia="楷体_GB2312" w:cs="Times New Roman"/>
        </w:rPr>
      </w:pPr>
      <w:bookmarkStart w:id="21" w:name="_bookmark6"/>
      <w:bookmarkEnd w:id="21"/>
      <w:bookmarkStart w:id="22" w:name="（二）保护空缺情况分析"/>
      <w:bookmarkEnd w:id="22"/>
      <w:bookmarkStart w:id="23" w:name="（三）现有自然保护地内冲突概况"/>
      <w:bookmarkEnd w:id="23"/>
      <w:bookmarkStart w:id="24" w:name="_bookmark7"/>
      <w:bookmarkEnd w:id="24"/>
      <w:bookmarkStart w:id="25" w:name="_Toc130654991"/>
      <w:r>
        <w:rPr>
          <w:rFonts w:ascii="Times New Roman" w:hAnsi="Times New Roman" w:eastAsia="楷体_GB2312" w:cs="Times New Roman"/>
        </w:rPr>
        <w:t>（二）现有自然保护地内冲突概况</w:t>
      </w:r>
      <w:bookmarkEnd w:id="25"/>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自然保护地存在的主要问题：自然保护地部分面积重叠，</w:t>
      </w:r>
      <w:r>
        <w:rPr>
          <w:rFonts w:ascii="Times New Roman" w:hAnsi="Times New Roman" w:eastAsia="仿宋_GB2312" w:cs="Times New Roman"/>
          <w:sz w:val="32"/>
          <w:szCs w:val="32"/>
          <w:lang w:val="en-US"/>
        </w:rPr>
        <w:t>四川五峰山国家森林公园涉及</w:t>
      </w:r>
      <w:r>
        <w:rPr>
          <w:rFonts w:ascii="Times New Roman" w:hAnsi="Times New Roman" w:eastAsia="仿宋_GB2312" w:cs="Times New Roman"/>
          <w:sz w:val="32"/>
          <w:szCs w:val="32"/>
        </w:rPr>
        <w:t>开发区</w:t>
      </w:r>
      <w:r>
        <w:rPr>
          <w:rFonts w:ascii="Times New Roman" w:hAnsi="Times New Roman" w:eastAsia="仿宋_GB2312" w:cs="Times New Roman"/>
          <w:sz w:val="32"/>
          <w:szCs w:val="32"/>
          <w:lang w:val="en-US"/>
        </w:rPr>
        <w:t>。</w:t>
      </w:r>
      <w:r>
        <w:rPr>
          <w:rFonts w:ascii="Times New Roman" w:hAnsi="Times New Roman" w:eastAsia="仿宋_GB2312" w:cs="Times New Roman"/>
          <w:sz w:val="32"/>
          <w:szCs w:val="32"/>
        </w:rPr>
        <w:t>均涉及永久基本农田、人工商品林；均分布有村庄和人口。均不涉及城镇建成区、工业园区，无与功能定位相冲突的项目设施。</w:t>
      </w:r>
    </w:p>
    <w:p>
      <w:pPr>
        <w:numPr>
          <w:ilvl w:val="0"/>
          <w:numId w:val="4"/>
        </w:num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四川五峰山国家森林公园</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（1）交叉重叠。</w:t>
      </w:r>
      <w:r>
        <w:rPr>
          <w:rFonts w:ascii="Times New Roman" w:hAnsi="Times New Roman" w:eastAsia="仿宋_GB2312" w:cs="Times New Roman"/>
          <w:sz w:val="32"/>
          <w:szCs w:val="32"/>
          <w:lang w:val="en-US"/>
        </w:rPr>
        <w:t>四川五峰山国家森林公园和四川大竹百岛湖湿地公园重叠，重叠面积为：70.09公顷。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（2）城镇建成区。不涉及。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（3）村庄和人口。涉及村庄</w:t>
      </w:r>
      <w:r>
        <w:rPr>
          <w:rFonts w:ascii="Times New Roman" w:hAnsi="Times New Roman" w:eastAsia="仿宋_GB2312" w:cs="Times New Roman"/>
          <w:sz w:val="32"/>
          <w:szCs w:val="32"/>
          <w:lang w:val="en-US"/>
        </w:rPr>
        <w:t>等人为活动密集区</w:t>
      </w:r>
      <w:r>
        <w:rPr>
          <w:rFonts w:ascii="Times New Roman" w:hAnsi="Times New Roman" w:eastAsia="仿宋_GB2312" w:cs="Times New Roman"/>
          <w:sz w:val="32"/>
          <w:szCs w:val="32"/>
        </w:rPr>
        <w:t>面积19.29公顷，人口</w:t>
      </w:r>
      <w:r>
        <w:rPr>
          <w:rFonts w:ascii="Times New Roman" w:hAnsi="Times New Roman" w:eastAsia="仿宋_GB2312" w:cs="Times New Roman"/>
          <w:sz w:val="32"/>
          <w:szCs w:val="32"/>
          <w:lang w:val="en-US"/>
        </w:rPr>
        <w:t>98</w:t>
      </w:r>
      <w:r>
        <w:rPr>
          <w:rFonts w:ascii="Times New Roman" w:hAnsi="Times New Roman" w:eastAsia="仿宋_GB2312" w:cs="Times New Roman"/>
          <w:sz w:val="32"/>
          <w:szCs w:val="32"/>
        </w:rPr>
        <w:t>人。</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（4）永久基本农田。涉及永久基本农田</w:t>
      </w:r>
      <w:r>
        <w:rPr>
          <w:rFonts w:ascii="Times New Roman" w:hAnsi="Times New Roman" w:eastAsia="仿宋_GB2312" w:cs="Times New Roman"/>
          <w:sz w:val="32"/>
          <w:szCs w:val="32"/>
          <w:lang w:val="en-US"/>
        </w:rPr>
        <w:t>17.24</w:t>
      </w:r>
      <w:r>
        <w:rPr>
          <w:rFonts w:ascii="Times New Roman" w:hAnsi="Times New Roman" w:eastAsia="仿宋_GB2312" w:cs="Times New Roman"/>
          <w:sz w:val="32"/>
          <w:szCs w:val="32"/>
        </w:rPr>
        <w:t>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（5）人工商品林。涉及人工集体商品林面积</w:t>
      </w:r>
      <w:r>
        <w:rPr>
          <w:rFonts w:ascii="Times New Roman" w:hAnsi="Times New Roman" w:eastAsia="仿宋_GB2312" w:cs="Times New Roman"/>
          <w:sz w:val="32"/>
          <w:szCs w:val="32"/>
          <w:lang w:val="en-US"/>
        </w:rPr>
        <w:t>156.05</w:t>
      </w:r>
      <w:r>
        <w:rPr>
          <w:rFonts w:ascii="Times New Roman" w:hAnsi="Times New Roman" w:eastAsia="仿宋_GB2312" w:cs="Times New Roman"/>
          <w:sz w:val="32"/>
          <w:szCs w:val="32"/>
        </w:rPr>
        <w:t>公顷。</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（6）矿业权。涉及矿业权</w:t>
      </w:r>
      <w:r>
        <w:rPr>
          <w:rFonts w:ascii="Times New Roman" w:hAnsi="Times New Roman" w:eastAsia="仿宋_GB2312" w:cs="Times New Roman"/>
          <w:sz w:val="32"/>
          <w:szCs w:val="32"/>
          <w:lang w:val="en-US"/>
        </w:rPr>
        <w:t>1个，</w:t>
      </w:r>
      <w:r>
        <w:rPr>
          <w:rFonts w:ascii="Times New Roman" w:hAnsi="Times New Roman" w:eastAsia="仿宋_GB2312" w:cs="Times New Roman"/>
          <w:sz w:val="32"/>
          <w:szCs w:val="32"/>
        </w:rPr>
        <w:t>面积0.07公顷。名称为</w:t>
      </w:r>
      <w:r>
        <w:rPr>
          <w:rFonts w:ascii="Times New Roman" w:hAnsi="Times New Roman" w:eastAsia="仿宋_GB2312" w:cs="Times New Roman"/>
          <w:sz w:val="32"/>
          <w:szCs w:val="32"/>
          <w:lang w:val="en-US"/>
        </w:rPr>
        <w:t>大竹县月华乡硝水泗煤矿</w:t>
      </w:r>
      <w:r>
        <w:rPr>
          <w:rFonts w:ascii="Times New Roman" w:hAnsi="Times New Roman" w:eastAsia="仿宋_GB2312" w:cs="Times New Roman"/>
          <w:sz w:val="32"/>
          <w:szCs w:val="32"/>
        </w:rPr>
        <w:t>，初设矿权时间为</w:t>
      </w:r>
      <w:r>
        <w:rPr>
          <w:rFonts w:ascii="Times New Roman" w:hAnsi="Times New Roman" w:eastAsia="仿宋_GB2312" w:cs="Times New Roman"/>
          <w:sz w:val="32"/>
          <w:szCs w:val="32"/>
          <w:lang w:val="en-US"/>
        </w:rPr>
        <w:t>1999年9月</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关闭时间为2016年8月，</w:t>
      </w:r>
      <w:r>
        <w:rPr>
          <w:rFonts w:ascii="Times New Roman" w:hAnsi="Times New Roman" w:eastAsia="仿宋_GB2312" w:cs="Times New Roman"/>
          <w:sz w:val="32"/>
          <w:szCs w:val="32"/>
        </w:rPr>
        <w:t>采矿许可证号为</w:t>
      </w:r>
      <w:r>
        <w:rPr>
          <w:rFonts w:ascii="Times New Roman" w:hAnsi="Times New Roman" w:eastAsia="仿宋_GB2312" w:cs="Times New Roman"/>
          <w:sz w:val="32"/>
          <w:szCs w:val="32"/>
          <w:lang w:val="en-US"/>
        </w:rPr>
        <w:t>C5100002010111120084197。</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（7）开发区。涉及开发区</w:t>
      </w:r>
      <w:r>
        <w:rPr>
          <w:rFonts w:ascii="Times New Roman" w:hAnsi="Times New Roman" w:eastAsia="仿宋_GB2312" w:cs="Times New Roman"/>
          <w:sz w:val="32"/>
          <w:szCs w:val="32"/>
          <w:lang w:val="en-US"/>
        </w:rPr>
        <w:t>1个，</w:t>
      </w:r>
      <w:r>
        <w:rPr>
          <w:rFonts w:ascii="Times New Roman" w:hAnsi="Times New Roman" w:eastAsia="仿宋_GB2312" w:cs="Times New Roman"/>
          <w:sz w:val="32"/>
          <w:szCs w:val="32"/>
        </w:rPr>
        <w:t>面积</w:t>
      </w:r>
      <w:r>
        <w:rPr>
          <w:rFonts w:ascii="Times New Roman" w:hAnsi="Times New Roman" w:eastAsia="仿宋_GB2312" w:cs="Times New Roman"/>
          <w:sz w:val="32"/>
          <w:szCs w:val="32"/>
          <w:lang w:val="en-US"/>
        </w:rPr>
        <w:t>2.75公顷</w:t>
      </w:r>
      <w:r>
        <w:rPr>
          <w:rFonts w:ascii="Times New Roman" w:hAnsi="Times New Roman" w:eastAsia="仿宋_GB2312" w:cs="Times New Roman"/>
          <w:sz w:val="32"/>
          <w:szCs w:val="32"/>
        </w:rPr>
        <w:t>。开发区为四川大竹经济开发区。</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（8）工业园区。不涉及。</w:t>
      </w:r>
    </w:p>
    <w:p>
      <w:pPr>
        <w:spacing w:line="578" w:lineRule="exact"/>
        <w:ind w:firstLine="64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（9）项目设施。不涉及。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（10）违法违规情况。不涉及。</w:t>
      </w:r>
    </w:p>
    <w:p>
      <w:pPr>
        <w:spacing w:line="578" w:lineRule="exact"/>
        <w:ind w:firstLine="643"/>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rPr>
        <w:t xml:space="preserve">2. </w:t>
      </w:r>
      <w:r>
        <w:rPr>
          <w:rFonts w:ascii="Times New Roman" w:hAnsi="Times New Roman" w:eastAsia="仿宋_GB2312" w:cs="Times New Roman"/>
          <w:b/>
          <w:bCs/>
          <w:sz w:val="32"/>
          <w:szCs w:val="32"/>
        </w:rPr>
        <w:t>四川大竹县百岛湖湿地公园</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（1）交叉重叠。</w:t>
      </w:r>
      <w:r>
        <w:rPr>
          <w:rFonts w:ascii="Times New Roman" w:hAnsi="Times New Roman" w:eastAsia="仿宋_GB2312" w:cs="Times New Roman"/>
          <w:sz w:val="32"/>
          <w:szCs w:val="32"/>
          <w:lang w:val="en-US"/>
        </w:rPr>
        <w:t>四川五峰山国家森林公园和四川大竹 百岛湖湿地公园重叠，重叠面积为：70.09公顷</w:t>
      </w:r>
      <w:r>
        <w:rPr>
          <w:rFonts w:ascii="Times New Roman" w:hAnsi="Times New Roman" w:eastAsia="仿宋_GB2312" w:cs="Times New Roman"/>
          <w:sz w:val="32"/>
          <w:szCs w:val="32"/>
        </w:rPr>
        <w:t>。</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（2）城镇建成区。不涉及城镇建成区。</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（3）村庄和人口。涉及村庄</w:t>
      </w:r>
      <w:r>
        <w:rPr>
          <w:rFonts w:ascii="Times New Roman" w:hAnsi="Times New Roman" w:eastAsia="仿宋_GB2312" w:cs="Times New Roman"/>
          <w:sz w:val="32"/>
          <w:szCs w:val="32"/>
          <w:lang w:val="en-US"/>
        </w:rPr>
        <w:t>等人为活动密集区</w:t>
      </w:r>
      <w:r>
        <w:rPr>
          <w:rFonts w:ascii="Times New Roman" w:hAnsi="Times New Roman" w:eastAsia="仿宋_GB2312" w:cs="Times New Roman"/>
          <w:sz w:val="32"/>
          <w:szCs w:val="32"/>
        </w:rPr>
        <w:t>面积</w:t>
      </w:r>
      <w:r>
        <w:rPr>
          <w:rFonts w:ascii="Times New Roman" w:hAnsi="Times New Roman" w:eastAsia="仿宋_GB2312" w:cs="Times New Roman"/>
          <w:sz w:val="32"/>
          <w:szCs w:val="32"/>
          <w:lang w:val="en-US"/>
        </w:rPr>
        <w:t>23.69</w:t>
      </w:r>
      <w:r>
        <w:rPr>
          <w:rFonts w:ascii="Times New Roman" w:hAnsi="Times New Roman" w:eastAsia="仿宋_GB2312" w:cs="Times New Roman"/>
          <w:sz w:val="32"/>
          <w:szCs w:val="32"/>
        </w:rPr>
        <w:t>公顷，人口</w:t>
      </w:r>
      <w:r>
        <w:rPr>
          <w:rFonts w:ascii="Times New Roman" w:hAnsi="Times New Roman" w:eastAsia="仿宋_GB2312" w:cs="Times New Roman"/>
          <w:sz w:val="32"/>
          <w:szCs w:val="32"/>
          <w:lang w:val="en-US"/>
        </w:rPr>
        <w:t>108</w:t>
      </w:r>
      <w:r>
        <w:rPr>
          <w:rFonts w:ascii="Times New Roman" w:hAnsi="Times New Roman" w:eastAsia="仿宋_GB2312" w:cs="Times New Roman"/>
          <w:sz w:val="32"/>
          <w:szCs w:val="32"/>
        </w:rPr>
        <w:t>人。</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（4）永久基本农田。涉及永久基本农田</w:t>
      </w:r>
      <w:r>
        <w:rPr>
          <w:rFonts w:ascii="Times New Roman" w:hAnsi="Times New Roman" w:eastAsia="仿宋_GB2312" w:cs="Times New Roman"/>
          <w:sz w:val="32"/>
          <w:szCs w:val="32"/>
          <w:lang w:val="en-US"/>
        </w:rPr>
        <w:t>236.39</w:t>
      </w:r>
      <w:r>
        <w:rPr>
          <w:rFonts w:ascii="Times New Roman" w:hAnsi="Times New Roman" w:eastAsia="仿宋_GB2312" w:cs="Times New Roman"/>
          <w:sz w:val="32"/>
          <w:szCs w:val="32"/>
        </w:rPr>
        <w:t>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（5）人工商品林。涉及人工集体商品林面积</w:t>
      </w:r>
      <w:r>
        <w:rPr>
          <w:rFonts w:ascii="Times New Roman" w:hAnsi="Times New Roman" w:eastAsia="仿宋_GB2312" w:cs="Times New Roman"/>
          <w:sz w:val="32"/>
          <w:szCs w:val="32"/>
          <w:lang w:val="en-US"/>
        </w:rPr>
        <w:t>17.98</w:t>
      </w:r>
      <w:r>
        <w:rPr>
          <w:rFonts w:ascii="Times New Roman" w:hAnsi="Times New Roman" w:eastAsia="仿宋_GB2312" w:cs="Times New Roman"/>
          <w:sz w:val="32"/>
          <w:szCs w:val="32"/>
        </w:rPr>
        <w:t>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（6）矿业权。不涉及。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（7）开发区。不涉及。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（8）工业园区。不涉及。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（9）项目设施。不涉及。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10）违法违规情况。中央第一轮环境保护督察群众信访反映“达州市大竹县“百岛湖温泉”占用当地乌木水库近100亩水域修建别墅；乌木水库三零六方向彭家院子段公路边一农家乐以修水库码头为名，违规占用水库水域面积。”和 “达州市大竹县朝阳乡乌木水库（县城饮用水源）一侧的“和悦庄酒店”，将污水直排水库，污染水库水质。”问题，均已整改完成，已销号备案。</w:t>
      </w:r>
    </w:p>
    <w:p>
      <w:pPr>
        <w:pStyle w:val="2"/>
        <w:spacing w:line="578" w:lineRule="exact"/>
        <w:ind w:firstLine="640"/>
        <w:rPr>
          <w:rFonts w:ascii="Times New Roman" w:hAnsi="Times New Roman" w:eastAsia="黑体" w:cs="Times New Roman"/>
          <w:b w:val="0"/>
        </w:rPr>
      </w:pPr>
      <w:bookmarkStart w:id="26" w:name="_bookmark8"/>
      <w:bookmarkEnd w:id="26"/>
      <w:bookmarkStart w:id="27" w:name="三、自然保护区整合优化预案"/>
      <w:bookmarkEnd w:id="27"/>
      <w:bookmarkStart w:id="28" w:name="_Toc130654992"/>
      <w:r>
        <w:rPr>
          <w:rFonts w:ascii="Times New Roman" w:hAnsi="黑体" w:eastAsia="黑体" w:cs="Times New Roman"/>
          <w:b w:val="0"/>
        </w:rPr>
        <w:t>三、自然保护地整合优化方案</w:t>
      </w:r>
      <w:bookmarkEnd w:id="28"/>
    </w:p>
    <w:p>
      <w:pPr>
        <w:pStyle w:val="3"/>
        <w:spacing w:line="578" w:lineRule="exact"/>
        <w:ind w:firstLine="643"/>
        <w:rPr>
          <w:rFonts w:ascii="Times New Roman" w:hAnsi="Times New Roman" w:eastAsia="楷体_GB2312" w:cs="Times New Roman"/>
        </w:rPr>
      </w:pPr>
      <w:bookmarkStart w:id="29" w:name="（一）自然保护区转化调整"/>
      <w:bookmarkEnd w:id="29"/>
      <w:bookmarkStart w:id="30" w:name="_bookmark9"/>
      <w:bookmarkEnd w:id="30"/>
      <w:bookmarkStart w:id="31" w:name="_Toc130654993"/>
      <w:bookmarkStart w:id="32" w:name="_Hlk130142787"/>
      <w:r>
        <w:rPr>
          <w:rFonts w:ascii="Times New Roman" w:hAnsi="Times New Roman" w:eastAsia="楷体_GB2312" w:cs="Times New Roman"/>
        </w:rPr>
        <w:t>（一）整合优化结果</w:t>
      </w:r>
      <w:bookmarkEnd w:id="31"/>
    </w:p>
    <w:bookmarkEnd w:id="32"/>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大竹县整合优化后有1个国家级森林公园</w:t>
      </w:r>
      <w:r>
        <w:rPr>
          <w:rFonts w:ascii="Times New Roman" w:hAnsi="Times New Roman" w:eastAsia="仿宋_GB2312" w:cs="Times New Roman"/>
          <w:sz w:val="32"/>
          <w:szCs w:val="32"/>
          <w:lang w:val="en-US"/>
        </w:rPr>
        <w:t>和1个省级湿地公园</w:t>
      </w:r>
      <w:r>
        <w:rPr>
          <w:rFonts w:ascii="Times New Roman" w:hAnsi="Times New Roman" w:eastAsia="仿宋_GB2312" w:cs="Times New Roman"/>
          <w:sz w:val="32"/>
          <w:szCs w:val="32"/>
        </w:rPr>
        <w:t>，自然保护地整合优化后总面积1172.41公顷，</w:t>
      </w:r>
      <w:r>
        <w:rPr>
          <w:rFonts w:ascii="Times New Roman" w:cs="Times New Roman"/>
          <w:sz w:val="32"/>
          <w:szCs w:val="32"/>
        </w:rPr>
        <w:t>占县域面积的</w:t>
      </w:r>
      <w:r>
        <w:rPr>
          <w:rFonts w:ascii="Times New Roman" w:hAnsi="Times New Roman" w:cs="Times New Roman"/>
          <w:sz w:val="32"/>
          <w:szCs w:val="32"/>
          <w:lang w:val="en-US"/>
        </w:rPr>
        <w:t>0.56</w:t>
      </w:r>
      <w:r>
        <w:rPr>
          <w:rFonts w:ascii="Times New Roman" w:hAnsi="Times New Roman" w:cs="Times New Roman"/>
          <w:sz w:val="32"/>
          <w:szCs w:val="32"/>
        </w:rPr>
        <w:t>%</w:t>
      </w:r>
      <w:r>
        <w:rPr>
          <w:rFonts w:ascii="Times New Roman" w:cs="Times New Roman"/>
          <w:sz w:val="32"/>
          <w:szCs w:val="32"/>
        </w:rPr>
        <w:t>。</w:t>
      </w:r>
      <w:r>
        <w:rPr>
          <w:rFonts w:ascii="Times New Roman" w:hAnsi="Times New Roman" w:eastAsia="仿宋_GB2312" w:cs="Times New Roman"/>
          <w:sz w:val="32"/>
          <w:szCs w:val="32"/>
        </w:rPr>
        <w:t>分别为四川五峰山国家森林公园，面积</w:t>
      </w:r>
      <w:r>
        <w:rPr>
          <w:rFonts w:ascii="Times New Roman" w:hAnsi="Times New Roman" w:eastAsia="仿宋_GB2312" w:cs="Times New Roman"/>
          <w:sz w:val="32"/>
          <w:szCs w:val="32"/>
          <w:lang w:val="en-US"/>
        </w:rPr>
        <w:t>541.41</w:t>
      </w:r>
      <w:r>
        <w:rPr>
          <w:rFonts w:ascii="Times New Roman" w:hAnsi="Times New Roman" w:eastAsia="仿宋_GB2312" w:cs="Times New Roman"/>
          <w:sz w:val="32"/>
          <w:szCs w:val="32"/>
        </w:rPr>
        <w:t>公顷，占整合优化后自然保护地总面积的46.18%；四川大竹百岛湖省级湿地公园，</w:t>
      </w:r>
      <w:r>
        <w:rPr>
          <w:rFonts w:ascii="Times New Roman" w:hAnsi="Times New Roman" w:eastAsia="仿宋_GB2312" w:cs="Times New Roman"/>
          <w:sz w:val="32"/>
          <w:szCs w:val="32"/>
          <w:lang w:val="en-US"/>
        </w:rPr>
        <w:t>面积631.00</w:t>
      </w:r>
      <w:r>
        <w:rPr>
          <w:rFonts w:ascii="Times New Roman" w:hAnsi="Times New Roman" w:eastAsia="仿宋_GB2312" w:cs="Times New Roman"/>
          <w:sz w:val="32"/>
          <w:szCs w:val="32"/>
        </w:rPr>
        <w:t>公顷，占整合优化后自然保护地总面积的53.82%。</w:t>
      </w:r>
    </w:p>
    <w:p>
      <w:pPr>
        <w:pStyle w:val="3"/>
        <w:spacing w:line="578" w:lineRule="exact"/>
        <w:ind w:firstLine="643"/>
        <w:rPr>
          <w:rFonts w:ascii="Times New Roman" w:hAnsi="Times New Roman" w:eastAsia="楷体_GB2312" w:cs="Times New Roman"/>
        </w:rPr>
      </w:pPr>
      <w:bookmarkStart w:id="33" w:name="_Toc130654994"/>
      <w:bookmarkStart w:id="34" w:name="_Hlk130152344"/>
      <w:bookmarkStart w:id="35" w:name="_Hlk130153064"/>
      <w:r>
        <w:rPr>
          <w:rFonts w:ascii="Times New Roman" w:hAnsi="Times New Roman" w:eastAsia="楷体_GB2312" w:cs="Times New Roman"/>
        </w:rPr>
        <w:t>（二）四川五峰山国家森林公园整合优化方案</w:t>
      </w:r>
      <w:bookmarkEnd w:id="33"/>
    </w:p>
    <w:p>
      <w:pPr>
        <w:spacing w:line="578" w:lineRule="exact"/>
        <w:ind w:firstLine="643"/>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rPr>
        <w:t xml:space="preserve">1. </w:t>
      </w:r>
      <w:r>
        <w:rPr>
          <w:rFonts w:ascii="Times New Roman" w:hAnsi="Times New Roman" w:eastAsia="仿宋_GB2312" w:cs="Times New Roman"/>
          <w:b/>
          <w:bCs/>
          <w:sz w:val="32"/>
          <w:szCs w:val="32"/>
        </w:rPr>
        <w:t>空间整合（身份处置）</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四川五峰山国家森林公园</w:t>
      </w:r>
      <w:r>
        <w:rPr>
          <w:rFonts w:ascii="Times New Roman" w:hAnsi="Times New Roman" w:eastAsia="仿宋_GB2312" w:cs="Times New Roman"/>
          <w:sz w:val="32"/>
          <w:szCs w:val="32"/>
          <w:lang w:val="en-US"/>
        </w:rPr>
        <w:t>不涉及空间整合</w:t>
      </w:r>
      <w:r>
        <w:rPr>
          <w:rFonts w:ascii="Times New Roman" w:hAnsi="Times New Roman" w:eastAsia="仿宋_GB2312" w:cs="Times New Roman"/>
          <w:sz w:val="32"/>
          <w:szCs w:val="32"/>
        </w:rPr>
        <w:t>。</w:t>
      </w:r>
    </w:p>
    <w:p>
      <w:pPr>
        <w:numPr>
          <w:ilvl w:val="0"/>
          <w:numId w:val="4"/>
        </w:num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范围优化</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（1）调出方案</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调出方案：四川五峰山国家森林公园优化前面积918.69公顷，</w:t>
      </w:r>
      <w:r>
        <w:rPr>
          <w:rFonts w:ascii="Times New Roman" w:hAnsi="Times New Roman" w:eastAsia="仿宋_GB2312" w:cs="Times New Roman"/>
          <w:sz w:val="32"/>
          <w:szCs w:val="32"/>
          <w:lang w:val="en-US"/>
        </w:rPr>
        <w:t>共计调出39个地块，调出面积377.28公顷。调出地块中有大面积的耕地</w:t>
      </w:r>
      <w:r>
        <w:rPr>
          <w:rFonts w:ascii="Times New Roman" w:hAnsi="Times New Roman" w:eastAsia="仿宋_GB2312" w:cs="Times New Roman"/>
          <w:sz w:val="32"/>
          <w:szCs w:val="32"/>
        </w:rPr>
        <w:t>面积</w:t>
      </w:r>
      <w:r>
        <w:rPr>
          <w:rFonts w:ascii="Times New Roman" w:hAnsi="Times New Roman" w:eastAsia="仿宋_GB2312" w:cs="Times New Roman"/>
          <w:sz w:val="32"/>
          <w:szCs w:val="32"/>
          <w:lang w:val="en-US"/>
        </w:rPr>
        <w:t>18.92</w:t>
      </w:r>
      <w:r>
        <w:rPr>
          <w:rFonts w:ascii="Times New Roman" w:hAnsi="Times New Roman" w:eastAsia="仿宋_GB2312" w:cs="Times New Roman"/>
          <w:sz w:val="32"/>
          <w:szCs w:val="32"/>
        </w:rPr>
        <w:t>公顷；生态区位不重要、生物多样性丰富度不高的成片集体人工商品林面积</w:t>
      </w:r>
      <w:r>
        <w:rPr>
          <w:rFonts w:ascii="Times New Roman" w:hAnsi="Times New Roman" w:eastAsia="仿宋_GB2312" w:cs="Times New Roman"/>
          <w:sz w:val="32"/>
          <w:szCs w:val="32"/>
          <w:lang w:val="en-US"/>
        </w:rPr>
        <w:t>172.70</w:t>
      </w:r>
      <w:r>
        <w:rPr>
          <w:rFonts w:ascii="Times New Roman" w:hAnsi="Times New Roman" w:eastAsia="仿宋_GB2312" w:cs="Times New Roman"/>
          <w:sz w:val="32"/>
          <w:szCs w:val="32"/>
        </w:rPr>
        <w:t>公顷，主要以</w:t>
      </w:r>
      <w:r>
        <w:rPr>
          <w:rFonts w:ascii="Times New Roman" w:hAnsi="Times New Roman" w:eastAsia="仿宋_GB2312" w:cs="Times New Roman"/>
          <w:sz w:val="32"/>
          <w:szCs w:val="32"/>
          <w:lang w:val="en-US"/>
        </w:rPr>
        <w:t>柏木、马尾松、桤木</w:t>
      </w:r>
      <w:r>
        <w:rPr>
          <w:rFonts w:ascii="Times New Roman" w:hAnsi="Times New Roman" w:eastAsia="仿宋_GB2312" w:cs="Times New Roman"/>
          <w:sz w:val="32"/>
          <w:szCs w:val="32"/>
        </w:rPr>
        <w:t>为主；保护价值低的城镇和村庄</w:t>
      </w:r>
      <w:r>
        <w:rPr>
          <w:rFonts w:ascii="Times New Roman" w:hAnsi="Times New Roman" w:eastAsia="仿宋_GB2312" w:cs="Times New Roman"/>
          <w:sz w:val="32"/>
          <w:szCs w:val="32"/>
          <w:lang w:val="en-US"/>
        </w:rPr>
        <w:t>47.28</w:t>
      </w:r>
      <w:r>
        <w:rPr>
          <w:rFonts w:ascii="Times New Roman" w:hAnsi="Times New Roman" w:eastAsia="仿宋_GB2312" w:cs="Times New Roman"/>
          <w:sz w:val="32"/>
          <w:szCs w:val="32"/>
        </w:rPr>
        <w:t>公顷（含四川大竹经济开发区面积</w:t>
      </w:r>
      <w:r>
        <w:rPr>
          <w:rFonts w:ascii="Times New Roman" w:hAnsi="Times New Roman" w:eastAsia="仿宋_GB2312" w:cs="Times New Roman"/>
          <w:sz w:val="32"/>
          <w:szCs w:val="32"/>
          <w:lang w:val="en-US"/>
        </w:rPr>
        <w:t>2.75公顷</w:t>
      </w:r>
      <w:r>
        <w:rPr>
          <w:rFonts w:ascii="Times New Roman" w:hAnsi="Times New Roman" w:eastAsia="仿宋_GB2312" w:cs="Times New Roman"/>
          <w:sz w:val="32"/>
          <w:szCs w:val="32"/>
        </w:rPr>
        <w:t>），人口</w:t>
      </w:r>
      <w:r>
        <w:rPr>
          <w:rFonts w:ascii="Times New Roman" w:hAnsi="Times New Roman" w:eastAsia="仿宋_GB2312" w:cs="Times New Roman"/>
          <w:sz w:val="32"/>
          <w:szCs w:val="32"/>
          <w:lang w:val="en-US"/>
        </w:rPr>
        <w:t>98</w:t>
      </w:r>
      <w:r>
        <w:rPr>
          <w:rFonts w:ascii="Times New Roman" w:hAnsi="Times New Roman" w:eastAsia="仿宋_GB2312" w:cs="Times New Roman"/>
          <w:sz w:val="32"/>
          <w:szCs w:val="32"/>
        </w:rPr>
        <w:t>人；矿业权0.07公顷；以及其他整合后孤立细碎图斑面积138.31公顷。调出后四川五峰山国家森林公园面积541.41公顷。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法规政策和科学评估依据：根据自然资函〔20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〕71号、自然资办发〔20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〕42号、自然资函〔20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〕861号、自然资办函〔20</w:t>
      </w:r>
      <w:r>
        <w:rPr>
          <w:rFonts w:ascii="Times New Roman" w:hAnsi="Times New Roman" w:eastAsia="仿宋_GB2312" w:cs="Times New Roman"/>
          <w:sz w:val="32"/>
          <w:szCs w:val="32"/>
          <w:lang w:val="en-US"/>
        </w:rPr>
        <w:t>21</w:t>
      </w:r>
      <w:r>
        <w:rPr>
          <w:rFonts w:ascii="Times New Roman" w:hAnsi="Times New Roman" w:eastAsia="仿宋_GB2312" w:cs="Times New Roman"/>
          <w:sz w:val="32"/>
          <w:szCs w:val="32"/>
        </w:rPr>
        <w:t>〕458号、办函保字〔20</w:t>
      </w:r>
      <w:r>
        <w:rPr>
          <w:rFonts w:ascii="Times New Roman" w:hAnsi="Times New Roman" w:eastAsia="仿宋_GB2312" w:cs="Times New Roman"/>
          <w:sz w:val="32"/>
          <w:szCs w:val="32"/>
          <w:lang w:val="en-US"/>
        </w:rPr>
        <w:t>22</w:t>
      </w:r>
      <w:r>
        <w:rPr>
          <w:rFonts w:ascii="Times New Roman" w:hAnsi="Times New Roman" w:eastAsia="仿宋_GB2312" w:cs="Times New Roman"/>
          <w:sz w:val="32"/>
          <w:szCs w:val="32"/>
        </w:rPr>
        <w:t>〕99号等整合优化规则。</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（2）调入方案</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四川五峰山国家森林公园无调入地块。</w:t>
      </w:r>
    </w:p>
    <w:p>
      <w:pPr>
        <w:numPr>
          <w:ilvl w:val="0"/>
          <w:numId w:val="4"/>
        </w:num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管理机构队伍</w:t>
      </w:r>
    </w:p>
    <w:bookmarkEnd w:id="34"/>
    <w:bookmarkEnd w:id="35"/>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保持不变，与整合前一致</w:t>
      </w:r>
      <w:r>
        <w:rPr>
          <w:rFonts w:ascii="Times New Roman" w:hAnsi="Times New Roman" w:eastAsia="仿宋_GB2312" w:cs="Times New Roman"/>
          <w:sz w:val="32"/>
          <w:szCs w:val="32"/>
        </w:rPr>
        <w:t>。</w:t>
      </w:r>
    </w:p>
    <w:p>
      <w:pPr>
        <w:pStyle w:val="3"/>
        <w:spacing w:line="578" w:lineRule="exact"/>
        <w:ind w:firstLine="643"/>
        <w:rPr>
          <w:rFonts w:ascii="Times New Roman" w:hAnsi="Times New Roman" w:cs="Times New Roman"/>
        </w:rPr>
      </w:pPr>
      <w:bookmarkStart w:id="36" w:name="_Toc130654995"/>
      <w:r>
        <w:rPr>
          <w:rFonts w:ascii="Times New Roman" w:hAnsi="Times New Roman" w:cs="Times New Roman"/>
        </w:rPr>
        <w:t>（三）四川大竹百岛湖省级湿地公园整合优化方案</w:t>
      </w:r>
      <w:bookmarkEnd w:id="36"/>
    </w:p>
    <w:p>
      <w:p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val="en-US"/>
        </w:rPr>
        <w:t xml:space="preserve">. </w:t>
      </w:r>
      <w:r>
        <w:rPr>
          <w:rFonts w:ascii="Times New Roman" w:hAnsi="Times New Roman" w:eastAsia="仿宋_GB2312" w:cs="Times New Roman"/>
          <w:b/>
          <w:bCs/>
          <w:sz w:val="32"/>
          <w:szCs w:val="32"/>
        </w:rPr>
        <w:t>空间整合（身份处置）</w:t>
      </w:r>
    </w:p>
    <w:p>
      <w:pPr>
        <w:spacing w:line="578" w:lineRule="exact"/>
        <w:ind w:left="638" w:leftChars="228" w:firstLine="0" w:firstLineChars="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四川大竹百岛湖省级湿地公园</w:t>
      </w:r>
      <w:r>
        <w:rPr>
          <w:rFonts w:ascii="Times New Roman" w:hAnsi="Times New Roman" w:eastAsia="仿宋_GB2312" w:cs="Times New Roman"/>
          <w:sz w:val="32"/>
          <w:szCs w:val="32"/>
          <w:lang w:val="en-US"/>
        </w:rPr>
        <w:t>不涉及空间整合</w:t>
      </w:r>
      <w:r>
        <w:rPr>
          <w:rFonts w:hint="eastAsia" w:ascii="Times New Roman" w:hAnsi="Times New Roman" w:eastAsia="仿宋_GB2312" w:cs="Times New Roman"/>
          <w:sz w:val="32"/>
          <w:szCs w:val="32"/>
          <w:lang w:val="en-US" w:eastAsia="zh-CN"/>
        </w:rPr>
        <w:t>。</w:t>
      </w:r>
    </w:p>
    <w:p>
      <w:pPr>
        <w:spacing w:line="578" w:lineRule="exact"/>
        <w:ind w:left="638" w:leftChars="228" w:firstLine="0" w:firstLineChars="0"/>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 xml:space="preserve">2. </w:t>
      </w:r>
      <w:r>
        <w:rPr>
          <w:rFonts w:ascii="Times New Roman" w:hAnsi="Times New Roman" w:eastAsia="仿宋_GB2312" w:cs="Times New Roman"/>
          <w:b/>
          <w:bCs/>
          <w:sz w:val="32"/>
          <w:szCs w:val="32"/>
        </w:rPr>
        <w:t>范围优化</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（1）调出方案</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调出方案：四川大竹百岛湖省级湿地公园优化前面积1080.05公顷，</w:t>
      </w:r>
      <w:r>
        <w:rPr>
          <w:rFonts w:ascii="Times New Roman" w:hAnsi="Times New Roman" w:eastAsia="仿宋_GB2312" w:cs="Times New Roman"/>
          <w:sz w:val="32"/>
          <w:szCs w:val="32"/>
          <w:lang w:val="en-US"/>
        </w:rPr>
        <w:t>共计调出106个地块，调出面积449.05公顷。调出地块中有大面积的耕地</w:t>
      </w:r>
      <w:r>
        <w:rPr>
          <w:rFonts w:ascii="Times New Roman" w:hAnsi="Times New Roman" w:eastAsia="仿宋_GB2312" w:cs="Times New Roman"/>
          <w:sz w:val="32"/>
          <w:szCs w:val="32"/>
        </w:rPr>
        <w:t>面积</w:t>
      </w:r>
      <w:r>
        <w:rPr>
          <w:rFonts w:ascii="Times New Roman" w:hAnsi="Times New Roman" w:eastAsia="仿宋_GB2312" w:cs="Times New Roman"/>
          <w:sz w:val="32"/>
          <w:szCs w:val="32"/>
          <w:lang w:val="en-US"/>
        </w:rPr>
        <w:t>280.52</w:t>
      </w:r>
      <w:r>
        <w:rPr>
          <w:rFonts w:ascii="Times New Roman" w:hAnsi="Times New Roman" w:eastAsia="仿宋_GB2312" w:cs="Times New Roman"/>
          <w:sz w:val="32"/>
          <w:szCs w:val="32"/>
        </w:rPr>
        <w:t>公顷；生态区位不重要、生物多样性丰富度不高的成片集体人工商品林面积</w:t>
      </w:r>
      <w:r>
        <w:rPr>
          <w:rFonts w:ascii="Times New Roman" w:hAnsi="Times New Roman" w:eastAsia="仿宋_GB2312" w:cs="Times New Roman"/>
          <w:sz w:val="32"/>
          <w:szCs w:val="32"/>
          <w:lang w:val="en-US"/>
        </w:rPr>
        <w:t>28.62</w:t>
      </w:r>
      <w:r>
        <w:rPr>
          <w:rFonts w:ascii="Times New Roman" w:hAnsi="Times New Roman" w:eastAsia="仿宋_GB2312" w:cs="Times New Roman"/>
          <w:sz w:val="32"/>
          <w:szCs w:val="32"/>
        </w:rPr>
        <w:t>公顷，主要以</w:t>
      </w:r>
      <w:r>
        <w:rPr>
          <w:rFonts w:ascii="Times New Roman" w:hAnsi="Times New Roman" w:eastAsia="仿宋_GB2312" w:cs="Times New Roman"/>
          <w:sz w:val="32"/>
          <w:szCs w:val="32"/>
          <w:lang w:val="en-US"/>
        </w:rPr>
        <w:t>柏木、马尾松、桤木</w:t>
      </w:r>
      <w:r>
        <w:rPr>
          <w:rFonts w:ascii="Times New Roman" w:hAnsi="Times New Roman" w:eastAsia="仿宋_GB2312" w:cs="Times New Roman"/>
          <w:sz w:val="32"/>
          <w:szCs w:val="32"/>
        </w:rPr>
        <w:t>为主；保护价值低的城镇和村庄</w:t>
      </w:r>
      <w:r>
        <w:rPr>
          <w:rFonts w:ascii="Times New Roman" w:hAnsi="Times New Roman" w:eastAsia="仿宋_GB2312" w:cs="Times New Roman"/>
          <w:sz w:val="32"/>
          <w:szCs w:val="32"/>
          <w:lang w:val="en-US"/>
        </w:rPr>
        <w:t>57.52</w:t>
      </w:r>
      <w:r>
        <w:rPr>
          <w:rFonts w:ascii="Times New Roman" w:hAnsi="Times New Roman" w:eastAsia="仿宋_GB2312" w:cs="Times New Roman"/>
          <w:sz w:val="32"/>
          <w:szCs w:val="32"/>
        </w:rPr>
        <w:t>公顷，人口</w:t>
      </w:r>
      <w:r>
        <w:rPr>
          <w:rFonts w:ascii="Times New Roman" w:hAnsi="Times New Roman" w:eastAsia="仿宋_GB2312" w:cs="Times New Roman"/>
          <w:sz w:val="32"/>
          <w:szCs w:val="32"/>
          <w:lang w:val="en-US"/>
        </w:rPr>
        <w:t>108</w:t>
      </w:r>
      <w:r>
        <w:rPr>
          <w:rFonts w:ascii="Times New Roman" w:hAnsi="Times New Roman" w:eastAsia="仿宋_GB2312" w:cs="Times New Roman"/>
          <w:sz w:val="32"/>
          <w:szCs w:val="32"/>
        </w:rPr>
        <w:t>人；以及其他整合后孤立细碎图斑面积82.39公顷。调出后四川大竹百岛湖省级湿地公园面积631.00公顷。</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法规政策和科学评估依据：根据自然资函〔20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〕71号、自然资办发〔20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〕42号、自然资函〔20</w:t>
      </w:r>
      <w:r>
        <w:rPr>
          <w:rFonts w:ascii="Times New Roman" w:hAnsi="Times New Roman" w:eastAsia="仿宋_GB2312" w:cs="Times New Roman"/>
          <w:sz w:val="32"/>
          <w:szCs w:val="32"/>
          <w:lang w:val="en-US"/>
        </w:rPr>
        <w:t>20</w:t>
      </w:r>
      <w:r>
        <w:rPr>
          <w:rFonts w:ascii="Times New Roman" w:hAnsi="Times New Roman" w:eastAsia="仿宋_GB2312" w:cs="Times New Roman"/>
          <w:sz w:val="32"/>
          <w:szCs w:val="32"/>
        </w:rPr>
        <w:t>〕861号、自然资办函〔20</w:t>
      </w:r>
      <w:r>
        <w:rPr>
          <w:rFonts w:ascii="Times New Roman" w:hAnsi="Times New Roman" w:eastAsia="仿宋_GB2312" w:cs="Times New Roman"/>
          <w:sz w:val="32"/>
          <w:szCs w:val="32"/>
          <w:lang w:val="en-US"/>
        </w:rPr>
        <w:t>21</w:t>
      </w:r>
      <w:r>
        <w:rPr>
          <w:rFonts w:ascii="Times New Roman" w:hAnsi="Times New Roman" w:eastAsia="仿宋_GB2312" w:cs="Times New Roman"/>
          <w:sz w:val="32"/>
          <w:szCs w:val="32"/>
        </w:rPr>
        <w:t>〕458号、办函保字〔20</w:t>
      </w:r>
      <w:r>
        <w:rPr>
          <w:rFonts w:ascii="Times New Roman" w:hAnsi="Times New Roman" w:eastAsia="仿宋_GB2312" w:cs="Times New Roman"/>
          <w:sz w:val="32"/>
          <w:szCs w:val="32"/>
          <w:lang w:val="en-US"/>
        </w:rPr>
        <w:t>22</w:t>
      </w:r>
      <w:r>
        <w:rPr>
          <w:rFonts w:ascii="Times New Roman" w:hAnsi="Times New Roman" w:eastAsia="仿宋_GB2312" w:cs="Times New Roman"/>
          <w:sz w:val="32"/>
          <w:szCs w:val="32"/>
        </w:rPr>
        <w:t>〕99号等整合优化规则。</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（2）调入方案</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四川大竹百岛湖省级湿地公园无调入地块。</w:t>
      </w:r>
    </w:p>
    <w:p>
      <w:pPr>
        <w:spacing w:line="578" w:lineRule="exact"/>
        <w:ind w:left="638" w:leftChars="228" w:firstLine="0" w:firstLineChars="0"/>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3.</w:t>
      </w:r>
      <w:r>
        <w:rPr>
          <w:rFonts w:ascii="Times New Roman" w:hAnsi="Times New Roman" w:eastAsia="仿宋_GB2312" w:cs="Times New Roman"/>
          <w:b/>
          <w:bCs/>
          <w:sz w:val="32"/>
          <w:szCs w:val="32"/>
        </w:rPr>
        <w:t>管理机构队伍</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将相关职能划转到林业主管部门，并成立相关机构。</w:t>
      </w:r>
    </w:p>
    <w:p>
      <w:pPr>
        <w:pStyle w:val="2"/>
        <w:spacing w:line="578" w:lineRule="exact"/>
        <w:ind w:firstLine="640"/>
        <w:rPr>
          <w:rFonts w:ascii="Times New Roman" w:hAnsi="Times New Roman" w:eastAsia="黑体" w:cs="Times New Roman"/>
          <w:b w:val="0"/>
        </w:rPr>
      </w:pPr>
      <w:bookmarkStart w:id="37" w:name="_bookmark17"/>
      <w:bookmarkEnd w:id="37"/>
      <w:bookmarkStart w:id="38" w:name="五、影响和效益评价"/>
      <w:bookmarkEnd w:id="38"/>
      <w:bookmarkStart w:id="39" w:name="_Toc130654996"/>
      <w:r>
        <w:rPr>
          <w:rFonts w:ascii="Times New Roman" w:hAnsi="Times New Roman" w:eastAsia="黑体" w:cs="Times New Roman"/>
          <w:b w:val="0"/>
        </w:rPr>
        <w:t>四、影响和效</w:t>
      </w:r>
      <w:bookmarkStart w:id="49" w:name="_GoBack"/>
      <w:bookmarkEnd w:id="49"/>
      <w:r>
        <w:rPr>
          <w:rFonts w:ascii="Times New Roman" w:hAnsi="Times New Roman" w:eastAsia="黑体" w:cs="Times New Roman"/>
          <w:b w:val="0"/>
        </w:rPr>
        <w:t>益评价</w:t>
      </w:r>
      <w:bookmarkEnd w:id="39"/>
    </w:p>
    <w:p>
      <w:pPr>
        <w:pStyle w:val="3"/>
        <w:spacing w:line="578" w:lineRule="exact"/>
        <w:ind w:firstLine="643"/>
        <w:rPr>
          <w:rFonts w:ascii="Times New Roman" w:hAnsi="Times New Roman" w:eastAsia="楷体_GB2312" w:cs="Times New Roman"/>
        </w:rPr>
      </w:pPr>
      <w:bookmarkStart w:id="40" w:name="_Toc130654997"/>
      <w:bookmarkStart w:id="41" w:name="_Hlk130154734"/>
      <w:r>
        <w:rPr>
          <w:rFonts w:ascii="Times New Roman" w:hAnsi="Times New Roman" w:eastAsia="楷体_GB2312" w:cs="Times New Roman"/>
        </w:rPr>
        <w:t>（一）效益评价</w:t>
      </w:r>
      <w:bookmarkEnd w:id="40"/>
    </w:p>
    <w:bookmarkEnd w:id="41"/>
    <w:p>
      <w:p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生态效益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大竹县自然保护地整合优化方案实施后，湿地自然公园能更好的保护湿地生态系统及野生动植物，在水源涵养、水土保持、调节气候及保护生物多样性等多方面的发挥功能；森林公园解决了遗留问题，减少人为扰动，能更有效的保护森林生态系统</w:t>
      </w:r>
      <w:r>
        <w:rPr>
          <w:rFonts w:ascii="Times New Roman" w:hAnsi="Times New Roman" w:eastAsia="仿宋_GB2312" w:cs="Times New Roman"/>
          <w:sz w:val="32"/>
          <w:szCs w:val="32"/>
          <w:lang w:val="en-US"/>
        </w:rPr>
        <w:t>，</w:t>
      </w:r>
      <w:r>
        <w:rPr>
          <w:rFonts w:ascii="Times New Roman" w:hAnsi="Times New Roman" w:eastAsia="仿宋_GB2312" w:cs="Times New Roman"/>
          <w:sz w:val="32"/>
          <w:szCs w:val="32"/>
        </w:rPr>
        <w:t>发挥其保持水土和净化空气的作用，</w:t>
      </w:r>
      <w:r>
        <w:rPr>
          <w:rFonts w:ascii="Times New Roman" w:hAnsi="Times New Roman" w:eastAsia="仿宋_GB2312" w:cs="Times New Roman"/>
          <w:sz w:val="32"/>
          <w:szCs w:val="32"/>
          <w:lang w:val="en-US"/>
        </w:rPr>
        <w:t>提升</w:t>
      </w:r>
      <w:r>
        <w:rPr>
          <w:rFonts w:ascii="Times New Roman" w:hAnsi="Times New Roman" w:eastAsia="仿宋_GB2312" w:cs="Times New Roman"/>
          <w:sz w:val="32"/>
          <w:szCs w:val="32"/>
        </w:rPr>
        <w:t>森林公园</w:t>
      </w:r>
      <w:r>
        <w:rPr>
          <w:rFonts w:ascii="Times New Roman" w:hAnsi="Times New Roman" w:eastAsia="仿宋_GB2312" w:cs="Times New Roman"/>
          <w:sz w:val="32"/>
          <w:szCs w:val="32"/>
          <w:lang w:val="en-US"/>
        </w:rPr>
        <w:t>景观价值</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保护其</w:t>
      </w:r>
      <w:r>
        <w:rPr>
          <w:rFonts w:ascii="Times New Roman" w:hAnsi="Times New Roman" w:eastAsia="仿宋_GB2312" w:cs="Times New Roman"/>
          <w:sz w:val="32"/>
          <w:szCs w:val="32"/>
        </w:rPr>
        <w:t>承载的景观、地质地貌和文化多样性。</w:t>
      </w:r>
    </w:p>
    <w:p>
      <w:p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经济效益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保护地优化整合后，能够在有效保护的前提下，依托相对较好的自然湿地、</w:t>
      </w:r>
      <w:r>
        <w:rPr>
          <w:rFonts w:ascii="Times New Roman" w:hAnsi="Times New Roman" w:eastAsia="仿宋_GB2312" w:cs="Times New Roman"/>
          <w:sz w:val="32"/>
          <w:szCs w:val="32"/>
          <w:lang w:val="en-US"/>
        </w:rPr>
        <w:t>森林植被</w:t>
      </w:r>
      <w:r>
        <w:rPr>
          <w:rFonts w:ascii="Times New Roman" w:hAnsi="Times New Roman" w:eastAsia="仿宋_GB2312" w:cs="Times New Roman"/>
          <w:sz w:val="32"/>
          <w:szCs w:val="32"/>
        </w:rPr>
        <w:t>景观和动植物资源，科学合理地发展科普、科研、休闲度假等生态旅游活动，将促进周边社区经济的发展，能产生一定的经济效益，同时提高社区居民的生活水平。</w:t>
      </w:r>
    </w:p>
    <w:p>
      <w:pPr>
        <w:spacing w:line="578" w:lineRule="exact"/>
        <w:ind w:firstLine="643"/>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社会效益</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保护地在设立之初并未征求林地所有者的意愿，保护地成立后，在自用材方面矛盾日益突出，调整优化后将调出人工集体商品林、基本农田、村庄、矿权范围后能有效缓解矛盾。随着城市、乡村的发展，基础设施建设，民生设施的建设越来越多，由于受保护地的限制，使保护和发展的矛盾加剧。优化调整后，能有效的加快城市的发展步伐，有利于当地巩固脱贫攻坚成果和促进乡村振兴。</w:t>
      </w:r>
    </w:p>
    <w:p>
      <w:pPr>
        <w:pStyle w:val="3"/>
        <w:spacing w:line="578" w:lineRule="exact"/>
        <w:ind w:firstLine="643"/>
        <w:rPr>
          <w:rFonts w:ascii="Times New Roman" w:hAnsi="Times New Roman" w:eastAsia="楷体_GB2312" w:cs="Times New Roman"/>
        </w:rPr>
      </w:pPr>
      <w:bookmarkStart w:id="42" w:name="_Toc130654998"/>
      <w:r>
        <w:rPr>
          <w:rFonts w:ascii="Times New Roman" w:hAnsi="Times New Roman" w:eastAsia="楷体_GB2312" w:cs="Times New Roman"/>
        </w:rPr>
        <w:t>（二）影响评价</w:t>
      </w:r>
      <w:bookmarkEnd w:id="42"/>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大竹县2个自然保护地均有</w:t>
      </w:r>
      <w:r>
        <w:rPr>
          <w:rFonts w:ascii="Times New Roman" w:hAnsi="Times New Roman" w:eastAsia="仿宋_GB2312" w:cs="Times New Roman"/>
          <w:sz w:val="32"/>
          <w:szCs w:val="32"/>
        </w:rPr>
        <w:t>调出，</w:t>
      </w:r>
      <w:r>
        <w:rPr>
          <w:rFonts w:ascii="Times New Roman" w:hAnsi="Times New Roman" w:eastAsia="仿宋_GB2312" w:cs="Times New Roman"/>
          <w:sz w:val="32"/>
          <w:szCs w:val="32"/>
          <w:lang w:val="en-US"/>
        </w:rPr>
        <w:t>其中四川五峰山国家森林公园调出39个地块，调出面积377.28公顷；</w:t>
      </w:r>
      <w:r>
        <w:rPr>
          <w:rFonts w:ascii="Times New Roman" w:hAnsi="Times New Roman" w:eastAsia="仿宋_GB2312" w:cs="Times New Roman"/>
          <w:sz w:val="32"/>
          <w:szCs w:val="32"/>
        </w:rPr>
        <w:t>四川大竹百岛湖省级湿地公园</w:t>
      </w:r>
      <w:r>
        <w:rPr>
          <w:rFonts w:ascii="Times New Roman" w:hAnsi="Times New Roman" w:eastAsia="仿宋_GB2312" w:cs="Times New Roman"/>
          <w:sz w:val="32"/>
          <w:szCs w:val="32"/>
          <w:lang w:val="en-US"/>
        </w:rPr>
        <w:t>调出106个地块，调出面积449.05公顷。调出区域主要为大面积基本农田，村庄等人口密集分布区，</w:t>
      </w:r>
      <w:r>
        <w:rPr>
          <w:rFonts w:ascii="Times New Roman" w:hAnsi="Times New Roman" w:eastAsia="仿宋_GB2312" w:cs="Times New Roman"/>
          <w:sz w:val="32"/>
          <w:szCs w:val="32"/>
        </w:rPr>
        <w:t>生态区位不重要、生物多样性丰富度不高的成片集体人工商品林，</w:t>
      </w:r>
      <w:r>
        <w:rPr>
          <w:rFonts w:ascii="Times New Roman" w:hAnsi="Times New Roman" w:eastAsia="仿宋_GB2312" w:cs="Times New Roman"/>
          <w:sz w:val="32"/>
          <w:szCs w:val="32"/>
          <w:lang w:val="en-US"/>
        </w:rPr>
        <w:t>矿业权、开发区范围，以及耕地、园地集中连片的区域。</w:t>
      </w:r>
      <w:r>
        <w:rPr>
          <w:rFonts w:ascii="Times New Roman" w:hAnsi="Times New Roman" w:eastAsia="仿宋_GB2312" w:cs="Times New Roman"/>
          <w:sz w:val="32"/>
          <w:szCs w:val="32"/>
        </w:rPr>
        <w:t>调出后有效的化解了</w:t>
      </w:r>
      <w:r>
        <w:rPr>
          <w:rFonts w:ascii="Times New Roman" w:hAnsi="Times New Roman" w:eastAsia="仿宋_GB2312" w:cs="Times New Roman"/>
          <w:sz w:val="32"/>
          <w:szCs w:val="32"/>
          <w:lang w:val="en-US"/>
        </w:rPr>
        <w:t>自然保护地</w:t>
      </w:r>
      <w:r>
        <w:rPr>
          <w:rFonts w:ascii="Times New Roman" w:hAnsi="Times New Roman" w:eastAsia="仿宋_GB2312" w:cs="Times New Roman"/>
          <w:sz w:val="32"/>
          <w:szCs w:val="32"/>
        </w:rPr>
        <w:t>的保护和永久基本农田、人工商品林、矿业权、开发区、耕地的矛盾冲突，有利于当地经济发展、社会稳定，一定程度上减轻</w:t>
      </w:r>
      <w:r>
        <w:rPr>
          <w:rFonts w:ascii="Times New Roman" w:hAnsi="Times New Roman" w:eastAsia="仿宋_GB2312" w:cs="Times New Roman"/>
          <w:sz w:val="32"/>
          <w:szCs w:val="32"/>
          <w:lang w:val="en-US"/>
        </w:rPr>
        <w:t>了</w:t>
      </w:r>
      <w:r>
        <w:rPr>
          <w:rFonts w:ascii="Times New Roman" w:hAnsi="Times New Roman" w:eastAsia="仿宋_GB2312" w:cs="Times New Roman"/>
          <w:sz w:val="32"/>
          <w:szCs w:val="32"/>
        </w:rPr>
        <w:t>对群众正常生产生活的影响等。</w:t>
      </w:r>
    </w:p>
    <w:p>
      <w:pPr>
        <w:pStyle w:val="2"/>
        <w:spacing w:line="578" w:lineRule="exact"/>
        <w:ind w:firstLine="640"/>
        <w:rPr>
          <w:rFonts w:ascii="Times New Roman" w:hAnsi="Times New Roman" w:eastAsia="黑体" w:cs="Times New Roman"/>
          <w:b w:val="0"/>
        </w:rPr>
      </w:pPr>
      <w:bookmarkStart w:id="43" w:name="六、相关建议"/>
      <w:bookmarkEnd w:id="43"/>
      <w:bookmarkStart w:id="44" w:name="_bookmark18"/>
      <w:bookmarkEnd w:id="44"/>
      <w:bookmarkStart w:id="45" w:name="_Toc130654999"/>
      <w:r>
        <w:rPr>
          <w:rFonts w:ascii="Times New Roman" w:hAnsi="Times New Roman" w:eastAsia="黑体" w:cs="Times New Roman"/>
          <w:b w:val="0"/>
        </w:rPr>
        <w:t>五、相关意见和承诺</w:t>
      </w:r>
      <w:bookmarkEnd w:id="45"/>
    </w:p>
    <w:p>
      <w:pPr>
        <w:pStyle w:val="3"/>
        <w:spacing w:line="578" w:lineRule="exact"/>
        <w:ind w:firstLine="643"/>
        <w:rPr>
          <w:rFonts w:ascii="Times New Roman" w:hAnsi="Times New Roman" w:eastAsia="楷体_GB2312" w:cs="Times New Roman"/>
        </w:rPr>
      </w:pPr>
      <w:bookmarkStart w:id="46" w:name="_Toc130655000"/>
      <w:bookmarkStart w:id="47" w:name="_Hlk130154870"/>
      <w:r>
        <w:rPr>
          <w:rFonts w:ascii="Times New Roman" w:hAnsi="Times New Roman" w:eastAsia="楷体_GB2312" w:cs="Times New Roman"/>
        </w:rPr>
        <w:t>（一）相关意见</w:t>
      </w:r>
      <w:bookmarkEnd w:id="46"/>
    </w:p>
    <w:bookmarkEnd w:id="47"/>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大竹县</w:t>
      </w:r>
      <w:r>
        <w:rPr>
          <w:rFonts w:ascii="Times New Roman" w:hAnsi="Times New Roman" w:eastAsia="仿宋_GB2312" w:cs="Times New Roman"/>
          <w:sz w:val="32"/>
          <w:szCs w:val="32"/>
        </w:rPr>
        <w:t>完全同意预案中对非国家战略资源的矿业权（含调出其他合规地块时连带调出的矿业权）、开发区、各类建设项目、建设用地及其他</w:t>
      </w:r>
      <w:r>
        <w:rPr>
          <w:rFonts w:ascii="Times New Roman" w:hAnsi="Times New Roman" w:eastAsia="仿宋_GB2312" w:cs="Times New Roman"/>
          <w:sz w:val="32"/>
          <w:szCs w:val="32"/>
          <w:lang w:val="en-US"/>
        </w:rPr>
        <w:t>矛盾</w:t>
      </w:r>
      <w:r>
        <w:rPr>
          <w:rFonts w:ascii="Times New Roman" w:hAnsi="Times New Roman" w:eastAsia="仿宋_GB2312" w:cs="Times New Roman"/>
          <w:sz w:val="32"/>
          <w:szCs w:val="32"/>
        </w:rPr>
        <w:t>地块（包括人口密集区、影响稳定重大矛盾冲突等）的调出。</w:t>
      </w:r>
    </w:p>
    <w:p>
      <w:pPr>
        <w:pStyle w:val="3"/>
        <w:spacing w:line="578" w:lineRule="exact"/>
        <w:ind w:firstLine="643"/>
        <w:rPr>
          <w:rFonts w:ascii="Times New Roman" w:hAnsi="Times New Roman" w:eastAsia="楷体_GB2312" w:cs="Times New Roman"/>
        </w:rPr>
      </w:pPr>
      <w:bookmarkStart w:id="48" w:name="_Toc130655001"/>
      <w:r>
        <w:rPr>
          <w:rFonts w:ascii="Times New Roman" w:hAnsi="Times New Roman" w:eastAsia="楷体_GB2312" w:cs="Times New Roman"/>
        </w:rPr>
        <w:t>（二）相关承诺</w:t>
      </w:r>
      <w:bookmarkEnd w:id="48"/>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大竹县通过进一步梳理，承诺调出地块不涉及已列入省级环保督察、自然保护地“绿盾”行动、违建别墅清理整治等各类专项行动以及长江、黄河生态环境警示片发现的问题，未列入相关整改问题清单。</w:t>
      </w:r>
    </w:p>
    <w:p>
      <w:pPr>
        <w:spacing w:line="578"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但四川大竹百岛湖省级湿地公园涉及中央第一轮环境保护督察群众信访反映“达州市大竹县“百岛湖温泉”占用当地乌木水库近100亩水域修建别墅；乌木水库三零六方向彭家院子段公路边一农家乐以修水库码头为名，违规占用水库水域面积。”和“达州市大竹县朝阳乡乌木水库（县城饮用水源）一侧的“和悦庄酒店”，将污水直排水库，污染水库水质。”问题，已按照整改措施完成整改和销号，并制定监管措施，大竹县承诺不会出现“以调代改”“死灰复燃”的情况。</w:t>
      </w:r>
    </w:p>
    <w:p>
      <w:pPr>
        <w:spacing w:line="578" w:lineRule="exact"/>
        <w:ind w:firstLine="560"/>
        <w:rPr>
          <w:rFonts w:ascii="Times New Roman" w:hAnsi="Times New Roman" w:cs="Times New Roman" w:eastAsiaTheme="minorEastAsia"/>
          <w:szCs w:val="28"/>
        </w:rPr>
      </w:pPr>
    </w:p>
    <w:p>
      <w:pPr>
        <w:ind w:firstLine="640"/>
        <w:jc w:val="both"/>
        <w:rPr>
          <w:rFonts w:ascii="Times New Roman" w:hAnsi="Times New Roman" w:eastAsia="仿宋_GB2312" w:cs="Times New Roman"/>
          <w:sz w:val="32"/>
          <w:szCs w:val="32"/>
        </w:rPr>
      </w:pPr>
    </w:p>
    <w:sectPr>
      <w:footerReference r:id="rId13" w:type="default"/>
      <w:footerReference r:id="rId14" w:type="even"/>
      <w:pgSz w:w="11910" w:h="16840"/>
      <w:pgMar w:top="1418" w:right="1418" w:bottom="1418" w:left="1418" w:header="0" w:footer="958" w:gutter="0"/>
      <w:pgNumType w:start="1"/>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162330"/>
    </w:sdtPr>
    <w:sdtContent>
      <w:p>
        <w:pPr>
          <w:pStyle w:val="8"/>
          <w:ind w:firstLine="360"/>
          <w:jc w:val="center"/>
        </w:pPr>
        <w:r>
          <w:fldChar w:fldCharType="begin"/>
        </w:r>
        <w:r>
          <w:instrText xml:space="preserve">PAGE   \* MERGEFORMAT</w:instrText>
        </w:r>
        <w:r>
          <w:fldChar w:fldCharType="separate"/>
        </w:r>
        <w:r>
          <w:t>i</w:t>
        </w:r>
        <w:r>
          <w:fldChar w:fldCharType="end"/>
        </w:r>
      </w:p>
    </w:sdtContent>
  </w:sdt>
  <w:p>
    <w:pPr>
      <w:pStyle w:val="5"/>
      <w:spacing w:line="14" w:lineRule="auto"/>
      <w:ind w:firstLine="640"/>
      <w:rPr>
        <w:sz w:val="32"/>
        <w:szCs w:val="3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3401865"/>
    </w:sdtPr>
    <w:sdtContent>
      <w:p>
        <w:pPr>
          <w:pStyle w:val="8"/>
          <w:ind w:firstLine="360"/>
          <w:jc w:val="center"/>
        </w:pPr>
        <w:r>
          <w:fldChar w:fldCharType="begin"/>
        </w:r>
        <w:r>
          <w:instrText xml:space="preserve">PAGE   \* MERGEFORMAT</w:instrText>
        </w:r>
        <w:r>
          <w:fldChar w:fldCharType="separate"/>
        </w:r>
        <w:r>
          <w:t>ii</w:t>
        </w:r>
        <w:r>
          <w:fldChar w:fldCharType="end"/>
        </w:r>
      </w:p>
    </w:sdtContent>
  </w:sdt>
  <w:p>
    <w:pPr>
      <w:pStyle w:val="5"/>
      <w:spacing w:line="14" w:lineRule="auto"/>
      <w:ind w:firstLine="400"/>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560"/>
      <w:rPr>
        <w:rFonts w:ascii="Times New Roman" w:hAnsi="Times New Roman" w:cs="Times New Roman"/>
        <w:sz w:val="28"/>
        <w:szCs w:val="28"/>
      </w:rPr>
    </w:pPr>
    <w:r>
      <w:rPr>
        <w:sz w:val="28"/>
        <w:lang w:val="en-US"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8"/>
                            <w:ind w:firstLine="560"/>
                          </w:pPr>
                          <w:r>
                            <w:rPr>
                              <w:rFonts w:ascii="Times New Roman" w:hAnsi="Times New Roman" w:cs="Times New Roman"/>
                              <w:sz w:val="28"/>
                              <w:szCs w:val="28"/>
                            </w:rPr>
                            <w:t xml:space="preserve">— </w:t>
                          </w:r>
                          <w:sdt>
                            <w:sdtPr>
                              <w:rPr>
                                <w:rFonts w:ascii="Times New Roman" w:hAnsi="Times New Roman" w:cs="Times New Roman"/>
                                <w:sz w:val="28"/>
                                <w:szCs w:val="28"/>
                              </w:rPr>
                              <w:id w:val="1319770"/>
                            </w:sdtPr>
                            <w:sdtEndPr>
                              <w:rPr>
                                <w:rFonts w:ascii="Times New Roman" w:hAnsi="Times New Roman" w:cs="Times New Roman"/>
                                <w:sz w:val="28"/>
                                <w:szCs w:val="2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9</w:t>
                              </w:r>
                              <w:r>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A0oPKngAQAAuwMAAA4AAAAA&#10;AAAAAQAgAAAAHgEAAGRycy9lMm9Eb2MueG1sUEsFBgAAAAAGAAYAWQEAAHAFAAAAAA==&#10;">
              <v:fill on="f" focussize="0,0"/>
              <v:stroke on="f"/>
              <v:imagedata o:title=""/>
              <o:lock v:ext="edit" aspectratio="f"/>
              <v:textbox inset="0mm,0mm,0mm,0mm" style="mso-fit-shape-to-text:t;">
                <w:txbxContent>
                  <w:p>
                    <w:pPr>
                      <w:pStyle w:val="8"/>
                      <w:ind w:firstLine="560"/>
                    </w:pPr>
                    <w:r>
                      <w:rPr>
                        <w:rFonts w:ascii="Times New Roman" w:hAnsi="Times New Roman" w:cs="Times New Roman"/>
                        <w:sz w:val="28"/>
                        <w:szCs w:val="28"/>
                      </w:rPr>
                      <w:t xml:space="preserve">— </w:t>
                    </w:r>
                    <w:sdt>
                      <w:sdtPr>
                        <w:rPr>
                          <w:rFonts w:ascii="Times New Roman" w:hAnsi="Times New Roman" w:cs="Times New Roman"/>
                          <w:sz w:val="28"/>
                          <w:szCs w:val="28"/>
                        </w:rPr>
                        <w:id w:val="1319770"/>
                      </w:sdtPr>
                      <w:sdtEndPr>
                        <w:rPr>
                          <w:rFonts w:ascii="Times New Roman" w:hAnsi="Times New Roman" w:cs="Times New Roman"/>
                          <w:sz w:val="28"/>
                          <w:szCs w:val="2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9</w:t>
                        </w:r>
                        <w:r>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txbxContent>
              </v:textbox>
            </v:shape>
          </w:pict>
        </mc:Fallback>
      </mc:AlternateContent>
    </w:r>
  </w:p>
  <w:p>
    <w:pPr>
      <w:pStyle w:val="5"/>
      <w:spacing w:line="14" w:lineRule="auto"/>
      <w:ind w:firstLine="400"/>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lang w:val="en-US"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8"/>
                            <w:ind w:firstLine="560"/>
                            <w:jc w:val="right"/>
                          </w:pPr>
                          <w:r>
                            <w:rPr>
                              <w:rFonts w:ascii="Times New Roman" w:hAnsi="Times New Roman" w:cs="Times New Roman"/>
                              <w:sz w:val="28"/>
                              <w:szCs w:val="28"/>
                            </w:rPr>
                            <w:t xml:space="preserve">— </w:t>
                          </w:r>
                          <w:sdt>
                            <w:sdtPr>
                              <w:rPr>
                                <w:rFonts w:ascii="Times New Roman" w:hAnsi="Times New Roman" w:cs="Times New Roman"/>
                                <w:sz w:val="28"/>
                                <w:szCs w:val="28"/>
                              </w:rPr>
                              <w:id w:val="1319782"/>
                            </w:sdtPr>
                            <w:sdtEndPr>
                              <w:rPr>
                                <w:rFonts w:ascii="仿宋" w:hAnsi="仿宋" w:cs="仿宋"/>
                                <w:sz w:val="18"/>
                                <w:szCs w:val="1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txbxContent>
                    </wps:txbx>
                    <wps:bodyPr vert="horz" wrap="none" lIns="0" tIns="0" rIns="0" bIns="0" anchor="t" anchorCtr="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NiEq3gAQAAuwMAAA4AAAAA&#10;AAAAAQAgAAAAHgEAAGRycy9lMm9Eb2MueG1sUEsFBgAAAAAGAAYAWQEAAHAFAAAAAA==&#10;">
              <v:fill on="f" focussize="0,0"/>
              <v:stroke on="f"/>
              <v:imagedata o:title=""/>
              <o:lock v:ext="edit" aspectratio="f"/>
              <v:textbox inset="0mm,0mm,0mm,0mm" style="mso-fit-shape-to-text:t;">
                <w:txbxContent>
                  <w:p>
                    <w:pPr>
                      <w:pStyle w:val="8"/>
                      <w:ind w:firstLine="560"/>
                      <w:jc w:val="right"/>
                    </w:pPr>
                    <w:r>
                      <w:rPr>
                        <w:rFonts w:ascii="Times New Roman" w:hAnsi="Times New Roman" w:cs="Times New Roman"/>
                        <w:sz w:val="28"/>
                        <w:szCs w:val="28"/>
                      </w:rPr>
                      <w:t xml:space="preserve">— </w:t>
                    </w:r>
                    <w:sdt>
                      <w:sdtPr>
                        <w:rPr>
                          <w:rFonts w:ascii="Times New Roman" w:hAnsi="Times New Roman" w:cs="Times New Roman"/>
                          <w:sz w:val="28"/>
                          <w:szCs w:val="28"/>
                        </w:rPr>
                        <w:id w:val="1319782"/>
                      </w:sdtPr>
                      <w:sdtEndPr>
                        <w:rPr>
                          <w:rFonts w:ascii="仿宋" w:hAnsi="仿宋" w:cs="仿宋"/>
                          <w:sz w:val="18"/>
                          <w:szCs w:val="1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txbxContent>
              </v:textbox>
            </v:shape>
          </w:pict>
        </mc:Fallback>
      </mc:AlternateContent>
    </w:r>
  </w:p>
  <w:p>
    <w:pPr>
      <w:pStyle w:val="5"/>
      <w:spacing w:line="14" w:lineRule="auto"/>
      <w:ind w:firstLine="40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14F432"/>
    <w:multiLevelType w:val="singleLevel"/>
    <w:tmpl w:val="A914F432"/>
    <w:lvl w:ilvl="0" w:tentative="0">
      <w:start w:val="1"/>
      <w:numFmt w:val="chineseCounting"/>
      <w:suff w:val="nothing"/>
      <w:lvlText w:val="%1、"/>
      <w:lvlJc w:val="left"/>
      <w:rPr>
        <w:rFonts w:hint="eastAsia"/>
      </w:rPr>
    </w:lvl>
  </w:abstractNum>
  <w:abstractNum w:abstractNumId="1">
    <w:nsid w:val="EEACDD7B"/>
    <w:multiLevelType w:val="singleLevel"/>
    <w:tmpl w:val="EEACDD7B"/>
    <w:lvl w:ilvl="0" w:tentative="0">
      <w:start w:val="2"/>
      <w:numFmt w:val="decimal"/>
      <w:suff w:val="space"/>
      <w:lvlText w:val="%1."/>
      <w:lvlJc w:val="left"/>
    </w:lvl>
  </w:abstractNum>
  <w:abstractNum w:abstractNumId="2">
    <w:nsid w:val="2351DF97"/>
    <w:multiLevelType w:val="singleLevel"/>
    <w:tmpl w:val="2351DF97"/>
    <w:lvl w:ilvl="0" w:tentative="0">
      <w:start w:val="1"/>
      <w:numFmt w:val="decimal"/>
      <w:suff w:val="space"/>
      <w:lvlText w:val="%1."/>
      <w:lvlJc w:val="left"/>
    </w:lvl>
  </w:abstractNum>
  <w:abstractNum w:abstractNumId="3">
    <w:nsid w:val="70C05478"/>
    <w:multiLevelType w:val="singleLevel"/>
    <w:tmpl w:val="70C05478"/>
    <w:lvl w:ilvl="0" w:tentative="0">
      <w:start w:val="1"/>
      <w:numFmt w:val="decimal"/>
      <w:suff w:val="space"/>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720"/>
  <w:evenAndOddHeaders w:val="1"/>
  <w:drawingGridHorizontalSpacing w:val="140"/>
  <w:displayHorizontalDrawingGridEvery w:val="2"/>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M2YzYTIzZmQ4MjA5OGVjMzA3YmNmZWQ3NTkzMmIifQ=="/>
  </w:docVars>
  <w:rsids>
    <w:rsidRoot w:val="00EA1B4C"/>
    <w:rsid w:val="000059AC"/>
    <w:rsid w:val="00006E2B"/>
    <w:rsid w:val="0001138D"/>
    <w:rsid w:val="000322D7"/>
    <w:rsid w:val="000918FC"/>
    <w:rsid w:val="00095218"/>
    <w:rsid w:val="000B3167"/>
    <w:rsid w:val="000D017A"/>
    <w:rsid w:val="000D4A4C"/>
    <w:rsid w:val="000F252B"/>
    <w:rsid w:val="00100A0E"/>
    <w:rsid w:val="00106001"/>
    <w:rsid w:val="00106C91"/>
    <w:rsid w:val="00112986"/>
    <w:rsid w:val="0012070C"/>
    <w:rsid w:val="0012079B"/>
    <w:rsid w:val="00123B89"/>
    <w:rsid w:val="00130385"/>
    <w:rsid w:val="0013053A"/>
    <w:rsid w:val="00134195"/>
    <w:rsid w:val="00144FC3"/>
    <w:rsid w:val="001702BE"/>
    <w:rsid w:val="001770BA"/>
    <w:rsid w:val="0018242E"/>
    <w:rsid w:val="001A1340"/>
    <w:rsid w:val="001A559C"/>
    <w:rsid w:val="001C7AF0"/>
    <w:rsid w:val="00200808"/>
    <w:rsid w:val="002055F3"/>
    <w:rsid w:val="00213EA6"/>
    <w:rsid w:val="002218E8"/>
    <w:rsid w:val="00232C14"/>
    <w:rsid w:val="00234144"/>
    <w:rsid w:val="002436AA"/>
    <w:rsid w:val="00244CA8"/>
    <w:rsid w:val="0024713D"/>
    <w:rsid w:val="002578D5"/>
    <w:rsid w:val="00262AB7"/>
    <w:rsid w:val="00264F9C"/>
    <w:rsid w:val="0026510D"/>
    <w:rsid w:val="00267EE2"/>
    <w:rsid w:val="00274498"/>
    <w:rsid w:val="002800B1"/>
    <w:rsid w:val="00281474"/>
    <w:rsid w:val="00290D18"/>
    <w:rsid w:val="00293140"/>
    <w:rsid w:val="0029415C"/>
    <w:rsid w:val="00295270"/>
    <w:rsid w:val="002D1B8D"/>
    <w:rsid w:val="002F06DC"/>
    <w:rsid w:val="002F3CFC"/>
    <w:rsid w:val="003320C6"/>
    <w:rsid w:val="0033611A"/>
    <w:rsid w:val="00340A0C"/>
    <w:rsid w:val="00357C94"/>
    <w:rsid w:val="00371FFA"/>
    <w:rsid w:val="003745B8"/>
    <w:rsid w:val="00374F74"/>
    <w:rsid w:val="0039398E"/>
    <w:rsid w:val="003A1CD6"/>
    <w:rsid w:val="003A30A5"/>
    <w:rsid w:val="003A6A1A"/>
    <w:rsid w:val="003C0687"/>
    <w:rsid w:val="003D50F2"/>
    <w:rsid w:val="003E0EC7"/>
    <w:rsid w:val="003E679C"/>
    <w:rsid w:val="00410B8D"/>
    <w:rsid w:val="00410BDD"/>
    <w:rsid w:val="00414744"/>
    <w:rsid w:val="00416E88"/>
    <w:rsid w:val="00420C5C"/>
    <w:rsid w:val="00446C9A"/>
    <w:rsid w:val="00455BC4"/>
    <w:rsid w:val="00461381"/>
    <w:rsid w:val="00463DD5"/>
    <w:rsid w:val="00467CD1"/>
    <w:rsid w:val="004835D1"/>
    <w:rsid w:val="00493FAF"/>
    <w:rsid w:val="00495F6C"/>
    <w:rsid w:val="004A0389"/>
    <w:rsid w:val="004A70D7"/>
    <w:rsid w:val="004B6AD7"/>
    <w:rsid w:val="004C2644"/>
    <w:rsid w:val="004C7853"/>
    <w:rsid w:val="004D5652"/>
    <w:rsid w:val="004D66DB"/>
    <w:rsid w:val="004E4C11"/>
    <w:rsid w:val="00520F9C"/>
    <w:rsid w:val="005216BB"/>
    <w:rsid w:val="0052653C"/>
    <w:rsid w:val="00536453"/>
    <w:rsid w:val="005403D8"/>
    <w:rsid w:val="005433FA"/>
    <w:rsid w:val="00543C2E"/>
    <w:rsid w:val="00552707"/>
    <w:rsid w:val="00554A41"/>
    <w:rsid w:val="0055685E"/>
    <w:rsid w:val="00557D21"/>
    <w:rsid w:val="00577CFE"/>
    <w:rsid w:val="00584DB6"/>
    <w:rsid w:val="005926C6"/>
    <w:rsid w:val="005A4F0F"/>
    <w:rsid w:val="005B74F8"/>
    <w:rsid w:val="005C36A2"/>
    <w:rsid w:val="005C4485"/>
    <w:rsid w:val="005C64CC"/>
    <w:rsid w:val="005C7515"/>
    <w:rsid w:val="00607AC2"/>
    <w:rsid w:val="0062291F"/>
    <w:rsid w:val="00631741"/>
    <w:rsid w:val="0063509E"/>
    <w:rsid w:val="00647C52"/>
    <w:rsid w:val="00672240"/>
    <w:rsid w:val="0068214D"/>
    <w:rsid w:val="00685902"/>
    <w:rsid w:val="006B00AC"/>
    <w:rsid w:val="006C4BB1"/>
    <w:rsid w:val="006D35FB"/>
    <w:rsid w:val="006E0AA8"/>
    <w:rsid w:val="006F1B95"/>
    <w:rsid w:val="006F3CE3"/>
    <w:rsid w:val="006F5131"/>
    <w:rsid w:val="00701C37"/>
    <w:rsid w:val="00705912"/>
    <w:rsid w:val="00707BCD"/>
    <w:rsid w:val="00722326"/>
    <w:rsid w:val="007278C0"/>
    <w:rsid w:val="00727A24"/>
    <w:rsid w:val="007320CE"/>
    <w:rsid w:val="00755E40"/>
    <w:rsid w:val="00762287"/>
    <w:rsid w:val="00763717"/>
    <w:rsid w:val="007774C0"/>
    <w:rsid w:val="0078470A"/>
    <w:rsid w:val="007A1A94"/>
    <w:rsid w:val="007B7468"/>
    <w:rsid w:val="007E73BE"/>
    <w:rsid w:val="00802C28"/>
    <w:rsid w:val="00814245"/>
    <w:rsid w:val="008221A2"/>
    <w:rsid w:val="008233F6"/>
    <w:rsid w:val="00826A80"/>
    <w:rsid w:val="0083413F"/>
    <w:rsid w:val="00841B26"/>
    <w:rsid w:val="00855E18"/>
    <w:rsid w:val="00860D50"/>
    <w:rsid w:val="00861CBC"/>
    <w:rsid w:val="008731B4"/>
    <w:rsid w:val="008825AB"/>
    <w:rsid w:val="00885385"/>
    <w:rsid w:val="008A0FDE"/>
    <w:rsid w:val="008B5B46"/>
    <w:rsid w:val="008B6F3B"/>
    <w:rsid w:val="008C0F9E"/>
    <w:rsid w:val="008C6F45"/>
    <w:rsid w:val="00905474"/>
    <w:rsid w:val="00911D05"/>
    <w:rsid w:val="00925077"/>
    <w:rsid w:val="00945294"/>
    <w:rsid w:val="00946FF3"/>
    <w:rsid w:val="0097056E"/>
    <w:rsid w:val="00974C5A"/>
    <w:rsid w:val="00993256"/>
    <w:rsid w:val="009C0C6E"/>
    <w:rsid w:val="009F6162"/>
    <w:rsid w:val="009F65FF"/>
    <w:rsid w:val="009F6CA3"/>
    <w:rsid w:val="009F773C"/>
    <w:rsid w:val="00A0710A"/>
    <w:rsid w:val="00A134BF"/>
    <w:rsid w:val="00A172FF"/>
    <w:rsid w:val="00A40858"/>
    <w:rsid w:val="00A442A8"/>
    <w:rsid w:val="00A45D8E"/>
    <w:rsid w:val="00A537D7"/>
    <w:rsid w:val="00A62062"/>
    <w:rsid w:val="00A860FA"/>
    <w:rsid w:val="00A87F64"/>
    <w:rsid w:val="00AA34D4"/>
    <w:rsid w:val="00AC1794"/>
    <w:rsid w:val="00AC3B58"/>
    <w:rsid w:val="00AE13C4"/>
    <w:rsid w:val="00AE3969"/>
    <w:rsid w:val="00AE51E0"/>
    <w:rsid w:val="00AF040B"/>
    <w:rsid w:val="00B05C44"/>
    <w:rsid w:val="00B10271"/>
    <w:rsid w:val="00B2676C"/>
    <w:rsid w:val="00B326B5"/>
    <w:rsid w:val="00B32EAA"/>
    <w:rsid w:val="00B4093D"/>
    <w:rsid w:val="00B558FC"/>
    <w:rsid w:val="00B72A97"/>
    <w:rsid w:val="00BA3AB8"/>
    <w:rsid w:val="00BA70C9"/>
    <w:rsid w:val="00BB3CEF"/>
    <w:rsid w:val="00BB797E"/>
    <w:rsid w:val="00BC15D0"/>
    <w:rsid w:val="00BF5FB2"/>
    <w:rsid w:val="00C27019"/>
    <w:rsid w:val="00C34B6C"/>
    <w:rsid w:val="00C4215C"/>
    <w:rsid w:val="00C42BD2"/>
    <w:rsid w:val="00C60F70"/>
    <w:rsid w:val="00C81A1D"/>
    <w:rsid w:val="00C90E3D"/>
    <w:rsid w:val="00CA08A9"/>
    <w:rsid w:val="00CA1983"/>
    <w:rsid w:val="00CB6538"/>
    <w:rsid w:val="00CC1796"/>
    <w:rsid w:val="00CC2B9E"/>
    <w:rsid w:val="00CC546B"/>
    <w:rsid w:val="00CC6C4F"/>
    <w:rsid w:val="00CD037E"/>
    <w:rsid w:val="00CE4F41"/>
    <w:rsid w:val="00CF5342"/>
    <w:rsid w:val="00D26D9F"/>
    <w:rsid w:val="00D3398F"/>
    <w:rsid w:val="00D54E86"/>
    <w:rsid w:val="00D61862"/>
    <w:rsid w:val="00DA5EE3"/>
    <w:rsid w:val="00DC32B0"/>
    <w:rsid w:val="00DD31F6"/>
    <w:rsid w:val="00DE687C"/>
    <w:rsid w:val="00DE7E59"/>
    <w:rsid w:val="00DF2EE5"/>
    <w:rsid w:val="00E141EE"/>
    <w:rsid w:val="00E25E7E"/>
    <w:rsid w:val="00E47F78"/>
    <w:rsid w:val="00E762A9"/>
    <w:rsid w:val="00E7651A"/>
    <w:rsid w:val="00E9123B"/>
    <w:rsid w:val="00EA0352"/>
    <w:rsid w:val="00EA1B4C"/>
    <w:rsid w:val="00EC1822"/>
    <w:rsid w:val="00EC5937"/>
    <w:rsid w:val="00EE547D"/>
    <w:rsid w:val="00F01836"/>
    <w:rsid w:val="00F078F9"/>
    <w:rsid w:val="00F542C3"/>
    <w:rsid w:val="00F722F9"/>
    <w:rsid w:val="00F73210"/>
    <w:rsid w:val="00F870FA"/>
    <w:rsid w:val="00F87B21"/>
    <w:rsid w:val="00F94E95"/>
    <w:rsid w:val="00FA257A"/>
    <w:rsid w:val="00FA7386"/>
    <w:rsid w:val="00FB42B6"/>
    <w:rsid w:val="00FC56FB"/>
    <w:rsid w:val="00FC6A6E"/>
    <w:rsid w:val="00FF2EC2"/>
    <w:rsid w:val="01694C04"/>
    <w:rsid w:val="06A411DD"/>
    <w:rsid w:val="087B4689"/>
    <w:rsid w:val="0A726EFC"/>
    <w:rsid w:val="0CEC5C4E"/>
    <w:rsid w:val="103C09CF"/>
    <w:rsid w:val="12D8645B"/>
    <w:rsid w:val="13070B2A"/>
    <w:rsid w:val="143A7F5B"/>
    <w:rsid w:val="16BE56D5"/>
    <w:rsid w:val="17CF598E"/>
    <w:rsid w:val="1EBE7DD8"/>
    <w:rsid w:val="1FC36317"/>
    <w:rsid w:val="21787096"/>
    <w:rsid w:val="22CB72A5"/>
    <w:rsid w:val="27B960FD"/>
    <w:rsid w:val="2BD44FDA"/>
    <w:rsid w:val="2ED93C9F"/>
    <w:rsid w:val="306929CC"/>
    <w:rsid w:val="30F02676"/>
    <w:rsid w:val="31CB1BF2"/>
    <w:rsid w:val="32422633"/>
    <w:rsid w:val="32E62A7F"/>
    <w:rsid w:val="333B42CF"/>
    <w:rsid w:val="33731647"/>
    <w:rsid w:val="36B45BEF"/>
    <w:rsid w:val="37541A6B"/>
    <w:rsid w:val="37DB4D77"/>
    <w:rsid w:val="380F5CCC"/>
    <w:rsid w:val="38D20ECF"/>
    <w:rsid w:val="394E275F"/>
    <w:rsid w:val="39E70C2A"/>
    <w:rsid w:val="39F974B6"/>
    <w:rsid w:val="3E141C6C"/>
    <w:rsid w:val="41652D3C"/>
    <w:rsid w:val="423635AC"/>
    <w:rsid w:val="42D068DB"/>
    <w:rsid w:val="43305190"/>
    <w:rsid w:val="4493692D"/>
    <w:rsid w:val="45126D36"/>
    <w:rsid w:val="49661852"/>
    <w:rsid w:val="4AFF187E"/>
    <w:rsid w:val="4B2B35B7"/>
    <w:rsid w:val="4BA13829"/>
    <w:rsid w:val="4BAC581C"/>
    <w:rsid w:val="4D27640F"/>
    <w:rsid w:val="4D8943AA"/>
    <w:rsid w:val="4F50502B"/>
    <w:rsid w:val="503E4348"/>
    <w:rsid w:val="545B49F6"/>
    <w:rsid w:val="556D17E3"/>
    <w:rsid w:val="56AB1DDA"/>
    <w:rsid w:val="58322B44"/>
    <w:rsid w:val="5E355E51"/>
    <w:rsid w:val="5E6B1E9B"/>
    <w:rsid w:val="601A4981"/>
    <w:rsid w:val="61485A97"/>
    <w:rsid w:val="643E4F74"/>
    <w:rsid w:val="6B961BC0"/>
    <w:rsid w:val="6F2C1B29"/>
    <w:rsid w:val="709A1574"/>
    <w:rsid w:val="70F4178D"/>
    <w:rsid w:val="732E18D3"/>
    <w:rsid w:val="75866CFD"/>
    <w:rsid w:val="769E5DCD"/>
    <w:rsid w:val="7B8A438C"/>
    <w:rsid w:val="7D205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560" w:lineRule="exact"/>
      <w:ind w:firstLine="200" w:firstLineChars="200"/>
    </w:pPr>
    <w:rPr>
      <w:rFonts w:ascii="仿宋" w:hAnsi="仿宋" w:eastAsia="仿宋" w:cs="仿宋"/>
      <w:sz w:val="28"/>
      <w:szCs w:val="22"/>
      <w:lang w:val="zh-CN" w:eastAsia="zh-CN" w:bidi="zh-CN"/>
    </w:rPr>
  </w:style>
  <w:style w:type="paragraph" w:styleId="2">
    <w:name w:val="heading 1"/>
    <w:basedOn w:val="1"/>
    <w:next w:val="1"/>
    <w:qFormat/>
    <w:uiPriority w:val="1"/>
    <w:pPr>
      <w:spacing w:line="360" w:lineRule="auto"/>
      <w:outlineLvl w:val="0"/>
    </w:pPr>
    <w:rPr>
      <w:rFonts w:eastAsia="华文中宋"/>
      <w:b/>
      <w:bCs/>
      <w:sz w:val="32"/>
      <w:szCs w:val="36"/>
    </w:rPr>
  </w:style>
  <w:style w:type="paragraph" w:styleId="3">
    <w:name w:val="heading 2"/>
    <w:basedOn w:val="1"/>
    <w:next w:val="1"/>
    <w:qFormat/>
    <w:uiPriority w:val="1"/>
    <w:pPr>
      <w:spacing w:line="360" w:lineRule="auto"/>
      <w:outlineLvl w:val="1"/>
    </w:pPr>
    <w:rPr>
      <w:rFonts w:ascii="仿宋_GB2312" w:hAnsi="仿宋_GB2312" w:eastAsia="楷体" w:cs="仿宋_GB2312"/>
      <w:b/>
      <w:sz w:val="32"/>
      <w:szCs w:val="32"/>
    </w:rPr>
  </w:style>
  <w:style w:type="paragraph" w:styleId="4">
    <w:name w:val="heading 3"/>
    <w:basedOn w:val="1"/>
    <w:next w:val="1"/>
    <w:qFormat/>
    <w:uiPriority w:val="1"/>
    <w:pPr>
      <w:outlineLvl w:val="2"/>
    </w:pPr>
    <w:rPr>
      <w:b/>
      <w:bCs/>
      <w:szCs w:val="3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sz w:val="30"/>
      <w:szCs w:val="30"/>
    </w:rPr>
  </w:style>
  <w:style w:type="paragraph" w:styleId="6">
    <w:name w:val="toc 3"/>
    <w:basedOn w:val="1"/>
    <w:next w:val="1"/>
    <w:unhideWhenUsed/>
    <w:qFormat/>
    <w:uiPriority w:val="39"/>
    <w:pPr>
      <w:ind w:left="840" w:leftChars="400"/>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pacing w:before="114"/>
      <w:ind w:left="520"/>
    </w:pPr>
    <w:rPr>
      <w:rFonts w:ascii="宋体" w:hAnsi="宋体" w:eastAsia="宋体" w:cs="宋体"/>
      <w:szCs w:val="28"/>
    </w:rPr>
  </w:style>
  <w:style w:type="paragraph" w:styleId="11">
    <w:name w:val="toc 2"/>
    <w:basedOn w:val="1"/>
    <w:next w:val="1"/>
    <w:qFormat/>
    <w:uiPriority w:val="39"/>
    <w:pPr>
      <w:spacing w:before="114"/>
      <w:ind w:left="940"/>
    </w:pPr>
    <w:rPr>
      <w:szCs w:val="28"/>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000FF"/>
      <w:u w:val="single"/>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spacing w:before="161"/>
      <w:ind w:left="1360" w:hanging="360"/>
    </w:pPr>
  </w:style>
  <w:style w:type="paragraph" w:customStyle="1" w:styleId="18">
    <w:name w:val="Table Paragraph"/>
    <w:basedOn w:val="1"/>
    <w:qFormat/>
    <w:uiPriority w:val="1"/>
    <w:rPr>
      <w:rFonts w:ascii="宋体" w:hAnsi="宋体" w:eastAsia="宋体" w:cs="宋体"/>
    </w:rPr>
  </w:style>
  <w:style w:type="character" w:customStyle="1" w:styleId="19">
    <w:name w:val="批注框文本 Char"/>
    <w:basedOn w:val="14"/>
    <w:link w:val="7"/>
    <w:semiHidden/>
    <w:qFormat/>
    <w:uiPriority w:val="99"/>
    <w:rPr>
      <w:rFonts w:ascii="仿宋" w:hAnsi="仿宋" w:eastAsia="仿宋" w:cs="仿宋"/>
      <w:sz w:val="18"/>
      <w:szCs w:val="18"/>
      <w:lang w:val="zh-CN" w:eastAsia="zh-CN" w:bidi="zh-CN"/>
    </w:rPr>
  </w:style>
  <w:style w:type="character" w:customStyle="1" w:styleId="20">
    <w:name w:val="页眉 Char"/>
    <w:basedOn w:val="14"/>
    <w:link w:val="9"/>
    <w:qFormat/>
    <w:uiPriority w:val="99"/>
    <w:rPr>
      <w:rFonts w:ascii="仿宋" w:hAnsi="仿宋" w:eastAsia="仿宋" w:cs="仿宋"/>
      <w:sz w:val="18"/>
      <w:szCs w:val="18"/>
      <w:lang w:val="zh-CN" w:eastAsia="zh-CN" w:bidi="zh-CN"/>
    </w:rPr>
  </w:style>
  <w:style w:type="character" w:customStyle="1" w:styleId="21">
    <w:name w:val="页脚 Char"/>
    <w:basedOn w:val="14"/>
    <w:link w:val="8"/>
    <w:qFormat/>
    <w:uiPriority w:val="99"/>
    <w:rPr>
      <w:rFonts w:ascii="仿宋" w:hAnsi="仿宋" w:eastAsia="仿宋" w:cs="仿宋"/>
      <w:sz w:val="18"/>
      <w:szCs w:val="18"/>
      <w:lang w:val="zh-CN" w:eastAsia="zh-CN" w:bidi="zh-CN"/>
    </w:rPr>
  </w:style>
  <w:style w:type="paragraph" w:customStyle="1" w:styleId="22">
    <w:name w:val="TOC 标题1"/>
    <w:basedOn w:val="2"/>
    <w:next w:val="1"/>
    <w:semiHidden/>
    <w:unhideWhenUsed/>
    <w:qFormat/>
    <w:uiPriority w:val="39"/>
    <w:pPr>
      <w:keepNext/>
      <w:keepLines/>
      <w:widowControl/>
      <w:autoSpaceDE/>
      <w:autoSpaceDN/>
      <w:spacing w:before="480" w:line="276" w:lineRule="auto"/>
      <w:ind w:firstLine="0" w:firstLineChars="0"/>
      <w:outlineLvl w:val="9"/>
    </w:pPr>
    <w:rPr>
      <w:rFonts w:asciiTheme="majorHAnsi" w:hAnsiTheme="majorHAnsi" w:eastAsiaTheme="majorEastAsia" w:cstheme="majorBidi"/>
      <w:color w:val="376092" w:themeColor="accent1" w:themeShade="BF"/>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四川省林业调查规划院</Company>
  <Pages>14</Pages>
  <Words>5439</Words>
  <Characters>5827</Characters>
  <Lines>50</Lines>
  <Paragraphs>14</Paragraphs>
  <TotalTime>93</TotalTime>
  <ScaleCrop>false</ScaleCrop>
  <LinksUpToDate>false</LinksUpToDate>
  <CharactersWithSpaces>5896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2023-04-07T01:21:00Z</dcterms:created>
  <dc:creator>zw</dc:creator>
  <cp:lastModifiedBy>疯兔子by</cp:lastModifiedBy>
  <cp:lastPrinted>2023-04-07T01:59:49Z</cp:lastPrinted>
  <dcterms:modified xsi:type="dcterms:W3CDTF">2023-04-07T03:14:49Z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2020-04-02T00:00:00Z</vt:filetime>
  </property>
  <property fmtid="{D5CDD505-2E9C-101B-9397-08002B2CF9AE}" pid="3" name="Creator">
    <vt:lpwstr>WPS 文字</vt:lpwstr>
  </property>
  <property fmtid="{D5CDD505-2E9C-101B-9397-08002B2CF9AE}" pid="4" name="LastSaved">
    <vt:filetime>2020-04-02T00:00:00Z</vt:filetime>
  </property>
  <property fmtid="{D5CDD505-2E9C-101B-9397-08002B2CF9AE}" pid="5" name="KSOProductBuildVer">
    <vt:lpwstr>2052-11.1.0.14036</vt:lpwstr>
  </property>
  <property fmtid="{D5CDD505-2E9C-101B-9397-08002B2CF9AE}" pid="6" name="ICV">
    <vt:lpwstr>9E5D7E3227F443689E29DCC2C1E12991_13</vt:lpwstr>
  </property>
</Properties>
</file>