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17935">
      <w:pPr>
        <w:spacing w:line="600" w:lineRule="exact"/>
        <w:jc w:val="left"/>
        <w:outlineLvl w:val="9"/>
        <w:rPr>
          <w:rFonts w:ascii="方正小标宋简体" w:hAnsi="宋体" w:eastAsia="方正小标宋简体"/>
          <w:color w:val="auto"/>
          <w:sz w:val="21"/>
          <w:szCs w:val="21"/>
          <w:highlight w:val="none"/>
        </w:rPr>
      </w:pPr>
      <w:bookmarkStart w:id="0" w:name="_Toc15306267"/>
    </w:p>
    <w:p w14:paraId="0B03F857">
      <w:pPr>
        <w:spacing w:line="600" w:lineRule="exact"/>
        <w:jc w:val="center"/>
        <w:outlineLvl w:val="9"/>
        <w:rPr>
          <w:rFonts w:ascii="方正小标宋简体" w:hAnsi="宋体" w:eastAsia="方正小标宋简体"/>
          <w:color w:val="auto"/>
          <w:sz w:val="72"/>
          <w:szCs w:val="72"/>
          <w:highlight w:val="none"/>
        </w:rPr>
      </w:pPr>
    </w:p>
    <w:p w14:paraId="0315C92C">
      <w:pPr>
        <w:spacing w:line="600" w:lineRule="exact"/>
        <w:jc w:val="center"/>
        <w:outlineLvl w:val="9"/>
        <w:rPr>
          <w:rFonts w:ascii="方正小标宋简体" w:hAnsi="宋体" w:eastAsia="方正小标宋简体"/>
          <w:color w:val="auto"/>
          <w:sz w:val="72"/>
          <w:szCs w:val="72"/>
          <w:highlight w:val="none"/>
        </w:rPr>
      </w:pPr>
    </w:p>
    <w:p w14:paraId="5DBD7CB7">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1" w:name="_Toc28171"/>
      <w:bookmarkStart w:id="2" w:name="_Toc5444"/>
      <w:bookmarkStart w:id="3" w:name="_Toc15396598"/>
      <w:bookmarkStart w:id="4" w:name="_Toc15378442"/>
      <w:bookmarkStart w:id="5" w:name="_Toc15377194"/>
      <w:bookmarkStart w:id="6" w:name="_Toc15377426"/>
      <w:bookmarkStart w:id="7" w:name="_Toc15396476"/>
      <w:r>
        <w:rPr>
          <w:rFonts w:hint="eastAsia" w:ascii="方正小标宋简体" w:hAnsi="方正小标宋简体" w:eastAsia="方正小标宋简体" w:cs="方正小标宋简体"/>
          <w:color w:val="auto"/>
          <w:sz w:val="72"/>
          <w:szCs w:val="72"/>
          <w:highlight w:val="none"/>
          <w:lang w:val="en-US" w:eastAsia="zh-CN"/>
        </w:rPr>
        <w:t>2022年度</w:t>
      </w:r>
    </w:p>
    <w:bookmarkEnd w:id="0"/>
    <w:bookmarkEnd w:id="1"/>
    <w:bookmarkEnd w:id="2"/>
    <w:p w14:paraId="3C30909C">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8" w:name="_Toc15306268"/>
      <w:r>
        <w:rPr>
          <w:rFonts w:hint="eastAsia" w:ascii="方正小标宋简体" w:hAnsi="方正小标宋简体" w:eastAsia="方正小标宋简体" w:cs="方正小标宋简体"/>
          <w:color w:val="auto"/>
          <w:sz w:val="72"/>
          <w:szCs w:val="72"/>
          <w:highlight w:val="none"/>
          <w:lang w:val="en-US" w:eastAsia="zh-CN"/>
        </w:rPr>
        <w:t>大竹县文星镇神合学校</w:t>
      </w:r>
    </w:p>
    <w:p w14:paraId="6B5F9FC9">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9" w:name="_Toc30160"/>
      <w:bookmarkStart w:id="10" w:name="_Toc7421"/>
      <w:r>
        <w:rPr>
          <w:rFonts w:hint="eastAsia" w:ascii="方正小标宋简体" w:hAnsi="方正小标宋简体" w:eastAsia="方正小标宋简体" w:cs="方正小标宋简体"/>
          <w:color w:val="auto"/>
          <w:sz w:val="72"/>
          <w:szCs w:val="72"/>
          <w:highlight w:val="none"/>
          <w:lang w:val="en-US" w:eastAsia="zh-CN"/>
        </w:rPr>
        <w:t>单位决算</w:t>
      </w:r>
      <w:bookmarkEnd w:id="3"/>
      <w:bookmarkEnd w:id="4"/>
      <w:bookmarkEnd w:id="5"/>
      <w:bookmarkEnd w:id="6"/>
      <w:bookmarkEnd w:id="7"/>
      <w:bookmarkEnd w:id="8"/>
      <w:bookmarkEnd w:id="9"/>
      <w:bookmarkEnd w:id="10"/>
    </w:p>
    <w:p w14:paraId="5BCD53D4">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14:paraId="0D28939B">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14:paraId="2AB2694E">
      <w:pPr>
        <w:widowControl/>
        <w:jc w:val="center"/>
        <w:rPr>
          <w:rFonts w:ascii="黑体" w:hAnsi="黑体" w:eastAsia="黑体" w:cstheme="minorBidi"/>
          <w:color w:val="auto"/>
          <w:sz w:val="28"/>
          <w:szCs w:val="28"/>
          <w:highlight w:val="none"/>
        </w:rPr>
      </w:pPr>
    </w:p>
    <w:p w14:paraId="32FCD902">
      <w:pPr>
        <w:pStyle w:val="10"/>
        <w:rPr>
          <w:rFonts w:hint="eastAsia"/>
          <w:color w:val="auto"/>
          <w:highlight w:val="yellow"/>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 xml:space="preserve"> 10</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p w14:paraId="65B5576E"/>
    <w:sdt>
      <w:sdtPr>
        <w:rPr>
          <w:rFonts w:hint="eastAsia" w:ascii="宋体" w:hAnsi="宋体" w:eastAsia="宋体" w:cs="宋体"/>
          <w:kern w:val="2"/>
          <w:sz w:val="30"/>
          <w:szCs w:val="30"/>
          <w:lang w:val="en-US" w:eastAsia="zh-CN" w:bidi="ar-SA"/>
        </w:rPr>
        <w:id w:val="147465448"/>
        <w15:color w:val="DBDBDB"/>
        <w:docPartObj>
          <w:docPartGallery w:val="Table of Contents"/>
          <w:docPartUnique/>
        </w:docPartObj>
      </w:sdtPr>
      <w:sdtEndPr>
        <w:rPr>
          <w:rFonts w:hint="eastAsia" w:ascii="宋体" w:hAnsi="宋体" w:eastAsia="宋体" w:cs="宋体"/>
          <w:kern w:val="2"/>
          <w:sz w:val="30"/>
          <w:szCs w:val="30"/>
          <w:lang w:val="en-US" w:eastAsia="zh-CN" w:bidi="ar-SA"/>
        </w:rPr>
      </w:sdtEndPr>
      <w:sdtContent>
        <w:p w14:paraId="3D2B7974">
          <w:pPr>
            <w:pStyle w:val="10"/>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bookmarkStart w:id="11" w:name="_Toc21878"/>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TOC \o "1-3" \h \u </w:instrText>
          </w:r>
          <w:r>
            <w:rPr>
              <w:rFonts w:hint="eastAsia" w:ascii="宋体" w:hAnsi="宋体" w:eastAsia="宋体" w:cs="宋体"/>
              <w:sz w:val="30"/>
              <w:szCs w:val="30"/>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_Toc629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 xml:space="preserve">第一部分 </w:t>
          </w:r>
          <w:r>
            <w:rPr>
              <w:rFonts w:hint="eastAsia" w:ascii="宋体" w:hAnsi="宋体" w:eastAsia="宋体" w:cs="宋体"/>
              <w:sz w:val="24"/>
              <w:szCs w:val="24"/>
              <w:highlight w:val="none"/>
              <w:lang w:eastAsia="zh-CN"/>
            </w:rPr>
            <w:t>单位</w:t>
          </w:r>
          <w:r>
            <w:rPr>
              <w:rFonts w:hint="eastAsia" w:ascii="宋体" w:hAnsi="宋体" w:eastAsia="宋体" w:cs="宋体"/>
              <w:bCs w:val="0"/>
              <w:sz w:val="24"/>
              <w:szCs w:val="24"/>
              <w:highlight w:val="none"/>
            </w:rPr>
            <w:t>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_Toc629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600BEE8">
          <w:pPr>
            <w:pStyle w:val="11"/>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_Toc7049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eastAsia="zh-CN"/>
            </w:rPr>
            <w:t>一、</w:t>
          </w:r>
          <w:r>
            <w:rPr>
              <w:rFonts w:hint="eastAsia" w:ascii="宋体" w:hAnsi="宋体" w:eastAsia="宋体" w:cs="宋体"/>
              <w:bCs w:val="0"/>
              <w:sz w:val="24"/>
              <w:szCs w:val="24"/>
              <w:highlight w:val="none"/>
              <w:lang w:eastAsia="zh-CN"/>
            </w:rPr>
            <w:t>主要职责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_Toc7049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0C3FDFF">
          <w:pPr>
            <w:pStyle w:val="11"/>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_Toc15585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lang w:val="en-US" w:eastAsia="zh-CN"/>
            </w:rPr>
            <w:t>二、机构设置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_Toc15585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4602F87">
          <w:pPr>
            <w:pStyle w:val="10"/>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_Toc22672 </w:instrText>
          </w:r>
          <w:r>
            <w:rPr>
              <w:rFonts w:hint="eastAsia" w:ascii="宋体" w:hAnsi="宋体" w:eastAsia="宋体" w:cs="宋体"/>
              <w:sz w:val="24"/>
              <w:szCs w:val="24"/>
            </w:rPr>
            <w:fldChar w:fldCharType="separate"/>
          </w:r>
          <w:r>
            <w:rPr>
              <w:rFonts w:hint="eastAsia" w:ascii="宋体" w:hAnsi="宋体" w:eastAsia="宋体" w:cs="宋体"/>
              <w:bCs/>
              <w:sz w:val="24"/>
              <w:szCs w:val="24"/>
              <w:highlight w:val="none"/>
            </w:rPr>
            <w:t xml:space="preserve">第二部分 </w:t>
          </w:r>
          <w:r>
            <w:rPr>
              <w:rFonts w:hint="eastAsia" w:ascii="宋体" w:hAnsi="宋体" w:eastAsia="宋体" w:cs="宋体"/>
              <w:bCs/>
              <w:sz w:val="24"/>
              <w:szCs w:val="24"/>
              <w:highlight w:val="none"/>
              <w:lang w:val="en-US" w:eastAsia="zh-CN"/>
            </w:rPr>
            <w:t>2022年度</w:t>
          </w:r>
          <w:r>
            <w:rPr>
              <w:rFonts w:hint="eastAsia" w:ascii="宋体" w:hAnsi="宋体" w:eastAsia="宋体" w:cs="宋体"/>
              <w:bCs/>
              <w:sz w:val="24"/>
              <w:szCs w:val="24"/>
              <w:highlight w:val="none"/>
              <w:lang w:eastAsia="zh-CN"/>
            </w:rPr>
            <w:t>单位</w:t>
          </w:r>
          <w:r>
            <w:rPr>
              <w:rFonts w:hint="eastAsia" w:ascii="宋体" w:hAnsi="宋体" w:eastAsia="宋体" w:cs="宋体"/>
              <w:bCs/>
              <w:sz w:val="24"/>
              <w:szCs w:val="24"/>
              <w:highlight w:val="none"/>
            </w:rPr>
            <w:t>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_Toc22672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F1E33D3">
          <w:pPr>
            <w:pStyle w:val="11"/>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_Toc30218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一、 </w:t>
          </w:r>
          <w:r>
            <w:rPr>
              <w:rFonts w:hint="eastAsia" w:ascii="宋体" w:hAnsi="宋体" w:eastAsia="宋体" w:cs="宋体"/>
              <w:sz w:val="24"/>
              <w:szCs w:val="24"/>
              <w:highlight w:val="none"/>
            </w:rPr>
            <w:t>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_Toc30218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3DCC34C">
          <w:pPr>
            <w:pStyle w:val="11"/>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_Toc15606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二、 </w:t>
          </w:r>
          <w:r>
            <w:rPr>
              <w:rFonts w:hint="eastAsia" w:ascii="宋体" w:hAnsi="宋体" w:eastAsia="宋体" w:cs="宋体"/>
              <w:sz w:val="24"/>
              <w:szCs w:val="24"/>
              <w:highlight w:val="none"/>
            </w:rPr>
            <w:t>收入决算情况说明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_Toc15606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C541E41">
          <w:pPr>
            <w:pStyle w:val="11"/>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_Toc4921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三、 </w:t>
          </w:r>
          <w:r>
            <w:rPr>
              <w:rFonts w:hint="eastAsia" w:ascii="宋体" w:hAnsi="宋体" w:eastAsia="宋体" w:cs="宋体"/>
              <w:sz w:val="24"/>
              <w:szCs w:val="24"/>
              <w:highlight w:val="none"/>
            </w:rPr>
            <w:t>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_Toc4921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B3CF687">
          <w:pPr>
            <w:pStyle w:val="11"/>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_Toc10846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四、财政拨款收入支出决算总体情况说明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_Toc10846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29582E7">
          <w:pPr>
            <w:pStyle w:val="11"/>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_Toc17865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五、一般公共预算财政拨款支出决算情况说明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_Toc17865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982AF3F">
          <w:pPr>
            <w:pStyle w:val="6"/>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_Toc7720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（一）一般公共预算财政拨款支出决算总体情况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_Toc7720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ED20345">
          <w:pPr>
            <w:pStyle w:val="6"/>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_Toc732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（二）一般公共预算财政拨款支出决算结构情况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_Toc732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86E1AC4">
          <w:pPr>
            <w:pStyle w:val="6"/>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_Toc572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（三）一般公共预算财政拨款支出决算具体情况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_Toc572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DB35F23">
          <w:pPr>
            <w:pStyle w:val="11"/>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_Toc3921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六、一般公共预算财政拨款基本支出决算情况说明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_Toc3921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83C0B83">
          <w:pPr>
            <w:pStyle w:val="11"/>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_Toc10961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七、财政拨款“三公”经费支出决算情况说明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_Toc10961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4171C24">
          <w:pPr>
            <w:pStyle w:val="6"/>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_Toc9928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（一）“三公”经费财政拨款支出决算总体情况说明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_Toc9928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7A42997">
          <w:pPr>
            <w:pStyle w:val="6"/>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_Toc9371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（二）“三公”经费财政拨款支出决算具体情况说明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_Toc9371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BE1CE09">
          <w:pPr>
            <w:pStyle w:val="11"/>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_Toc429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八、政府性基金预算支出决算情况说明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_Toc429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DFCEC2F">
          <w:pPr>
            <w:pStyle w:val="11"/>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_Toc9159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九、 </w:t>
          </w:r>
          <w:r>
            <w:rPr>
              <w:rFonts w:hint="eastAsia" w:ascii="宋体" w:hAnsi="宋体" w:eastAsia="宋体" w:cs="宋体"/>
              <w:sz w:val="24"/>
              <w:szCs w:val="24"/>
              <w:highlight w:val="none"/>
            </w:rPr>
            <w:t>国有资本经营预算支出决算情况说明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_Toc9159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87D0CE8">
          <w:pPr>
            <w:pStyle w:val="11"/>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_Toc6839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十、 </w:t>
          </w:r>
          <w:r>
            <w:rPr>
              <w:rFonts w:hint="eastAsia" w:ascii="宋体" w:hAnsi="宋体" w:eastAsia="宋体" w:cs="宋体"/>
              <w:sz w:val="24"/>
              <w:szCs w:val="24"/>
              <w:highlight w:val="none"/>
            </w:rPr>
            <w:t>其他重要事项的情况说明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_Toc6839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6D9F223">
          <w:pPr>
            <w:pStyle w:val="6"/>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_Toc17052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（一）机关运行经费支出情况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_Toc17052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6D15203">
          <w:pPr>
            <w:pStyle w:val="6"/>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_Toc30590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（二）政府采购支出情况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_Toc30590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AB5E862">
          <w:pPr>
            <w:pStyle w:val="6"/>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_Toc6933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（三）国有资产占有使用情况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_Toc6933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658B452">
          <w:pPr>
            <w:pStyle w:val="6"/>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_Toc20940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（四）预算绩效管理情况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_Toc20940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FCED8F3">
          <w:pPr>
            <w:pStyle w:val="10"/>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_Toc20644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第三部分 </w:t>
          </w:r>
          <w:r>
            <w:rPr>
              <w:rFonts w:hint="eastAsia" w:ascii="宋体" w:hAnsi="宋体" w:eastAsia="宋体" w:cs="宋体"/>
              <w:sz w:val="24"/>
              <w:szCs w:val="24"/>
              <w:highlight w:val="none"/>
            </w:rPr>
            <w:t>名词解释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_Toc20644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5C8D5B7">
          <w:pPr>
            <w:pStyle w:val="10"/>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_Toc5328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第四部分 附件</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18</w:t>
          </w:r>
        </w:p>
        <w:p w14:paraId="3B88FDA5">
          <w:pPr>
            <w:pStyle w:val="10"/>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_Toc18722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第五部分 附表</w:t>
          </w:r>
          <w:bookmarkStart w:id="149" w:name="_GoBack"/>
          <w:bookmarkEnd w:id="149"/>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_Toc18722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A71E92A">
          <w:pPr>
            <w:pStyle w:val="11"/>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_Toc8414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一、收</w:t>
          </w:r>
          <w:r>
            <w:rPr>
              <w:rFonts w:hint="eastAsia" w:ascii="宋体" w:hAnsi="宋体" w:eastAsia="宋体" w:cs="宋体"/>
              <w:bCs w:val="0"/>
              <w:sz w:val="24"/>
              <w:szCs w:val="24"/>
              <w:highlight w:val="none"/>
            </w:rPr>
            <w:t>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_Toc8414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1D603E1">
          <w:pPr>
            <w:pStyle w:val="11"/>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_Toc5630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二、收</w:t>
          </w:r>
          <w:r>
            <w:rPr>
              <w:rFonts w:hint="eastAsia" w:ascii="宋体" w:hAnsi="宋体" w:eastAsia="宋体" w:cs="宋体"/>
              <w:bCs w:val="0"/>
              <w:sz w:val="24"/>
              <w:szCs w:val="24"/>
              <w:highlight w:val="none"/>
            </w:rPr>
            <w:t>入决算表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_Toc5630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7619A0F">
          <w:pPr>
            <w:pStyle w:val="11"/>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_Toc29266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三、</w:t>
          </w:r>
          <w:r>
            <w:rPr>
              <w:rFonts w:hint="eastAsia" w:ascii="宋体" w:hAnsi="宋体" w:eastAsia="宋体" w:cs="宋体"/>
              <w:bCs w:val="0"/>
              <w:sz w:val="24"/>
              <w:szCs w:val="24"/>
              <w:highlight w:val="none"/>
              <w:lang w:val="en-US" w:eastAsia="zh-CN"/>
            </w:rPr>
            <w:t>支</w:t>
          </w:r>
          <w:r>
            <w:rPr>
              <w:rFonts w:hint="eastAsia" w:ascii="宋体" w:hAnsi="宋体" w:eastAsia="宋体" w:cs="宋体"/>
              <w:bCs w:val="0"/>
              <w:sz w:val="24"/>
              <w:szCs w:val="24"/>
              <w:highlight w:val="none"/>
            </w:rPr>
            <w:t>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_Toc29266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8D6FE5D">
          <w:pPr>
            <w:pStyle w:val="11"/>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_Toc22573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四、</w:t>
          </w:r>
          <w:r>
            <w:rPr>
              <w:rFonts w:hint="eastAsia" w:ascii="宋体" w:hAnsi="宋体" w:eastAsia="宋体" w:cs="宋体"/>
              <w:sz w:val="24"/>
              <w:szCs w:val="24"/>
              <w:highlight w:val="none"/>
            </w:rPr>
            <w:t>财</w:t>
          </w:r>
          <w:r>
            <w:rPr>
              <w:rFonts w:hint="eastAsia" w:ascii="宋体" w:hAnsi="宋体" w:eastAsia="宋体" w:cs="宋体"/>
              <w:bCs w:val="0"/>
              <w:sz w:val="24"/>
              <w:szCs w:val="24"/>
              <w:highlight w:val="none"/>
            </w:rPr>
            <w:t>政拨款收入支出决算总表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_Toc22573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1555EBC">
          <w:pPr>
            <w:pStyle w:val="11"/>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_Toc27717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五、</w:t>
          </w:r>
          <w:r>
            <w:rPr>
              <w:rFonts w:hint="eastAsia" w:ascii="宋体" w:hAnsi="宋体" w:eastAsia="宋体" w:cs="宋体"/>
              <w:sz w:val="24"/>
              <w:szCs w:val="24"/>
              <w:highlight w:val="none"/>
            </w:rPr>
            <w:t>财</w:t>
          </w:r>
          <w:r>
            <w:rPr>
              <w:rFonts w:hint="eastAsia" w:ascii="宋体" w:hAnsi="宋体" w:eastAsia="宋体" w:cs="宋体"/>
              <w:bCs w:val="0"/>
              <w:sz w:val="24"/>
              <w:szCs w:val="24"/>
              <w:highlight w:val="none"/>
            </w:rPr>
            <w:t>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_Toc27717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48568F9">
          <w:pPr>
            <w:pStyle w:val="11"/>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_Toc31858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六、</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_Toc31858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7DB7710">
          <w:pPr>
            <w:pStyle w:val="11"/>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_Toc20025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七、</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_Toc20025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F850C64">
          <w:pPr>
            <w:pStyle w:val="11"/>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_Toc23276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八、</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般公共预算财政拨款基本支出决算表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_Toc23276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7668CBE">
          <w:pPr>
            <w:pStyle w:val="11"/>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_Toc21485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九、</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般公共预算财政拨款项目支出决算表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_Toc21485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125961A">
          <w:pPr>
            <w:pStyle w:val="11"/>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_Toc23566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w:t>
          </w:r>
          <w:r>
            <w:rPr>
              <w:rFonts w:hint="eastAsia" w:ascii="宋体" w:hAnsi="宋体" w:eastAsia="宋体" w:cs="宋体"/>
              <w:sz w:val="24"/>
              <w:szCs w:val="24"/>
              <w:highlight w:val="none"/>
            </w:rPr>
            <w:t>政</w:t>
          </w:r>
          <w:r>
            <w:rPr>
              <w:rFonts w:hint="eastAsia" w:ascii="宋体" w:hAnsi="宋体" w:eastAsia="宋体" w:cs="宋体"/>
              <w:bCs w:val="0"/>
              <w:sz w:val="24"/>
              <w:szCs w:val="24"/>
              <w:highlight w:val="none"/>
            </w:rPr>
            <w:t>府性基金预算财政拨款收入支出决算表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_Toc23566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8E954A8">
          <w:pPr>
            <w:pStyle w:val="11"/>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_Toc14574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十一、</w:t>
          </w:r>
          <w:r>
            <w:rPr>
              <w:rFonts w:hint="eastAsia" w:ascii="宋体" w:hAnsi="宋体" w:eastAsia="宋体" w:cs="宋体"/>
              <w:sz w:val="24"/>
              <w:szCs w:val="24"/>
              <w:highlight w:val="none"/>
            </w:rPr>
            <w:t>国</w:t>
          </w:r>
          <w:r>
            <w:rPr>
              <w:rFonts w:hint="eastAsia" w:ascii="宋体" w:hAnsi="宋体" w:eastAsia="宋体" w:cs="宋体"/>
              <w:bCs w:val="0"/>
              <w:sz w:val="24"/>
              <w:szCs w:val="24"/>
              <w:highlight w:val="none"/>
            </w:rPr>
            <w:t>有资本经营预算</w:t>
          </w:r>
          <w:r>
            <w:rPr>
              <w:rFonts w:hint="eastAsia" w:ascii="宋体" w:hAnsi="宋体" w:eastAsia="宋体" w:cs="宋体"/>
              <w:bCs w:val="0"/>
              <w:sz w:val="24"/>
              <w:szCs w:val="24"/>
              <w:highlight w:val="none"/>
              <w:lang w:eastAsia="zh-CN"/>
            </w:rPr>
            <w:t>财政拨款收入</w:t>
          </w:r>
          <w:r>
            <w:rPr>
              <w:rFonts w:hint="eastAsia" w:ascii="宋体" w:hAnsi="宋体" w:eastAsia="宋体" w:cs="宋体"/>
              <w:bCs w:val="0"/>
              <w:sz w:val="24"/>
              <w:szCs w:val="24"/>
              <w:highlight w:val="none"/>
            </w:rPr>
            <w:t>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_Toc14574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034B38B">
          <w:pPr>
            <w:pStyle w:val="11"/>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_Toc5747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十二、</w:t>
          </w:r>
          <w:r>
            <w:rPr>
              <w:rFonts w:hint="eastAsia" w:ascii="宋体" w:hAnsi="宋体" w:eastAsia="宋体" w:cs="宋体"/>
              <w:bCs w:val="0"/>
              <w:sz w:val="24"/>
              <w:szCs w:val="24"/>
              <w:highlight w:val="none"/>
              <w:lang w:eastAsia="zh-CN"/>
            </w:rPr>
            <w:t>国有资本经营预算财政拨款支出决算表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_Toc5747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28BEE6E">
          <w:pPr>
            <w:pStyle w:val="11"/>
            <w:keepNext w:val="0"/>
            <w:keepLines w:val="0"/>
            <w:pageBreakBefore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宋体" w:hAnsi="宋体" w:eastAsia="宋体" w:cs="宋体"/>
              <w:sz w:val="30"/>
              <w:szCs w:val="30"/>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_Toc26025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十三、</w:t>
          </w:r>
          <w:r>
            <w:rPr>
              <w:rFonts w:hint="eastAsia" w:ascii="宋体" w:hAnsi="宋体" w:eastAsia="宋体" w:cs="宋体"/>
              <w:bCs w:val="0"/>
              <w:sz w:val="24"/>
              <w:szCs w:val="24"/>
              <w:highlight w:val="none"/>
              <w:lang w:eastAsia="zh-CN"/>
            </w:rPr>
            <w:t>财政拨款“三公”经费支出决算表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_Toc26025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0987011">
          <w:pPr>
            <w:keepNext w:val="0"/>
            <w:keepLines w:val="0"/>
            <w:pageBreakBefore w:val="0"/>
            <w:kinsoku/>
            <w:wordWrap/>
            <w:overflowPunct/>
            <w:topLinePunct w:val="0"/>
            <w:autoSpaceDE/>
            <w:autoSpaceDN/>
            <w:bidi w:val="0"/>
            <w:adjustRightInd/>
            <w:snapToGrid/>
            <w:spacing w:line="360" w:lineRule="exact"/>
            <w:textAlignment w:val="auto"/>
          </w:pPr>
          <w:r>
            <w:rPr>
              <w:rFonts w:hint="eastAsia" w:ascii="宋体" w:hAnsi="宋体" w:eastAsia="宋体" w:cs="宋体"/>
              <w:sz w:val="30"/>
              <w:szCs w:val="30"/>
            </w:rPr>
            <w:fldChar w:fldCharType="end"/>
          </w:r>
        </w:p>
      </w:sdtContent>
    </w:sdt>
    <w:bookmarkEnd w:id="11"/>
    <w:p w14:paraId="33674BF2">
      <w:pPr>
        <w:pStyle w:val="3"/>
        <w:spacing w:before="0" w:after="0" w:line="240" w:lineRule="auto"/>
        <w:jc w:val="both"/>
        <w:rPr>
          <w:rFonts w:hint="eastAsia" w:ascii="黑体" w:hAnsi="黑体" w:eastAsia="黑体"/>
          <w:b w:val="0"/>
          <w:color w:val="auto"/>
          <w:highlight w:val="none"/>
        </w:rPr>
      </w:pPr>
      <w:bookmarkStart w:id="12" w:name="_Toc629"/>
      <w:bookmarkStart w:id="13" w:name="_Toc15377196"/>
      <w:bookmarkStart w:id="14" w:name="_Toc11075"/>
      <w:bookmarkStart w:id="15" w:name="_Toc15396599"/>
    </w:p>
    <w:p w14:paraId="713F032F">
      <w:pPr>
        <w:pStyle w:val="3"/>
        <w:spacing w:before="0" w:after="0" w:line="240" w:lineRule="auto"/>
        <w:jc w:val="both"/>
        <w:rPr>
          <w:rFonts w:hint="eastAsia" w:ascii="黑体" w:hAnsi="黑体" w:eastAsia="黑体"/>
          <w:b w:val="0"/>
          <w:color w:val="auto"/>
          <w:highlight w:val="none"/>
        </w:rPr>
      </w:pPr>
    </w:p>
    <w:p w14:paraId="641682D3">
      <w:pPr>
        <w:pStyle w:val="3"/>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黑体" w:hAnsi="黑体" w:eastAsia="黑体"/>
          <w:b w:val="0"/>
          <w:color w:val="auto"/>
          <w:highlight w:val="none"/>
        </w:rPr>
      </w:pPr>
    </w:p>
    <w:p w14:paraId="3EB59490">
      <w:pPr>
        <w:pStyle w:val="3"/>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黑体" w:hAnsi="黑体" w:eastAsia="黑体"/>
          <w:b w:val="0"/>
          <w:color w:val="auto"/>
          <w:highlight w:val="none"/>
        </w:rPr>
      </w:pPr>
    </w:p>
    <w:p w14:paraId="272856C0">
      <w:pPr>
        <w:pStyle w:val="3"/>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黑体" w:hAnsi="黑体" w:eastAsia="黑体"/>
          <w:b w:val="0"/>
          <w:color w:val="auto"/>
          <w:highlight w:val="none"/>
        </w:rPr>
      </w:pPr>
    </w:p>
    <w:p w14:paraId="526A8BAE">
      <w:pPr>
        <w:pStyle w:val="3"/>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黑体" w:hAnsi="黑体" w:eastAsia="黑体"/>
          <w:b w:val="0"/>
          <w:color w:val="auto"/>
          <w:highlight w:val="none"/>
        </w:rPr>
      </w:pPr>
    </w:p>
    <w:p w14:paraId="2C178776">
      <w:pPr>
        <w:pStyle w:val="3"/>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黑体" w:hAnsi="黑体" w:eastAsia="黑体"/>
          <w:b w:val="0"/>
          <w:color w:val="auto"/>
          <w:highlight w:val="none"/>
        </w:rPr>
      </w:pPr>
    </w:p>
    <w:p w14:paraId="40CAAE81">
      <w:pPr>
        <w:pStyle w:val="3"/>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黑体" w:hAnsi="黑体" w:eastAsia="黑体"/>
          <w:b w:val="0"/>
          <w:color w:val="auto"/>
          <w:highlight w:val="none"/>
        </w:rPr>
      </w:pPr>
    </w:p>
    <w:p w14:paraId="10DF55C4">
      <w:pPr>
        <w:pStyle w:val="3"/>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黑体" w:hAnsi="黑体" w:eastAsia="黑体"/>
          <w:b w:val="0"/>
          <w:color w:val="auto"/>
          <w:highlight w:val="none"/>
        </w:rPr>
      </w:pPr>
    </w:p>
    <w:p w14:paraId="7618915D">
      <w:pPr>
        <w:pStyle w:val="3"/>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黑体" w:hAnsi="黑体" w:eastAsia="黑体"/>
          <w:b w:val="0"/>
          <w:color w:val="auto"/>
          <w:highlight w:val="none"/>
        </w:rPr>
      </w:pPr>
    </w:p>
    <w:p w14:paraId="299AC475">
      <w:pPr>
        <w:pStyle w:val="3"/>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黑体" w:hAnsi="黑体" w:eastAsia="黑体"/>
          <w:b w:val="0"/>
          <w:color w:val="auto"/>
          <w:highlight w:val="none"/>
        </w:rPr>
      </w:pPr>
    </w:p>
    <w:p w14:paraId="382953F5">
      <w:pPr>
        <w:pStyle w:val="3"/>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黑体" w:hAnsi="黑体" w:eastAsia="黑体"/>
          <w:b w:val="0"/>
          <w:color w:val="auto"/>
          <w:highlight w:val="none"/>
        </w:rPr>
      </w:pPr>
    </w:p>
    <w:p w14:paraId="282CD177">
      <w:pPr>
        <w:pStyle w:val="3"/>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黑体" w:hAnsi="黑体" w:eastAsia="黑体"/>
          <w:b w:val="0"/>
          <w:color w:val="auto"/>
          <w:highlight w:val="none"/>
        </w:rPr>
      </w:pPr>
    </w:p>
    <w:p w14:paraId="48D52B6F">
      <w:pPr>
        <w:pStyle w:val="3"/>
        <w:spacing w:before="0" w:after="0" w:line="240" w:lineRule="auto"/>
        <w:jc w:val="both"/>
        <w:rPr>
          <w:rFonts w:hint="eastAsia" w:ascii="黑体" w:hAnsi="黑体" w:eastAsia="黑体"/>
          <w:b w:val="0"/>
          <w:color w:val="auto"/>
          <w:highlight w:val="none"/>
        </w:rPr>
      </w:pPr>
    </w:p>
    <w:p w14:paraId="68F2B744">
      <w:pPr>
        <w:rPr>
          <w:rFonts w:hint="eastAsia"/>
        </w:rPr>
      </w:pPr>
    </w:p>
    <w:p w14:paraId="78B207F0">
      <w:pPr>
        <w:pStyle w:val="3"/>
        <w:spacing w:before="0" w:after="0" w:line="240" w:lineRule="auto"/>
        <w:jc w:val="center"/>
        <w:rPr>
          <w:rFonts w:hint="eastAsia" w:ascii="黑体" w:hAnsi="黑体" w:eastAsia="黑体"/>
          <w:b w:val="0"/>
          <w:color w:val="auto"/>
          <w:highlight w:val="none"/>
        </w:rPr>
      </w:pPr>
    </w:p>
    <w:p w14:paraId="18AB42F5">
      <w:pPr>
        <w:pStyle w:val="3"/>
        <w:spacing w:before="0" w:after="0" w:line="240" w:lineRule="auto"/>
        <w:jc w:val="center"/>
        <w:rPr>
          <w:rStyle w:val="2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bookmarkEnd w:id="14"/>
      <w:bookmarkEnd w:id="15"/>
    </w:p>
    <w:p w14:paraId="327C6684">
      <w:pPr>
        <w:widowControl/>
        <w:jc w:val="left"/>
        <w:rPr>
          <w:rFonts w:ascii="黑体" w:eastAsia="黑体"/>
          <w:color w:val="auto"/>
          <w:sz w:val="32"/>
          <w:szCs w:val="32"/>
          <w:highlight w:val="none"/>
        </w:rPr>
      </w:pPr>
    </w:p>
    <w:p w14:paraId="2E8018BC">
      <w:pPr>
        <w:pStyle w:val="4"/>
        <w:numPr>
          <w:ilvl w:val="0"/>
          <w:numId w:val="1"/>
        </w:numPr>
        <w:rPr>
          <w:rStyle w:val="25"/>
          <w:rFonts w:hint="eastAsia" w:ascii="黑体" w:hAnsi="黑体" w:eastAsia="黑体"/>
          <w:b w:val="0"/>
          <w:bCs w:val="0"/>
          <w:color w:val="auto"/>
          <w:highlight w:val="none"/>
          <w:lang w:eastAsia="zh-CN"/>
        </w:rPr>
      </w:pPr>
      <w:bookmarkStart w:id="16" w:name="_Toc15764"/>
      <w:bookmarkStart w:id="17" w:name="_Toc7049"/>
      <w:bookmarkStart w:id="18" w:name="_Toc15396600"/>
      <w:bookmarkStart w:id="19" w:name="_Toc15377197"/>
      <w:r>
        <w:rPr>
          <w:rStyle w:val="25"/>
          <w:rFonts w:hint="eastAsia" w:ascii="黑体" w:hAnsi="黑体" w:eastAsia="黑体"/>
          <w:b w:val="0"/>
          <w:bCs w:val="0"/>
          <w:color w:val="auto"/>
          <w:highlight w:val="none"/>
          <w:lang w:eastAsia="zh-CN"/>
        </w:rPr>
        <w:t>主要职责</w:t>
      </w:r>
      <w:bookmarkEnd w:id="16"/>
      <w:bookmarkEnd w:id="17"/>
    </w:p>
    <w:p w14:paraId="2244D72C">
      <w:pPr>
        <w:ind w:firstLine="640" w:firstLineChars="200"/>
        <w:rPr>
          <w:rFonts w:hint="eastAsia"/>
          <w:lang w:eastAsia="zh-CN"/>
        </w:rPr>
      </w:pPr>
      <w:bookmarkStart w:id="20" w:name="_Toc24780"/>
      <w:bookmarkStart w:id="21" w:name="_Toc18420"/>
      <w:r>
        <w:rPr>
          <w:rFonts w:hint="eastAsia" w:ascii="仿宋" w:hAnsi="仿宋" w:eastAsia="仿宋"/>
          <w:bCs/>
          <w:color w:val="auto"/>
          <w:kern w:val="0"/>
          <w:sz w:val="32"/>
          <w:szCs w:val="32"/>
          <w:lang w:eastAsia="zh-CN"/>
        </w:rPr>
        <w:t>大竹县文星镇神合学校</w:t>
      </w:r>
      <w:r>
        <w:rPr>
          <w:rFonts w:hint="eastAsia" w:ascii="仿宋" w:hAnsi="仿宋" w:eastAsia="仿宋"/>
          <w:bCs/>
          <w:color w:val="auto"/>
          <w:kern w:val="0"/>
          <w:sz w:val="32"/>
          <w:szCs w:val="32"/>
        </w:rPr>
        <w:t>是大竹县教育局举办的一所</w:t>
      </w:r>
      <w:r>
        <w:rPr>
          <w:rFonts w:hint="eastAsia" w:ascii="仿宋" w:hAnsi="仿宋" w:eastAsia="仿宋"/>
          <w:bCs/>
          <w:color w:val="auto"/>
          <w:kern w:val="0"/>
          <w:sz w:val="32"/>
          <w:szCs w:val="32"/>
          <w:lang w:val="en-US" w:eastAsia="zh-CN"/>
        </w:rPr>
        <w:t>完全小学</w:t>
      </w:r>
      <w:r>
        <w:rPr>
          <w:rFonts w:hint="eastAsia" w:ascii="仿宋" w:hAnsi="仿宋" w:eastAsia="仿宋"/>
          <w:bCs/>
          <w:color w:val="auto"/>
          <w:kern w:val="0"/>
          <w:sz w:val="32"/>
          <w:szCs w:val="32"/>
        </w:rPr>
        <w:t>，属于全额拨款事业单位，</w:t>
      </w:r>
      <w:r>
        <w:rPr>
          <w:rFonts w:hint="eastAsia" w:ascii="仿宋" w:hAnsi="仿宋" w:eastAsia="仿宋"/>
          <w:b w:val="0"/>
          <w:bCs w:val="0"/>
          <w:color w:val="000000"/>
          <w:sz w:val="32"/>
          <w:szCs w:val="32"/>
          <w:lang w:val="en-US" w:eastAsia="zh-CN"/>
        </w:rPr>
        <w:t>贯彻执行党和国家的教育方针、教育政策、教育法律和教育法规，贯彻执行上级教育行政部门的行政规章。根据县委、县政府制定的教育事业发展规划，结合实际制定并组织实施本校的教育事业发展规划。按照上级有关部门的规定，负责对学校教育的财务和基建进行管理。按照完全小学义务教育课程计划要求开齐课程开足课时，认真实施中小学的教育教学管理，全面推进素质教育，全面提高教育教学质量。</w:t>
      </w:r>
      <w:bookmarkEnd w:id="20"/>
      <w:bookmarkEnd w:id="21"/>
    </w:p>
    <w:p w14:paraId="06111F9A">
      <w:pPr>
        <w:pStyle w:val="4"/>
        <w:numPr>
          <w:ilvl w:val="0"/>
          <w:numId w:val="0"/>
        </w:numPr>
        <w:rPr>
          <w:rFonts w:hint="eastAsia" w:ascii="黑体" w:hAnsi="黑体" w:eastAsia="黑体"/>
          <w:b w:val="0"/>
          <w:color w:val="auto"/>
          <w:highlight w:val="none"/>
          <w:lang w:val="en-US" w:eastAsia="zh-CN"/>
        </w:rPr>
      </w:pPr>
      <w:bookmarkStart w:id="22" w:name="_Toc15585"/>
      <w:bookmarkStart w:id="23" w:name="_Toc19494"/>
      <w:r>
        <w:rPr>
          <w:rFonts w:hint="eastAsia" w:ascii="黑体" w:hAnsi="黑体" w:eastAsia="黑体"/>
          <w:b w:val="0"/>
          <w:color w:val="auto"/>
          <w:highlight w:val="none"/>
          <w:lang w:val="en-US" w:eastAsia="zh-CN"/>
        </w:rPr>
        <w:t>二、机构设置</w:t>
      </w:r>
      <w:bookmarkEnd w:id="22"/>
      <w:bookmarkEnd w:id="23"/>
    </w:p>
    <w:bookmarkEnd w:id="18"/>
    <w:bookmarkEnd w:id="19"/>
    <w:p w14:paraId="12F535A8">
      <w:pPr>
        <w:pStyle w:val="2"/>
        <w:adjustRightInd w:val="0"/>
        <w:snapToGrid w:val="0"/>
        <w:spacing w:before="93" w:line="600" w:lineRule="exact"/>
        <w:ind w:firstLine="672" w:firstLineChars="210"/>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大竹县文星镇神合学校为一级预算单位，下属的二级预算单位0个，下设独立编制机构0个，其中行政机构0个，参照公务员法管理的事业机构0个，其它事业机构0个。</w:t>
      </w:r>
    </w:p>
    <w:p w14:paraId="41E2D783">
      <w:pPr>
        <w:pStyle w:val="2"/>
        <w:spacing w:before="93"/>
        <w:ind w:firstLine="640" w:firstLineChars="200"/>
      </w:pPr>
      <w:r>
        <w:rPr>
          <w:rFonts w:hint="eastAsia" w:ascii="仿宋" w:hAnsi="仿宋" w:eastAsia="仿宋" w:cs="仿宋_GB2312"/>
          <w:sz w:val="32"/>
          <w:szCs w:val="32"/>
        </w:rPr>
        <w:t>纳入</w:t>
      </w:r>
      <w:r>
        <w:rPr>
          <w:rFonts w:hint="eastAsia" w:ascii="仿宋" w:hAnsi="仿宋" w:eastAsia="仿宋" w:cs="仿宋_GB2312"/>
          <w:sz w:val="32"/>
          <w:szCs w:val="32"/>
          <w:lang w:eastAsia="zh-CN"/>
        </w:rPr>
        <w:t>大竹县文星镇神合学校</w:t>
      </w:r>
      <w:r>
        <w:rPr>
          <w:rFonts w:hint="eastAsia" w:ascii="仿宋" w:hAnsi="仿宋" w:eastAsia="仿宋" w:cs="仿宋_GB2312"/>
          <w:sz w:val="32"/>
          <w:szCs w:val="32"/>
        </w:rPr>
        <w:t>2</w:t>
      </w:r>
      <w:r>
        <w:rPr>
          <w:rFonts w:ascii="仿宋" w:hAnsi="仿宋" w:eastAsia="仿宋" w:cs="仿宋_GB2312"/>
          <w:sz w:val="32"/>
          <w:szCs w:val="32"/>
        </w:rPr>
        <w:t>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年度部门决算编制范围的二级预算单位包括：无。</w:t>
      </w:r>
    </w:p>
    <w:p w14:paraId="6589D1F7">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14:paraId="4924BAC1">
      <w:pPr>
        <w:pStyle w:val="3"/>
        <w:ind w:right="440"/>
        <w:jc w:val="center"/>
        <w:rPr>
          <w:rStyle w:val="24"/>
          <w:rFonts w:ascii="黑体" w:hAnsi="黑体" w:eastAsia="黑体"/>
          <w:b w:val="0"/>
          <w:bCs/>
          <w:color w:val="auto"/>
          <w:highlight w:val="none"/>
        </w:rPr>
      </w:pPr>
      <w:bookmarkStart w:id="24" w:name="_Toc15396602"/>
      <w:bookmarkStart w:id="25" w:name="_Toc27219"/>
      <w:bookmarkStart w:id="26" w:name="_Toc22672"/>
      <w:bookmarkStart w:id="2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24"/>
      <w:bookmarkEnd w:id="25"/>
      <w:bookmarkEnd w:id="26"/>
      <w:bookmarkEnd w:id="27"/>
    </w:p>
    <w:p w14:paraId="3DCC4B70">
      <w:pPr>
        <w:rPr>
          <w:color w:val="auto"/>
          <w:highlight w:val="none"/>
        </w:rPr>
      </w:pPr>
    </w:p>
    <w:p w14:paraId="3EBB95DC">
      <w:pPr>
        <w:pStyle w:val="23"/>
        <w:numPr>
          <w:ilvl w:val="0"/>
          <w:numId w:val="2"/>
        </w:numPr>
        <w:spacing w:line="600" w:lineRule="exact"/>
        <w:ind w:firstLineChars="0"/>
        <w:outlineLvl w:val="1"/>
        <w:rPr>
          <w:rStyle w:val="25"/>
          <w:rFonts w:ascii="黑体" w:hAnsi="黑体" w:eastAsia="黑体"/>
          <w:b w:val="0"/>
          <w:color w:val="auto"/>
          <w:highlight w:val="none"/>
        </w:rPr>
      </w:pPr>
      <w:bookmarkStart w:id="28" w:name="_Toc30218"/>
      <w:bookmarkStart w:id="29" w:name="_Toc15396603"/>
      <w:bookmarkStart w:id="30" w:name="_Toc8911"/>
      <w:bookmarkStart w:id="31" w:name="_Toc15377205"/>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28"/>
      <w:bookmarkEnd w:id="29"/>
      <w:bookmarkEnd w:id="30"/>
      <w:bookmarkEnd w:id="31"/>
    </w:p>
    <w:p w14:paraId="4148758F">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605.71</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年相比，收、支总计各减少</w:t>
      </w:r>
      <w:r>
        <w:rPr>
          <w:rFonts w:hint="eastAsia" w:ascii="仿宋" w:hAnsi="仿宋" w:eastAsia="仿宋"/>
          <w:color w:val="auto"/>
          <w:sz w:val="32"/>
          <w:szCs w:val="32"/>
          <w:highlight w:val="none"/>
          <w:lang w:val="en-US" w:eastAsia="zh-CN"/>
        </w:rPr>
        <w:t>43.93</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7.25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000000"/>
          <w:sz w:val="32"/>
          <w:szCs w:val="32"/>
          <w:lang w:val="en-US" w:eastAsia="zh-CN"/>
        </w:rPr>
        <w:t>本年度</w:t>
      </w:r>
      <w:r>
        <w:rPr>
          <w:rFonts w:hint="eastAsia" w:ascii="仿宋" w:hAnsi="仿宋" w:eastAsia="仿宋"/>
          <w:color w:val="auto"/>
          <w:sz w:val="32"/>
          <w:szCs w:val="32"/>
          <w:highlight w:val="none"/>
          <w:lang w:val="en-US" w:eastAsia="zh-CN"/>
        </w:rPr>
        <w:t>人员减少导致收、支减少</w:t>
      </w:r>
      <w:r>
        <w:rPr>
          <w:rFonts w:hint="eastAsia" w:ascii="仿宋" w:hAnsi="仿宋" w:eastAsia="仿宋"/>
          <w:color w:val="auto"/>
          <w:sz w:val="32"/>
          <w:szCs w:val="32"/>
          <w:highlight w:val="none"/>
          <w:lang w:eastAsia="zh-CN"/>
        </w:rPr>
        <w:t>。</w:t>
      </w:r>
    </w:p>
    <w:p w14:paraId="0FCB83F5">
      <w:pPr>
        <w:pStyle w:val="2"/>
        <w:rPr>
          <w:rFonts w:hint="eastAsia" w:ascii="仿宋" w:hAnsi="仿宋" w:eastAsia="仿宋"/>
          <w:color w:val="auto"/>
          <w:sz w:val="32"/>
          <w:szCs w:val="32"/>
          <w:highlight w:val="none"/>
        </w:rPr>
      </w:pPr>
    </w:p>
    <w:p w14:paraId="38591292">
      <w:pPr>
        <w:pStyle w:val="2"/>
        <w:rPr>
          <w:rFonts w:hint="eastAsia" w:ascii="仿宋" w:hAnsi="仿宋" w:eastAsia="仿宋"/>
          <w:color w:val="auto"/>
          <w:sz w:val="32"/>
          <w:szCs w:val="32"/>
          <w:highlight w:val="none"/>
        </w:rPr>
      </w:pPr>
      <w:r>
        <w:drawing>
          <wp:inline distT="0" distB="0" distL="114300" distR="114300">
            <wp:extent cx="4190365" cy="2844800"/>
            <wp:effectExtent l="4445" t="4445" r="8890" b="8255"/>
            <wp:docPr id="103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5BE5E0">
      <w:pPr>
        <w:spacing w:line="600" w:lineRule="exact"/>
        <w:ind w:firstLine="1280" w:firstLineChars="4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14:paraId="3D299DA4">
      <w:pPr>
        <w:spacing w:line="600" w:lineRule="exact"/>
        <w:ind w:firstLine="640" w:firstLineChars="200"/>
        <w:jc w:val="left"/>
        <w:rPr>
          <w:rFonts w:ascii="仿宋_GB2312" w:eastAsia="仿宋_GB2312"/>
          <w:color w:val="auto"/>
          <w:sz w:val="32"/>
          <w:szCs w:val="32"/>
          <w:highlight w:val="none"/>
        </w:rPr>
      </w:pPr>
    </w:p>
    <w:p w14:paraId="091B0D54">
      <w:pPr>
        <w:pStyle w:val="23"/>
        <w:numPr>
          <w:ilvl w:val="0"/>
          <w:numId w:val="2"/>
        </w:numPr>
        <w:spacing w:line="600" w:lineRule="exact"/>
        <w:ind w:firstLineChars="0"/>
        <w:outlineLvl w:val="1"/>
        <w:rPr>
          <w:rStyle w:val="25"/>
          <w:rFonts w:ascii="黑体" w:hAnsi="黑体" w:eastAsia="黑体"/>
          <w:b w:val="0"/>
          <w:color w:val="auto"/>
          <w:highlight w:val="none"/>
        </w:rPr>
      </w:pPr>
      <w:bookmarkStart w:id="32" w:name="_Toc11844"/>
      <w:bookmarkStart w:id="33" w:name="_Toc15396604"/>
      <w:bookmarkStart w:id="34" w:name="_Toc15377206"/>
      <w:bookmarkStart w:id="35" w:name="_Toc15606"/>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32"/>
      <w:bookmarkEnd w:id="33"/>
      <w:bookmarkEnd w:id="34"/>
      <w:bookmarkEnd w:id="35"/>
    </w:p>
    <w:p w14:paraId="77C553BA">
      <w:pPr>
        <w:spacing w:line="600" w:lineRule="exact"/>
        <w:ind w:firstLine="640" w:firstLineChars="200"/>
        <w:outlineLvl w:val="1"/>
        <w:rPr>
          <w:rFonts w:hint="eastAsia" w:ascii="仿宋" w:hAnsi="仿宋" w:eastAsia="仿宋"/>
          <w:color w:val="auto"/>
          <w:sz w:val="32"/>
          <w:szCs w:val="32"/>
          <w:highlight w:val="none"/>
        </w:rPr>
      </w:pPr>
      <w:bookmarkStart w:id="36" w:name="_Toc30551"/>
      <w:bookmarkStart w:id="37" w:name="_Toc25437"/>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540.26</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540.26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6"/>
      <w:bookmarkEnd w:id="37"/>
    </w:p>
    <w:p w14:paraId="5743EFBC">
      <w:pPr>
        <w:spacing w:line="600" w:lineRule="exact"/>
        <w:ind w:firstLine="643" w:firstLineChars="200"/>
        <w:outlineLvl w:val="9"/>
        <w:rPr>
          <w:rFonts w:hint="eastAsia" w:ascii="仿宋" w:hAnsi="仿宋" w:eastAsia="仿宋"/>
          <w:b/>
          <w:color w:val="auto"/>
          <w:sz w:val="32"/>
          <w:szCs w:val="32"/>
          <w:highlight w:val="none"/>
        </w:rPr>
      </w:pPr>
    </w:p>
    <w:p w14:paraId="14E3E526">
      <w:pPr>
        <w:spacing w:line="600" w:lineRule="exact"/>
        <w:ind w:firstLine="643" w:firstLineChars="200"/>
        <w:outlineLvl w:val="9"/>
        <w:rPr>
          <w:rFonts w:hint="eastAsia" w:ascii="仿宋" w:hAnsi="仿宋" w:eastAsia="仿宋"/>
          <w:b/>
          <w:color w:val="auto"/>
          <w:sz w:val="32"/>
          <w:szCs w:val="32"/>
          <w:highlight w:val="none"/>
        </w:rPr>
      </w:pPr>
    </w:p>
    <w:p w14:paraId="4007D66C">
      <w:pPr>
        <w:pStyle w:val="2"/>
        <w:rPr>
          <w:rFonts w:hint="eastAsia" w:ascii="仿宋" w:hAnsi="仿宋" w:eastAsia="仿宋"/>
          <w:b/>
          <w:color w:val="auto"/>
          <w:sz w:val="32"/>
          <w:szCs w:val="32"/>
          <w:highlight w:val="none"/>
        </w:rPr>
      </w:pPr>
      <w:r>
        <w:drawing>
          <wp:inline distT="0" distB="0" distL="114300" distR="114300">
            <wp:extent cx="4191635" cy="2781300"/>
            <wp:effectExtent l="4445" t="4445" r="7620" b="8255"/>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01596E">
      <w:pPr>
        <w:spacing w:line="600" w:lineRule="exact"/>
        <w:ind w:firstLine="1600" w:firstLineChars="5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（图2：收入决算结构图）</w:t>
      </w:r>
    </w:p>
    <w:p w14:paraId="5A9015A7">
      <w:pPr>
        <w:pStyle w:val="2"/>
      </w:pPr>
    </w:p>
    <w:p w14:paraId="463ED66C">
      <w:pPr>
        <w:pStyle w:val="23"/>
        <w:numPr>
          <w:ilvl w:val="0"/>
          <w:numId w:val="2"/>
        </w:numPr>
        <w:spacing w:line="600" w:lineRule="exact"/>
        <w:ind w:firstLineChars="0"/>
        <w:outlineLvl w:val="1"/>
        <w:rPr>
          <w:rStyle w:val="25"/>
          <w:rFonts w:ascii="黑体" w:hAnsi="黑体" w:eastAsia="黑体"/>
          <w:b w:val="0"/>
          <w:color w:val="auto"/>
          <w:highlight w:val="none"/>
        </w:rPr>
      </w:pPr>
      <w:bookmarkStart w:id="38" w:name="_Toc15377207"/>
      <w:bookmarkStart w:id="39" w:name="_Toc15396605"/>
      <w:bookmarkStart w:id="40" w:name="_Toc6934"/>
      <w:bookmarkStart w:id="41" w:name="_Toc4921"/>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38"/>
      <w:bookmarkEnd w:id="39"/>
      <w:bookmarkEnd w:id="40"/>
      <w:bookmarkEnd w:id="41"/>
    </w:p>
    <w:p w14:paraId="6BDB8C66">
      <w:pPr>
        <w:pStyle w:val="2"/>
        <w:ind w:firstLine="640" w:firstLineChars="200"/>
        <w:rPr>
          <w:rFonts w:hint="eastAsia"/>
        </w:rPr>
      </w:pPr>
      <w:bookmarkStart w:id="42" w:name="_Toc13617"/>
      <w:bookmarkStart w:id="43" w:name="_Toc5770"/>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605.71</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536.75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88.62</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68.97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11.38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42"/>
      <w:bookmarkEnd w:id="43"/>
      <w:r>
        <w:drawing>
          <wp:inline distT="0" distB="0" distL="114300" distR="114300">
            <wp:extent cx="4191000" cy="2580640"/>
            <wp:effectExtent l="4445" t="4445" r="8255" b="5715"/>
            <wp:docPr id="103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5A1E2B">
      <w:pPr>
        <w:spacing w:line="600" w:lineRule="exact"/>
        <w:ind w:firstLine="2240" w:firstLineChars="700"/>
        <w:rPr>
          <w:rFonts w:ascii="仿宋_GB2312" w:eastAsia="仿宋_GB2312"/>
          <w:color w:val="auto"/>
          <w:sz w:val="32"/>
          <w:szCs w:val="32"/>
          <w:highlight w:val="none"/>
        </w:rPr>
      </w:pPr>
      <w:r>
        <w:rPr>
          <w:rFonts w:hint="eastAsia" w:ascii="仿宋" w:hAnsi="仿宋" w:eastAsia="仿宋"/>
          <w:color w:val="auto"/>
          <w:sz w:val="32"/>
          <w:szCs w:val="32"/>
          <w:highlight w:val="none"/>
        </w:rPr>
        <w:t>（图3：支出决算结构图）</w:t>
      </w:r>
    </w:p>
    <w:p w14:paraId="0121ADDF">
      <w:pPr>
        <w:spacing w:line="600" w:lineRule="exact"/>
        <w:ind w:firstLine="640" w:firstLineChars="200"/>
        <w:outlineLvl w:val="1"/>
        <w:rPr>
          <w:rStyle w:val="25"/>
          <w:rFonts w:ascii="黑体" w:hAnsi="黑体" w:eastAsia="黑体"/>
          <w:b w:val="0"/>
          <w:color w:val="auto"/>
          <w:highlight w:val="none"/>
        </w:rPr>
      </w:pPr>
      <w:bookmarkStart w:id="44" w:name="_Toc15396606"/>
      <w:bookmarkStart w:id="45" w:name="_Toc10846"/>
      <w:bookmarkStart w:id="46" w:name="_Toc1351"/>
      <w:bookmarkStart w:id="47" w:name="_Toc15377208"/>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44"/>
      <w:bookmarkEnd w:id="45"/>
      <w:bookmarkEnd w:id="46"/>
      <w:bookmarkEnd w:id="47"/>
    </w:p>
    <w:p w14:paraId="7518CDFB">
      <w:pPr>
        <w:spacing w:line="600" w:lineRule="exact"/>
        <w:ind w:firstLine="640" w:firstLineChars="200"/>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605.71</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年相比，财政拨款收、支总计各减少</w:t>
      </w:r>
      <w:r>
        <w:rPr>
          <w:rFonts w:hint="eastAsia" w:ascii="仿宋" w:hAnsi="仿宋" w:eastAsia="仿宋"/>
          <w:color w:val="auto"/>
          <w:sz w:val="32"/>
          <w:szCs w:val="32"/>
          <w:highlight w:val="none"/>
          <w:lang w:val="en-US" w:eastAsia="zh-CN"/>
        </w:rPr>
        <w:t>43.93</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7.25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2022年人员调动，人员减少。</w:t>
      </w:r>
    </w:p>
    <w:p w14:paraId="7B27F921">
      <w:pPr>
        <w:pStyle w:val="2"/>
        <w:rPr>
          <w:rFonts w:hint="eastAsia" w:ascii="仿宋" w:hAnsi="仿宋" w:eastAsia="仿宋"/>
          <w:color w:val="auto"/>
          <w:sz w:val="32"/>
          <w:szCs w:val="32"/>
          <w:highlight w:val="none"/>
          <w:lang w:val="en-US" w:eastAsia="zh-CN"/>
        </w:rPr>
      </w:pPr>
      <w:r>
        <w:rPr>
          <w:rFonts w:hint="eastAsia"/>
          <w:lang w:val="en-US" w:eastAsia="zh-CN"/>
        </w:rPr>
        <w:t xml:space="preserve">   </w:t>
      </w:r>
      <w:r>
        <w:drawing>
          <wp:inline distT="0" distB="0" distL="114300" distR="114300">
            <wp:extent cx="4191635" cy="3215640"/>
            <wp:effectExtent l="4445" t="4445" r="7620" b="5715"/>
            <wp:docPr id="102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3853504">
      <w:pPr>
        <w:spacing w:line="600" w:lineRule="exact"/>
        <w:ind w:firstLine="1280" w:firstLineChars="4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w:t>
      </w:r>
    </w:p>
    <w:p w14:paraId="6EFF0C87">
      <w:pPr>
        <w:spacing w:line="600" w:lineRule="exact"/>
        <w:ind w:firstLine="640"/>
        <w:rPr>
          <w:rFonts w:ascii="仿宋" w:hAnsi="仿宋" w:eastAsia="仿宋"/>
          <w:b/>
          <w:color w:val="auto"/>
          <w:sz w:val="32"/>
          <w:szCs w:val="32"/>
          <w:highlight w:val="none"/>
        </w:rPr>
      </w:pPr>
    </w:p>
    <w:p w14:paraId="517E18D5">
      <w:pPr>
        <w:spacing w:line="600" w:lineRule="exact"/>
        <w:ind w:firstLine="640" w:firstLineChars="200"/>
        <w:outlineLvl w:val="1"/>
        <w:rPr>
          <w:rStyle w:val="25"/>
          <w:rFonts w:ascii="黑体" w:hAnsi="黑体" w:eastAsia="黑体"/>
          <w:b w:val="0"/>
          <w:color w:val="auto"/>
          <w:highlight w:val="none"/>
        </w:rPr>
      </w:pPr>
      <w:bookmarkStart w:id="48" w:name="_Toc15377209"/>
      <w:bookmarkStart w:id="49" w:name="_Toc17865"/>
      <w:bookmarkStart w:id="50" w:name="_Toc31480"/>
      <w:bookmarkStart w:id="51"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48"/>
      <w:bookmarkEnd w:id="49"/>
      <w:bookmarkEnd w:id="50"/>
      <w:bookmarkEnd w:id="51"/>
    </w:p>
    <w:p w14:paraId="7B12ABFA">
      <w:pPr>
        <w:spacing w:line="600" w:lineRule="exact"/>
        <w:ind w:firstLine="643" w:firstLineChars="200"/>
        <w:outlineLvl w:val="2"/>
        <w:rPr>
          <w:rFonts w:ascii="仿宋" w:hAnsi="仿宋" w:eastAsia="仿宋"/>
          <w:b/>
          <w:color w:val="auto"/>
          <w:sz w:val="32"/>
          <w:szCs w:val="32"/>
          <w:highlight w:val="none"/>
        </w:rPr>
      </w:pPr>
      <w:bookmarkStart w:id="52" w:name="_Toc25752"/>
      <w:bookmarkStart w:id="53" w:name="_Toc7720"/>
      <w:bookmarkStart w:id="54" w:name="_Toc15377210"/>
      <w:r>
        <w:rPr>
          <w:rFonts w:hint="eastAsia" w:ascii="仿宋" w:hAnsi="仿宋" w:eastAsia="仿宋"/>
          <w:b/>
          <w:color w:val="auto"/>
          <w:sz w:val="32"/>
          <w:szCs w:val="32"/>
          <w:highlight w:val="none"/>
        </w:rPr>
        <w:t>（一）一般公共预算财政拨款支出决算总体情况</w:t>
      </w:r>
      <w:bookmarkEnd w:id="52"/>
      <w:bookmarkEnd w:id="53"/>
      <w:bookmarkEnd w:id="54"/>
    </w:p>
    <w:p w14:paraId="4CCBDD8E">
      <w:pPr>
        <w:spacing w:line="600" w:lineRule="exact"/>
        <w:ind w:firstLine="640" w:firstLineChars="200"/>
        <w:rPr>
          <w:rFonts w:hint="eastAsia" w:ascii="仿宋" w:hAnsi="仿宋" w:eastAsia="仿宋"/>
          <w:color w:val="FF0000"/>
          <w:sz w:val="32"/>
          <w:szCs w:val="32"/>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605.71</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24.41</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4.03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000000"/>
          <w:sz w:val="32"/>
          <w:szCs w:val="32"/>
          <w:lang w:val="en-US" w:eastAsia="zh-CN"/>
        </w:rPr>
        <w:t>本年度单位人数减少</w:t>
      </w:r>
      <w:r>
        <w:rPr>
          <w:rFonts w:hint="eastAsia" w:ascii="仿宋" w:hAnsi="仿宋" w:eastAsia="仿宋"/>
          <w:color w:val="000000"/>
          <w:sz w:val="32"/>
          <w:szCs w:val="32"/>
        </w:rPr>
        <w:t>。</w:t>
      </w:r>
    </w:p>
    <w:p w14:paraId="76B6BE58">
      <w:pPr>
        <w:spacing w:line="600" w:lineRule="exact"/>
        <w:ind w:firstLine="640" w:firstLineChars="200"/>
        <w:rPr>
          <w:rFonts w:hint="eastAsia" w:ascii="仿宋" w:hAnsi="仿宋" w:eastAsia="仿宋"/>
          <w:color w:val="auto"/>
          <w:sz w:val="32"/>
          <w:szCs w:val="32"/>
          <w:highlight w:val="none"/>
        </w:rPr>
      </w:pPr>
    </w:p>
    <w:p w14:paraId="58EF0DD8">
      <w:pPr>
        <w:pStyle w:val="2"/>
        <w:rPr>
          <w:rFonts w:hint="eastAsia" w:ascii="仿宋" w:hAnsi="仿宋" w:eastAsia="仿宋"/>
          <w:color w:val="auto"/>
          <w:sz w:val="32"/>
          <w:szCs w:val="32"/>
          <w:highlight w:val="none"/>
        </w:rPr>
      </w:pPr>
      <w:r>
        <w:drawing>
          <wp:inline distT="0" distB="0" distL="114300" distR="114300">
            <wp:extent cx="4190365" cy="2844800"/>
            <wp:effectExtent l="4445" t="4445" r="8890" b="8255"/>
            <wp:docPr id="104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DACED06">
      <w:pPr>
        <w:spacing w:line="600" w:lineRule="exact"/>
        <w:ind w:firstLine="320" w:firstLineChars="100"/>
        <w:rPr>
          <w:rFonts w:hint="eastAsia" w:ascii="仿宋" w:hAnsi="仿宋" w:eastAsia="仿宋"/>
          <w:b/>
          <w:color w:val="auto"/>
          <w:sz w:val="32"/>
          <w:szCs w:val="32"/>
          <w:highlight w:val="none"/>
        </w:rPr>
      </w:pPr>
      <w:r>
        <w:rPr>
          <w:rFonts w:hint="eastAsia" w:ascii="仿宋" w:hAnsi="仿宋" w:eastAsia="仿宋"/>
          <w:color w:val="auto"/>
          <w:sz w:val="32"/>
          <w:szCs w:val="32"/>
          <w:highlight w:val="none"/>
        </w:rPr>
        <w:t>（图5：一般公共预算财政拨款支出决算变动情况）</w:t>
      </w:r>
      <w:bookmarkStart w:id="55" w:name="_Toc15377211"/>
    </w:p>
    <w:p w14:paraId="17EFA2DE">
      <w:pPr>
        <w:spacing w:line="600" w:lineRule="exact"/>
        <w:ind w:firstLine="643" w:firstLineChars="200"/>
        <w:outlineLvl w:val="2"/>
        <w:rPr>
          <w:rFonts w:ascii="仿宋" w:hAnsi="仿宋" w:eastAsia="仿宋"/>
          <w:b/>
          <w:color w:val="auto"/>
          <w:sz w:val="32"/>
          <w:szCs w:val="32"/>
          <w:highlight w:val="none"/>
        </w:rPr>
      </w:pPr>
      <w:bookmarkStart w:id="56" w:name="_Toc22093"/>
      <w:bookmarkStart w:id="57" w:name="_Toc732"/>
      <w:r>
        <w:rPr>
          <w:rFonts w:hint="eastAsia" w:ascii="仿宋" w:hAnsi="仿宋" w:eastAsia="仿宋"/>
          <w:b/>
          <w:color w:val="auto"/>
          <w:sz w:val="32"/>
          <w:szCs w:val="32"/>
          <w:highlight w:val="none"/>
        </w:rPr>
        <w:t>（二）一般公共预算财政拨款支出决算结构情况</w:t>
      </w:r>
      <w:bookmarkEnd w:id="55"/>
      <w:bookmarkEnd w:id="56"/>
      <w:bookmarkEnd w:id="57"/>
    </w:p>
    <w:p w14:paraId="4092A896">
      <w:pPr>
        <w:spacing w:line="600" w:lineRule="exact"/>
        <w:ind w:firstLine="640"/>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605.71</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color w:val="auto"/>
          <w:sz w:val="32"/>
          <w:szCs w:val="32"/>
          <w:highlight w:val="none"/>
        </w:rPr>
        <w:t>教育支出</w:t>
      </w:r>
      <w:r>
        <w:rPr>
          <w:rFonts w:hint="eastAsia" w:ascii="仿宋" w:hAnsi="仿宋" w:eastAsia="仿宋"/>
          <w:color w:val="auto"/>
          <w:sz w:val="32"/>
          <w:szCs w:val="32"/>
          <w:highlight w:val="none"/>
          <w:lang w:val="en-US" w:eastAsia="zh-CN"/>
        </w:rPr>
        <w:t>474.09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87.75</w:t>
      </w:r>
      <w:r>
        <w:rPr>
          <w:rFonts w:hint="eastAsia" w:ascii="仿宋" w:hAnsi="仿宋" w:eastAsia="仿宋"/>
          <w:color w:val="auto"/>
          <w:sz w:val="32"/>
          <w:szCs w:val="32"/>
          <w:highlight w:val="none"/>
        </w:rPr>
        <w:t>%；社会保障和就业支出</w:t>
      </w:r>
      <w:r>
        <w:rPr>
          <w:rFonts w:hint="eastAsia" w:ascii="仿宋" w:hAnsi="仿宋" w:eastAsia="仿宋"/>
          <w:color w:val="auto"/>
          <w:sz w:val="32"/>
          <w:szCs w:val="32"/>
          <w:highlight w:val="none"/>
          <w:lang w:val="en-US" w:eastAsia="zh-CN"/>
        </w:rPr>
        <w:t>96.12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17.79</w:t>
      </w:r>
      <w:r>
        <w:rPr>
          <w:rFonts w:hint="eastAsia" w:ascii="仿宋" w:hAnsi="仿宋" w:eastAsia="仿宋"/>
          <w:color w:val="auto"/>
          <w:sz w:val="32"/>
          <w:szCs w:val="32"/>
          <w:highlight w:val="none"/>
        </w:rPr>
        <w:t>%；卫生健康支出</w:t>
      </w:r>
      <w:r>
        <w:rPr>
          <w:rFonts w:hint="eastAsia" w:ascii="仿宋" w:hAnsi="仿宋" w:eastAsia="仿宋"/>
          <w:color w:val="auto"/>
          <w:sz w:val="32"/>
          <w:szCs w:val="32"/>
          <w:highlight w:val="none"/>
          <w:lang w:val="en-US" w:eastAsia="zh-CN"/>
        </w:rPr>
        <w:t>12.29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2.27</w:t>
      </w:r>
      <w:r>
        <w:rPr>
          <w:rFonts w:hint="eastAsia" w:ascii="仿宋" w:hAnsi="仿宋" w:eastAsia="仿宋"/>
          <w:color w:val="auto"/>
          <w:sz w:val="32"/>
          <w:szCs w:val="32"/>
          <w:highlight w:val="none"/>
        </w:rPr>
        <w:t>%；住房保障支出</w:t>
      </w:r>
      <w:r>
        <w:rPr>
          <w:rFonts w:hint="eastAsia" w:ascii="仿宋" w:hAnsi="仿宋" w:eastAsia="仿宋"/>
          <w:color w:val="auto"/>
          <w:sz w:val="32"/>
          <w:szCs w:val="32"/>
          <w:highlight w:val="none"/>
          <w:lang w:val="en-US" w:eastAsia="zh-CN"/>
        </w:rPr>
        <w:t>23.21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4.3</w:t>
      </w:r>
      <w:r>
        <w:rPr>
          <w:rFonts w:hint="eastAsia" w:ascii="仿宋" w:hAnsi="仿宋" w:eastAsia="仿宋"/>
          <w:color w:val="auto"/>
          <w:sz w:val="32"/>
          <w:szCs w:val="32"/>
          <w:highlight w:val="none"/>
        </w:rPr>
        <w:t>%。</w:t>
      </w:r>
    </w:p>
    <w:p w14:paraId="32799B36">
      <w:pPr>
        <w:pStyle w:val="2"/>
        <w:rPr>
          <w:rFonts w:ascii="仿宋" w:hAnsi="仿宋" w:eastAsia="仿宋"/>
          <w:color w:val="auto"/>
          <w:sz w:val="32"/>
          <w:szCs w:val="32"/>
          <w:highlight w:val="none"/>
        </w:rPr>
      </w:pPr>
      <w:r>
        <w:drawing>
          <wp:inline distT="0" distB="0" distL="114300" distR="114300">
            <wp:extent cx="4191635" cy="2844800"/>
            <wp:effectExtent l="4445" t="4445" r="7620" b="8255"/>
            <wp:docPr id="104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1F6842D">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14:paraId="45E02AEA">
      <w:pPr>
        <w:spacing w:line="600" w:lineRule="exact"/>
        <w:ind w:firstLine="643" w:firstLineChars="200"/>
        <w:outlineLvl w:val="2"/>
        <w:rPr>
          <w:rFonts w:ascii="仿宋" w:hAnsi="仿宋" w:eastAsia="仿宋"/>
          <w:b/>
          <w:color w:val="auto"/>
          <w:sz w:val="32"/>
          <w:szCs w:val="32"/>
          <w:highlight w:val="none"/>
        </w:rPr>
      </w:pPr>
      <w:bookmarkStart w:id="58" w:name="_Toc15377212"/>
      <w:bookmarkStart w:id="59" w:name="_Toc572"/>
      <w:bookmarkStart w:id="60" w:name="_Toc2401"/>
      <w:r>
        <w:rPr>
          <w:rFonts w:hint="eastAsia" w:ascii="仿宋" w:hAnsi="仿宋" w:eastAsia="仿宋"/>
          <w:b/>
          <w:color w:val="auto"/>
          <w:sz w:val="32"/>
          <w:szCs w:val="32"/>
          <w:highlight w:val="none"/>
        </w:rPr>
        <w:t>（三）一般公共预算财政拨款支出决算具体情况</w:t>
      </w:r>
      <w:bookmarkEnd w:id="58"/>
      <w:bookmarkEnd w:id="59"/>
      <w:bookmarkEnd w:id="60"/>
    </w:p>
    <w:p w14:paraId="601B79E0">
      <w:pPr>
        <w:spacing w:line="600" w:lineRule="exact"/>
        <w:ind w:firstLine="640" w:firstLineChars="200"/>
        <w:outlineLvl w:val="1"/>
        <w:rPr>
          <w:rFonts w:ascii="仿宋" w:hAnsi="仿宋" w:eastAsia="仿宋"/>
          <w:color w:val="auto"/>
          <w:sz w:val="32"/>
          <w:szCs w:val="32"/>
          <w:highlight w:val="none"/>
        </w:rPr>
      </w:pPr>
      <w:bookmarkStart w:id="61" w:name="_Toc23482"/>
      <w:bookmarkStart w:id="62" w:name="_Toc15377444"/>
      <w:bookmarkStart w:id="63" w:name="_Toc22228"/>
      <w:bookmarkStart w:id="64" w:name="_Toc15377213"/>
      <w:bookmarkStart w:id="65" w:name="_Toc15378460"/>
      <w:r>
        <w:rPr>
          <w:rStyle w:val="14"/>
          <w:rFonts w:hint="eastAsia" w:ascii="仿宋" w:hAnsi="仿宋" w:eastAsia="仿宋"/>
          <w:b w:val="0"/>
          <w:bCs w:val="0"/>
          <w:color w:val="auto"/>
          <w:sz w:val="32"/>
          <w:szCs w:val="32"/>
        </w:rPr>
        <w:t>20</w:t>
      </w:r>
      <w:r>
        <w:rPr>
          <w:rStyle w:val="14"/>
          <w:rFonts w:hint="eastAsia" w:ascii="仿宋" w:hAnsi="仿宋" w:eastAsia="仿宋"/>
          <w:b w:val="0"/>
          <w:bCs w:val="0"/>
          <w:color w:val="auto"/>
          <w:sz w:val="32"/>
          <w:szCs w:val="32"/>
          <w:lang w:val="en-US" w:eastAsia="zh-CN"/>
        </w:rPr>
        <w:t>23</w:t>
      </w:r>
      <w:r>
        <w:rPr>
          <w:rStyle w:val="14"/>
          <w:rFonts w:hint="eastAsia" w:ascii="仿宋" w:hAnsi="仿宋" w:eastAsia="仿宋"/>
          <w:b w:val="0"/>
          <w:bCs w:val="0"/>
          <w:color w:val="auto"/>
          <w:sz w:val="32"/>
          <w:szCs w:val="32"/>
        </w:rPr>
        <w:t>年</w:t>
      </w:r>
      <w:r>
        <w:rPr>
          <w:rStyle w:val="14"/>
          <w:rFonts w:hint="eastAsia" w:ascii="仿宋" w:hAnsi="仿宋" w:eastAsia="仿宋"/>
          <w:b w:val="0"/>
          <w:bCs w:val="0"/>
          <w:color w:val="auto"/>
          <w:sz w:val="32"/>
          <w:szCs w:val="32"/>
          <w:lang w:eastAsia="zh-CN"/>
        </w:rPr>
        <w:t>一</w:t>
      </w:r>
      <w:r>
        <w:rPr>
          <w:rStyle w:val="14"/>
          <w:rFonts w:hint="eastAsia" w:ascii="仿宋" w:hAnsi="仿宋" w:eastAsia="仿宋"/>
          <w:b w:val="0"/>
          <w:bCs w:val="0"/>
          <w:color w:val="auto"/>
          <w:sz w:val="32"/>
          <w:szCs w:val="32"/>
        </w:rPr>
        <w:t>般公共预算支出决算数为</w:t>
      </w:r>
      <w:r>
        <w:rPr>
          <w:rFonts w:hint="eastAsia" w:ascii="仿宋" w:hAnsi="仿宋" w:eastAsia="仿宋"/>
          <w:b/>
          <w:color w:val="auto"/>
          <w:sz w:val="32"/>
          <w:szCs w:val="32"/>
          <w:highlight w:val="none"/>
          <w:lang w:val="en-US" w:eastAsia="zh-CN"/>
        </w:rPr>
        <w:t>540.26</w:t>
      </w:r>
      <w:r>
        <w:rPr>
          <w:rStyle w:val="14"/>
          <w:rFonts w:hint="eastAsia" w:ascii="仿宋" w:hAnsi="仿宋" w:eastAsia="仿宋"/>
          <w:b w:val="0"/>
          <w:bCs w:val="0"/>
          <w:color w:val="auto"/>
          <w:sz w:val="32"/>
          <w:szCs w:val="32"/>
          <w:lang w:val="en-US" w:eastAsia="zh-CN"/>
        </w:rPr>
        <w:t>万元</w:t>
      </w:r>
      <w:r>
        <w:rPr>
          <w:rStyle w:val="14"/>
          <w:rFonts w:hint="eastAsia" w:ascii="仿宋" w:hAnsi="仿宋" w:eastAsia="仿宋"/>
          <w:b w:val="0"/>
          <w:bCs w:val="0"/>
          <w:color w:val="auto"/>
          <w:sz w:val="32"/>
          <w:szCs w:val="32"/>
        </w:rPr>
        <w:t>，完成预算</w:t>
      </w:r>
      <w:r>
        <w:rPr>
          <w:rStyle w:val="14"/>
          <w:rFonts w:hint="eastAsia" w:ascii="仿宋" w:hAnsi="仿宋" w:eastAsia="仿宋"/>
          <w:b w:val="0"/>
          <w:bCs w:val="0"/>
          <w:color w:val="auto"/>
          <w:sz w:val="32"/>
          <w:szCs w:val="32"/>
          <w:lang w:val="en-US" w:eastAsia="zh-CN"/>
        </w:rPr>
        <w:t>100</w:t>
      </w:r>
      <w:r>
        <w:rPr>
          <w:rStyle w:val="14"/>
          <w:rFonts w:hint="eastAsia" w:ascii="仿宋" w:hAnsi="仿宋" w:eastAsia="仿宋"/>
          <w:b w:val="0"/>
          <w:bCs w:val="0"/>
          <w:color w:val="auto"/>
          <w:sz w:val="32"/>
          <w:szCs w:val="32"/>
        </w:rPr>
        <w:t>%。</w:t>
      </w:r>
      <w:r>
        <w:rPr>
          <w:rStyle w:val="14"/>
          <w:rFonts w:hint="eastAsia" w:ascii="仿宋" w:hAnsi="仿宋" w:eastAsia="仿宋"/>
          <w:bCs/>
          <w:color w:val="auto"/>
          <w:sz w:val="32"/>
          <w:szCs w:val="32"/>
          <w:highlight w:val="none"/>
        </w:rPr>
        <w:t>其中：</w:t>
      </w:r>
      <w:bookmarkEnd w:id="61"/>
      <w:bookmarkEnd w:id="62"/>
      <w:bookmarkEnd w:id="63"/>
      <w:bookmarkEnd w:id="64"/>
      <w:bookmarkEnd w:id="65"/>
    </w:p>
    <w:p w14:paraId="349C6A69">
      <w:pPr>
        <w:spacing w:line="600" w:lineRule="exact"/>
        <w:ind w:firstLine="640" w:firstLineChars="200"/>
        <w:rPr>
          <w:rStyle w:val="14"/>
          <w:rFonts w:hint="eastAsia" w:ascii="仿宋" w:hAnsi="仿宋" w:eastAsia="仿宋"/>
          <w:b w:val="0"/>
          <w:bCs w:val="0"/>
          <w:color w:val="auto"/>
          <w:sz w:val="32"/>
          <w:szCs w:val="32"/>
        </w:rPr>
      </w:pPr>
      <w:bookmarkStart w:id="66" w:name="_Toc15396608"/>
      <w:bookmarkStart w:id="67" w:name="_Toc15377214"/>
      <w:r>
        <w:rPr>
          <w:rStyle w:val="14"/>
          <w:rFonts w:ascii="仿宋" w:hAnsi="仿宋" w:eastAsia="仿宋"/>
          <w:b w:val="0"/>
          <w:bCs w:val="0"/>
          <w:color w:val="auto"/>
          <w:sz w:val="32"/>
          <w:szCs w:val="32"/>
        </w:rPr>
        <w:t>1.</w:t>
      </w:r>
      <w:r>
        <w:rPr>
          <w:rStyle w:val="14"/>
          <w:rFonts w:hint="eastAsia" w:ascii="仿宋" w:hAnsi="仿宋" w:eastAsia="仿宋"/>
          <w:b w:val="0"/>
          <w:bCs w:val="0"/>
          <w:color w:val="auto"/>
          <w:sz w:val="32"/>
          <w:szCs w:val="32"/>
        </w:rPr>
        <w:t>教育（205）基础教育（02）</w:t>
      </w:r>
      <w:r>
        <w:rPr>
          <w:rStyle w:val="14"/>
          <w:rFonts w:hint="eastAsia" w:ascii="仿宋" w:hAnsi="仿宋" w:eastAsia="仿宋"/>
          <w:b w:val="0"/>
          <w:bCs w:val="0"/>
          <w:color w:val="auto"/>
          <w:sz w:val="32"/>
          <w:szCs w:val="32"/>
          <w:lang w:val="en-US" w:eastAsia="zh-CN"/>
        </w:rPr>
        <w:t>学前</w:t>
      </w:r>
      <w:r>
        <w:rPr>
          <w:rStyle w:val="14"/>
          <w:rFonts w:hint="eastAsia" w:ascii="仿宋" w:hAnsi="仿宋" w:eastAsia="仿宋"/>
          <w:b w:val="0"/>
          <w:bCs w:val="0"/>
          <w:color w:val="auto"/>
          <w:sz w:val="32"/>
          <w:szCs w:val="32"/>
        </w:rPr>
        <w:t>教育（0</w:t>
      </w:r>
      <w:r>
        <w:rPr>
          <w:rStyle w:val="14"/>
          <w:rFonts w:hint="eastAsia" w:ascii="仿宋" w:hAnsi="仿宋" w:eastAsia="仿宋"/>
          <w:b w:val="0"/>
          <w:bCs w:val="0"/>
          <w:color w:val="auto"/>
          <w:sz w:val="32"/>
          <w:szCs w:val="32"/>
          <w:lang w:val="en-US" w:eastAsia="zh-CN"/>
        </w:rPr>
        <w:t>1</w:t>
      </w:r>
      <w:r>
        <w:rPr>
          <w:rStyle w:val="14"/>
          <w:rFonts w:hint="eastAsia" w:ascii="仿宋" w:hAnsi="仿宋" w:eastAsia="仿宋"/>
          <w:b w:val="0"/>
          <w:bCs w:val="0"/>
          <w:color w:val="auto"/>
          <w:sz w:val="32"/>
          <w:szCs w:val="32"/>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5.15</w:t>
      </w:r>
      <w:r>
        <w:rPr>
          <w:rStyle w:val="14"/>
          <w:rFonts w:hint="eastAsia" w:ascii="仿宋" w:hAnsi="仿宋" w:eastAsia="仿宋"/>
          <w:b w:val="0"/>
          <w:bCs w:val="0"/>
          <w:color w:val="auto"/>
          <w:sz w:val="32"/>
          <w:szCs w:val="32"/>
        </w:rPr>
        <w:t>万元，完成预算100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71ECF95D">
      <w:pPr>
        <w:spacing w:line="600" w:lineRule="exact"/>
        <w:ind w:firstLine="640" w:firstLineChars="200"/>
        <w:rPr>
          <w:rStyle w:val="14"/>
          <w:rFonts w:hint="eastAsia" w:ascii="仿宋" w:hAnsi="仿宋" w:eastAsia="仿宋"/>
          <w:b w:val="0"/>
          <w:bCs w:val="0"/>
          <w:color w:val="auto"/>
          <w:sz w:val="32"/>
          <w:szCs w:val="32"/>
        </w:rPr>
      </w:pPr>
      <w:r>
        <w:rPr>
          <w:rStyle w:val="14"/>
          <w:rFonts w:hint="eastAsia" w:ascii="仿宋" w:hAnsi="仿宋" w:eastAsia="仿宋"/>
          <w:b w:val="0"/>
          <w:bCs w:val="0"/>
          <w:color w:val="auto"/>
          <w:sz w:val="32"/>
          <w:szCs w:val="32"/>
          <w:lang w:val="en-US" w:eastAsia="zh-CN"/>
        </w:rPr>
        <w:t>2.</w:t>
      </w:r>
      <w:r>
        <w:rPr>
          <w:rStyle w:val="14"/>
          <w:rFonts w:hint="eastAsia" w:ascii="仿宋" w:hAnsi="仿宋" w:eastAsia="仿宋"/>
          <w:b w:val="0"/>
          <w:bCs w:val="0"/>
          <w:color w:val="auto"/>
          <w:sz w:val="32"/>
          <w:szCs w:val="32"/>
        </w:rPr>
        <w:t>教育（205）基础教育（02）</w:t>
      </w:r>
      <w:r>
        <w:rPr>
          <w:rStyle w:val="14"/>
          <w:rFonts w:hint="eastAsia" w:ascii="仿宋" w:hAnsi="仿宋" w:eastAsia="仿宋"/>
          <w:b w:val="0"/>
          <w:bCs w:val="0"/>
          <w:color w:val="auto"/>
          <w:sz w:val="32"/>
          <w:szCs w:val="32"/>
          <w:lang w:val="en-US" w:eastAsia="zh-CN"/>
        </w:rPr>
        <w:t>小学</w:t>
      </w:r>
      <w:r>
        <w:rPr>
          <w:rStyle w:val="14"/>
          <w:rFonts w:hint="eastAsia" w:ascii="仿宋" w:hAnsi="仿宋" w:eastAsia="仿宋"/>
          <w:b w:val="0"/>
          <w:bCs w:val="0"/>
          <w:color w:val="auto"/>
          <w:sz w:val="32"/>
          <w:szCs w:val="32"/>
        </w:rPr>
        <w:t>教育（0</w:t>
      </w:r>
      <w:r>
        <w:rPr>
          <w:rStyle w:val="14"/>
          <w:rFonts w:hint="eastAsia" w:ascii="仿宋" w:hAnsi="仿宋" w:eastAsia="仿宋"/>
          <w:b w:val="0"/>
          <w:bCs w:val="0"/>
          <w:color w:val="auto"/>
          <w:sz w:val="32"/>
          <w:szCs w:val="32"/>
          <w:lang w:val="en-US" w:eastAsia="zh-CN"/>
        </w:rPr>
        <w:t>2</w:t>
      </w:r>
      <w:r>
        <w:rPr>
          <w:rStyle w:val="14"/>
          <w:rFonts w:hint="eastAsia" w:ascii="仿宋" w:hAnsi="仿宋" w:eastAsia="仿宋"/>
          <w:b w:val="0"/>
          <w:bCs w:val="0"/>
          <w:color w:val="auto"/>
          <w:sz w:val="32"/>
          <w:szCs w:val="32"/>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115.33</w:t>
      </w:r>
      <w:r>
        <w:rPr>
          <w:rStyle w:val="14"/>
          <w:rFonts w:hint="eastAsia" w:ascii="仿宋" w:hAnsi="仿宋" w:eastAsia="仿宋"/>
          <w:b w:val="0"/>
          <w:bCs w:val="0"/>
          <w:color w:val="auto"/>
          <w:sz w:val="32"/>
          <w:szCs w:val="32"/>
        </w:rPr>
        <w:t>万元，完成预算100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4347458F">
      <w:pPr>
        <w:pStyle w:val="2"/>
        <w:ind w:firstLine="640" w:firstLineChars="200"/>
        <w:rPr>
          <w:rStyle w:val="14"/>
          <w:rFonts w:hint="eastAsia" w:ascii="仿宋" w:hAnsi="仿宋" w:eastAsia="仿宋"/>
          <w:b w:val="0"/>
          <w:bCs w:val="0"/>
          <w:color w:val="auto"/>
          <w:sz w:val="32"/>
          <w:szCs w:val="32"/>
        </w:rPr>
      </w:pPr>
      <w:r>
        <w:rPr>
          <w:rStyle w:val="14"/>
          <w:rFonts w:hint="eastAsia" w:ascii="仿宋" w:hAnsi="仿宋" w:eastAsia="仿宋"/>
          <w:b w:val="0"/>
          <w:bCs w:val="0"/>
          <w:color w:val="auto"/>
          <w:sz w:val="32"/>
          <w:szCs w:val="32"/>
          <w:lang w:val="en-US" w:eastAsia="zh-CN"/>
        </w:rPr>
        <w:t>3.</w:t>
      </w:r>
      <w:r>
        <w:rPr>
          <w:rStyle w:val="14"/>
          <w:rFonts w:hint="eastAsia" w:ascii="仿宋" w:hAnsi="仿宋" w:eastAsia="仿宋"/>
          <w:b w:val="0"/>
          <w:bCs w:val="0"/>
          <w:color w:val="auto"/>
          <w:sz w:val="32"/>
          <w:szCs w:val="32"/>
        </w:rPr>
        <w:t>教育（205）基础教育（0</w:t>
      </w:r>
      <w:r>
        <w:rPr>
          <w:rStyle w:val="14"/>
          <w:rFonts w:hint="eastAsia" w:ascii="仿宋" w:hAnsi="仿宋" w:eastAsia="仿宋"/>
          <w:b w:val="0"/>
          <w:bCs w:val="0"/>
          <w:color w:val="auto"/>
          <w:sz w:val="32"/>
          <w:szCs w:val="32"/>
          <w:lang w:val="en-US" w:eastAsia="zh-CN"/>
        </w:rPr>
        <w:t>3</w:t>
      </w:r>
      <w:r>
        <w:rPr>
          <w:rStyle w:val="14"/>
          <w:rFonts w:hint="eastAsia" w:ascii="仿宋" w:hAnsi="仿宋" w:eastAsia="仿宋"/>
          <w:b w:val="0"/>
          <w:bCs w:val="0"/>
          <w:color w:val="auto"/>
          <w:sz w:val="32"/>
          <w:szCs w:val="32"/>
        </w:rPr>
        <w:t>）</w:t>
      </w:r>
      <w:r>
        <w:rPr>
          <w:rStyle w:val="14"/>
          <w:rFonts w:hint="eastAsia" w:ascii="仿宋" w:hAnsi="仿宋" w:eastAsia="仿宋"/>
          <w:b w:val="0"/>
          <w:bCs w:val="0"/>
          <w:color w:val="auto"/>
          <w:sz w:val="32"/>
          <w:szCs w:val="32"/>
          <w:lang w:val="en-US" w:eastAsia="zh-CN"/>
        </w:rPr>
        <w:t>初中</w:t>
      </w:r>
      <w:r>
        <w:rPr>
          <w:rStyle w:val="14"/>
          <w:rFonts w:hint="eastAsia" w:ascii="仿宋" w:hAnsi="仿宋" w:eastAsia="仿宋"/>
          <w:b w:val="0"/>
          <w:bCs w:val="0"/>
          <w:color w:val="auto"/>
          <w:sz w:val="32"/>
          <w:szCs w:val="32"/>
        </w:rPr>
        <w:t>教育（0</w:t>
      </w:r>
      <w:r>
        <w:rPr>
          <w:rStyle w:val="14"/>
          <w:rFonts w:hint="eastAsia" w:ascii="仿宋" w:hAnsi="仿宋" w:eastAsia="仿宋"/>
          <w:b w:val="0"/>
          <w:bCs w:val="0"/>
          <w:color w:val="auto"/>
          <w:sz w:val="32"/>
          <w:szCs w:val="32"/>
          <w:lang w:val="en-US" w:eastAsia="zh-CN"/>
        </w:rPr>
        <w:t>3</w:t>
      </w:r>
      <w:r>
        <w:rPr>
          <w:rStyle w:val="14"/>
          <w:rFonts w:hint="eastAsia" w:ascii="仿宋" w:hAnsi="仿宋" w:eastAsia="仿宋"/>
          <w:b w:val="0"/>
          <w:bCs w:val="0"/>
          <w:color w:val="auto"/>
          <w:sz w:val="32"/>
          <w:szCs w:val="32"/>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304.36</w:t>
      </w:r>
      <w:r>
        <w:rPr>
          <w:rStyle w:val="14"/>
          <w:rFonts w:hint="eastAsia" w:ascii="仿宋" w:hAnsi="仿宋" w:eastAsia="仿宋"/>
          <w:b w:val="0"/>
          <w:bCs w:val="0"/>
          <w:color w:val="auto"/>
          <w:sz w:val="32"/>
          <w:szCs w:val="32"/>
        </w:rPr>
        <w:t>万元，完成预算100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56AC6B68">
      <w:pPr>
        <w:pStyle w:val="2"/>
        <w:ind w:firstLine="640" w:firstLineChars="200"/>
        <w:rPr>
          <w:rStyle w:val="14"/>
          <w:rFonts w:hint="default" w:ascii="仿宋" w:hAnsi="仿宋" w:eastAsia="仿宋"/>
          <w:b w:val="0"/>
          <w:bCs w:val="0"/>
          <w:color w:val="auto"/>
          <w:sz w:val="32"/>
          <w:szCs w:val="32"/>
          <w:lang w:val="en-US" w:eastAsia="zh-CN"/>
        </w:rPr>
      </w:pPr>
      <w:r>
        <w:rPr>
          <w:rStyle w:val="14"/>
          <w:rFonts w:hint="eastAsia" w:ascii="仿宋" w:hAnsi="仿宋" w:eastAsia="仿宋"/>
          <w:b w:val="0"/>
          <w:bCs w:val="0"/>
          <w:color w:val="auto"/>
          <w:sz w:val="32"/>
          <w:szCs w:val="32"/>
          <w:lang w:val="en-US" w:eastAsia="zh-CN"/>
        </w:rPr>
        <w:t>4、教育（205）基础教育（09）教育费附加安排（99）：支出决算为49.26万元，</w:t>
      </w:r>
      <w:r>
        <w:rPr>
          <w:rStyle w:val="14"/>
          <w:rFonts w:hint="eastAsia" w:ascii="仿宋" w:hAnsi="仿宋" w:eastAsia="仿宋"/>
          <w:b w:val="0"/>
          <w:bCs w:val="0"/>
          <w:color w:val="auto"/>
          <w:sz w:val="32"/>
          <w:szCs w:val="32"/>
        </w:rPr>
        <w:t>完成预算100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5495E57E">
      <w:pPr>
        <w:spacing w:line="600" w:lineRule="exact"/>
        <w:ind w:firstLine="640" w:firstLineChars="200"/>
        <w:rPr>
          <w:rStyle w:val="14"/>
          <w:rFonts w:hint="eastAsia" w:ascii="仿宋" w:hAnsi="仿宋" w:eastAsia="仿宋"/>
          <w:b w:val="0"/>
          <w:bCs w:val="0"/>
          <w:color w:val="auto"/>
          <w:sz w:val="32"/>
          <w:szCs w:val="32"/>
        </w:rPr>
      </w:pPr>
      <w:r>
        <w:rPr>
          <w:rStyle w:val="14"/>
          <w:rFonts w:hint="eastAsia" w:ascii="仿宋" w:hAnsi="仿宋" w:eastAsia="仿宋"/>
          <w:b w:val="0"/>
          <w:bCs w:val="0"/>
          <w:color w:val="auto"/>
          <w:sz w:val="32"/>
          <w:szCs w:val="32"/>
          <w:lang w:val="en-US" w:eastAsia="zh-CN"/>
        </w:rPr>
        <w:t>5</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社会保障和就业（208）行政事业单位</w:t>
      </w:r>
      <w:r>
        <w:rPr>
          <w:rStyle w:val="14"/>
          <w:rFonts w:hint="eastAsia" w:ascii="仿宋" w:hAnsi="仿宋" w:eastAsia="仿宋"/>
          <w:b w:val="0"/>
          <w:bCs w:val="0"/>
          <w:color w:val="auto"/>
          <w:sz w:val="32"/>
          <w:szCs w:val="32"/>
          <w:lang w:val="en-US" w:eastAsia="zh-CN"/>
        </w:rPr>
        <w:t>养老支出</w:t>
      </w:r>
      <w:r>
        <w:rPr>
          <w:rStyle w:val="14"/>
          <w:rFonts w:hint="eastAsia" w:ascii="仿宋" w:hAnsi="仿宋" w:eastAsia="仿宋"/>
          <w:b w:val="0"/>
          <w:bCs w:val="0"/>
          <w:color w:val="auto"/>
          <w:sz w:val="32"/>
          <w:szCs w:val="32"/>
        </w:rPr>
        <w:t>（05）机关事业单位基本养老保险缴费支出（05）:支出决算为</w:t>
      </w:r>
      <w:r>
        <w:rPr>
          <w:rStyle w:val="14"/>
          <w:rFonts w:hint="eastAsia" w:ascii="仿宋" w:hAnsi="仿宋" w:eastAsia="仿宋"/>
          <w:b w:val="0"/>
          <w:bCs w:val="0"/>
          <w:color w:val="auto"/>
          <w:sz w:val="32"/>
          <w:szCs w:val="32"/>
          <w:lang w:val="en-US" w:eastAsia="zh-CN"/>
        </w:rPr>
        <w:t>17.44</w:t>
      </w:r>
      <w:r>
        <w:rPr>
          <w:rStyle w:val="14"/>
          <w:rFonts w:hint="eastAsia" w:ascii="仿宋" w:hAnsi="仿宋" w:eastAsia="仿宋"/>
          <w:b w:val="0"/>
          <w:bCs w:val="0"/>
          <w:color w:val="auto"/>
          <w:sz w:val="32"/>
          <w:szCs w:val="32"/>
        </w:rPr>
        <w:t>万元，完成预算</w:t>
      </w:r>
      <w:r>
        <w:rPr>
          <w:rStyle w:val="14"/>
          <w:rFonts w:hint="eastAsia" w:ascii="仿宋" w:hAnsi="仿宋" w:eastAsia="仿宋"/>
          <w:b w:val="0"/>
          <w:bCs w:val="0"/>
          <w:color w:val="auto"/>
          <w:sz w:val="32"/>
          <w:szCs w:val="32"/>
          <w:lang w:val="en-US" w:eastAsia="zh-CN"/>
        </w:rPr>
        <w:t>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59457BF9">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Style w:val="14"/>
          <w:rFonts w:hint="eastAsia" w:ascii="仿宋" w:hAnsi="仿宋" w:eastAsia="仿宋"/>
          <w:b w:val="0"/>
          <w:bCs w:val="0"/>
          <w:color w:val="auto"/>
          <w:sz w:val="32"/>
          <w:szCs w:val="32"/>
          <w:lang w:val="en-US" w:eastAsia="zh-CN"/>
        </w:rPr>
      </w:pPr>
      <w:r>
        <w:rPr>
          <w:rStyle w:val="14"/>
          <w:rFonts w:hint="eastAsia" w:ascii="仿宋" w:hAnsi="仿宋" w:eastAsia="仿宋"/>
          <w:b w:val="0"/>
          <w:bCs w:val="0"/>
          <w:color w:val="auto"/>
          <w:sz w:val="32"/>
          <w:szCs w:val="32"/>
          <w:lang w:val="en-US" w:eastAsia="zh-CN"/>
        </w:rPr>
        <w:t>6.</w:t>
      </w:r>
      <w:r>
        <w:rPr>
          <w:rStyle w:val="14"/>
          <w:rFonts w:hint="eastAsia" w:ascii="仿宋" w:hAnsi="仿宋" w:eastAsia="仿宋"/>
          <w:b w:val="0"/>
          <w:bCs w:val="0"/>
          <w:color w:val="auto"/>
          <w:sz w:val="32"/>
          <w:szCs w:val="32"/>
        </w:rPr>
        <w:t>社会保障和就业（208）行政事业单位</w:t>
      </w:r>
      <w:r>
        <w:rPr>
          <w:rStyle w:val="14"/>
          <w:rFonts w:hint="eastAsia" w:ascii="仿宋" w:hAnsi="仿宋" w:eastAsia="仿宋"/>
          <w:b w:val="0"/>
          <w:bCs w:val="0"/>
          <w:color w:val="auto"/>
          <w:sz w:val="32"/>
          <w:szCs w:val="32"/>
          <w:lang w:val="en-US" w:eastAsia="zh-CN"/>
        </w:rPr>
        <w:t>养老支出</w:t>
      </w:r>
      <w:r>
        <w:rPr>
          <w:rStyle w:val="14"/>
          <w:rFonts w:hint="eastAsia" w:ascii="仿宋" w:hAnsi="仿宋" w:eastAsia="仿宋"/>
          <w:b w:val="0"/>
          <w:bCs w:val="0"/>
          <w:color w:val="auto"/>
          <w:sz w:val="32"/>
          <w:szCs w:val="32"/>
        </w:rPr>
        <w:t>（05）</w:t>
      </w:r>
      <w:r>
        <w:rPr>
          <w:rStyle w:val="14"/>
          <w:rFonts w:hint="eastAsia" w:ascii="仿宋" w:hAnsi="仿宋" w:eastAsia="仿宋"/>
          <w:b w:val="0"/>
          <w:bCs w:val="0"/>
          <w:color w:val="auto"/>
          <w:sz w:val="32"/>
          <w:szCs w:val="32"/>
          <w:lang w:val="en-US" w:eastAsia="zh-CN"/>
        </w:rPr>
        <w:t>机关事业单位职业年金缴费支出</w:t>
      </w:r>
      <w:r>
        <w:rPr>
          <w:rStyle w:val="14"/>
          <w:rFonts w:hint="eastAsia" w:ascii="仿宋" w:hAnsi="仿宋" w:eastAsia="仿宋"/>
          <w:b w:val="0"/>
          <w:bCs w:val="0"/>
          <w:color w:val="auto"/>
          <w:sz w:val="32"/>
          <w:szCs w:val="32"/>
          <w:lang w:eastAsia="zh-CN"/>
        </w:rPr>
        <w:t>（</w:t>
      </w:r>
      <w:r>
        <w:rPr>
          <w:rStyle w:val="14"/>
          <w:rFonts w:hint="eastAsia" w:ascii="仿宋" w:hAnsi="仿宋" w:eastAsia="仿宋"/>
          <w:b w:val="0"/>
          <w:bCs w:val="0"/>
          <w:color w:val="auto"/>
          <w:sz w:val="32"/>
          <w:szCs w:val="32"/>
          <w:lang w:val="en-US" w:eastAsia="zh-CN"/>
        </w:rPr>
        <w:t>06</w:t>
      </w:r>
      <w:r>
        <w:rPr>
          <w:rStyle w:val="14"/>
          <w:rFonts w:hint="eastAsia" w:ascii="仿宋" w:hAnsi="仿宋" w:eastAsia="仿宋"/>
          <w:b w:val="0"/>
          <w:bCs w:val="0"/>
          <w:color w:val="auto"/>
          <w:sz w:val="32"/>
          <w:szCs w:val="32"/>
          <w:lang w:eastAsia="zh-CN"/>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Fonts w:hint="eastAsia" w:hAnsi="仿宋_GB2312" w:cs="仿宋_GB2312"/>
          <w:sz w:val="32"/>
          <w:szCs w:val="32"/>
          <w:lang w:val="en-US" w:eastAsia="zh-CN"/>
        </w:rPr>
        <w:t>8.09</w:t>
      </w:r>
      <w:r>
        <w:rPr>
          <w:rStyle w:val="14"/>
          <w:rFonts w:hint="eastAsia" w:ascii="仿宋" w:hAnsi="仿宋" w:eastAsia="仿宋"/>
          <w:b w:val="0"/>
          <w:bCs w:val="0"/>
          <w:color w:val="auto"/>
          <w:sz w:val="32"/>
          <w:szCs w:val="32"/>
          <w:lang w:val="en-US" w:eastAsia="zh-CN"/>
        </w:rPr>
        <w:t>万元，完成预算100%。</w:t>
      </w:r>
    </w:p>
    <w:p w14:paraId="55D0DDF7">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Style w:val="14"/>
          <w:rFonts w:hint="default" w:ascii="仿宋" w:hAnsi="仿宋" w:eastAsia="仿宋"/>
          <w:b w:val="0"/>
          <w:bCs w:val="0"/>
          <w:color w:val="auto"/>
          <w:sz w:val="32"/>
          <w:szCs w:val="32"/>
          <w:lang w:val="en-US" w:eastAsia="zh-CN"/>
        </w:rPr>
      </w:pPr>
      <w:r>
        <w:rPr>
          <w:rStyle w:val="14"/>
          <w:rFonts w:hint="eastAsia" w:ascii="仿宋" w:hAnsi="仿宋" w:eastAsia="仿宋"/>
          <w:b w:val="0"/>
          <w:bCs w:val="0"/>
          <w:color w:val="auto"/>
          <w:sz w:val="32"/>
          <w:szCs w:val="32"/>
          <w:lang w:val="en-US" w:eastAsia="zh-CN"/>
        </w:rPr>
        <w:t>7.</w:t>
      </w:r>
      <w:r>
        <w:rPr>
          <w:rStyle w:val="14"/>
          <w:rFonts w:hint="eastAsia" w:ascii="仿宋" w:hAnsi="仿宋" w:eastAsia="仿宋"/>
          <w:b w:val="0"/>
          <w:bCs w:val="0"/>
          <w:color w:val="auto"/>
          <w:sz w:val="32"/>
          <w:szCs w:val="32"/>
        </w:rPr>
        <w:t>社会保障和就业（208）行政事业单位</w:t>
      </w:r>
      <w:r>
        <w:rPr>
          <w:rStyle w:val="14"/>
          <w:rFonts w:hint="eastAsia" w:ascii="仿宋" w:hAnsi="仿宋" w:eastAsia="仿宋"/>
          <w:b w:val="0"/>
          <w:bCs w:val="0"/>
          <w:color w:val="auto"/>
          <w:sz w:val="32"/>
          <w:szCs w:val="32"/>
          <w:lang w:val="en-US" w:eastAsia="zh-CN"/>
        </w:rPr>
        <w:t>养老支出</w:t>
      </w:r>
      <w:r>
        <w:rPr>
          <w:rStyle w:val="14"/>
          <w:rFonts w:hint="eastAsia" w:ascii="仿宋" w:hAnsi="仿宋" w:eastAsia="仿宋"/>
          <w:b w:val="0"/>
          <w:bCs w:val="0"/>
          <w:color w:val="auto"/>
          <w:sz w:val="32"/>
          <w:szCs w:val="32"/>
        </w:rPr>
        <w:t>（05）</w:t>
      </w:r>
      <w:r>
        <w:rPr>
          <w:rStyle w:val="14"/>
          <w:rFonts w:hint="eastAsia" w:ascii="仿宋" w:hAnsi="仿宋" w:eastAsia="仿宋"/>
          <w:b w:val="0"/>
          <w:bCs w:val="0"/>
          <w:color w:val="auto"/>
          <w:sz w:val="32"/>
          <w:szCs w:val="32"/>
          <w:lang w:val="en-US" w:eastAsia="zh-CN"/>
        </w:rPr>
        <w:t>其他</w:t>
      </w:r>
      <w:r>
        <w:rPr>
          <w:rStyle w:val="14"/>
          <w:rFonts w:hint="eastAsia" w:ascii="仿宋" w:hAnsi="仿宋" w:eastAsia="仿宋"/>
          <w:b w:val="0"/>
          <w:bCs w:val="0"/>
          <w:color w:val="auto"/>
          <w:sz w:val="32"/>
          <w:szCs w:val="32"/>
        </w:rPr>
        <w:t>行政事业单位</w:t>
      </w:r>
      <w:r>
        <w:rPr>
          <w:rStyle w:val="14"/>
          <w:rFonts w:hint="eastAsia" w:ascii="仿宋" w:hAnsi="仿宋" w:eastAsia="仿宋"/>
          <w:b w:val="0"/>
          <w:bCs w:val="0"/>
          <w:color w:val="auto"/>
          <w:sz w:val="32"/>
          <w:szCs w:val="32"/>
          <w:lang w:val="en-US" w:eastAsia="zh-CN"/>
        </w:rPr>
        <w:t>养老支出</w:t>
      </w:r>
      <w:r>
        <w:rPr>
          <w:rStyle w:val="14"/>
          <w:rFonts w:hint="eastAsia" w:ascii="仿宋" w:hAnsi="仿宋" w:eastAsia="仿宋"/>
          <w:b w:val="0"/>
          <w:bCs w:val="0"/>
          <w:color w:val="auto"/>
          <w:sz w:val="32"/>
          <w:szCs w:val="32"/>
          <w:lang w:eastAsia="zh-CN"/>
        </w:rPr>
        <w:t>（</w:t>
      </w:r>
      <w:r>
        <w:rPr>
          <w:rStyle w:val="14"/>
          <w:rFonts w:hint="eastAsia" w:ascii="仿宋" w:hAnsi="仿宋" w:eastAsia="仿宋"/>
          <w:b w:val="0"/>
          <w:bCs w:val="0"/>
          <w:color w:val="auto"/>
          <w:sz w:val="32"/>
          <w:szCs w:val="32"/>
          <w:lang w:val="en-US" w:eastAsia="zh-CN"/>
        </w:rPr>
        <w:t>99</w:t>
      </w:r>
      <w:r>
        <w:rPr>
          <w:rStyle w:val="14"/>
          <w:rFonts w:hint="eastAsia" w:ascii="仿宋" w:hAnsi="仿宋" w:eastAsia="仿宋"/>
          <w:b w:val="0"/>
          <w:bCs w:val="0"/>
          <w:color w:val="auto"/>
          <w:sz w:val="32"/>
          <w:szCs w:val="32"/>
          <w:lang w:eastAsia="zh-CN"/>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highlight w:val="none"/>
          <w:lang w:val="en-US" w:eastAsia="zh-CN"/>
        </w:rPr>
        <w:t>53.72</w:t>
      </w:r>
      <w:r>
        <w:rPr>
          <w:rStyle w:val="14"/>
          <w:rFonts w:hint="eastAsia" w:ascii="仿宋" w:hAnsi="仿宋" w:eastAsia="仿宋"/>
          <w:b w:val="0"/>
          <w:bCs w:val="0"/>
          <w:color w:val="auto"/>
          <w:sz w:val="32"/>
          <w:szCs w:val="32"/>
          <w:lang w:val="en-US" w:eastAsia="zh-CN"/>
        </w:rPr>
        <w:t>万元，完成预算100%。</w:t>
      </w:r>
      <w:r>
        <w:rPr>
          <w:rStyle w:val="14"/>
          <w:rFonts w:hint="eastAsia" w:ascii="仿宋" w:hAnsi="仿宋" w:eastAsia="仿宋"/>
          <w:b w:val="0"/>
          <w:bCs w:val="0"/>
          <w:color w:val="auto"/>
          <w:sz w:val="32"/>
          <w:szCs w:val="32"/>
          <w:lang w:val="en-US" w:eastAsia="zh-CN"/>
        </w:rPr>
        <w:tab/>
      </w:r>
    </w:p>
    <w:p w14:paraId="74D32BFC">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Style w:val="14"/>
          <w:rFonts w:hint="default" w:ascii="仿宋" w:hAnsi="仿宋" w:eastAsia="仿宋"/>
          <w:b w:val="0"/>
          <w:bCs w:val="0"/>
          <w:color w:val="auto"/>
          <w:sz w:val="32"/>
          <w:szCs w:val="32"/>
          <w:lang w:val="en-US" w:eastAsia="zh-CN"/>
        </w:rPr>
      </w:pPr>
      <w:r>
        <w:rPr>
          <w:rStyle w:val="14"/>
          <w:rFonts w:hint="eastAsia" w:ascii="仿宋" w:hAnsi="仿宋" w:eastAsia="仿宋"/>
          <w:b w:val="0"/>
          <w:bCs w:val="0"/>
          <w:color w:val="auto"/>
          <w:sz w:val="32"/>
          <w:szCs w:val="32"/>
          <w:lang w:val="en-US" w:eastAsia="zh-CN"/>
        </w:rPr>
        <w:t>8.</w:t>
      </w:r>
      <w:r>
        <w:rPr>
          <w:rStyle w:val="14"/>
          <w:rFonts w:hint="eastAsia" w:ascii="仿宋" w:hAnsi="仿宋" w:eastAsia="仿宋"/>
          <w:b w:val="0"/>
          <w:bCs w:val="0"/>
          <w:color w:val="auto"/>
          <w:sz w:val="32"/>
          <w:szCs w:val="32"/>
        </w:rPr>
        <w:t>社会保障和就业（208）</w:t>
      </w:r>
      <w:r>
        <w:rPr>
          <w:rStyle w:val="14"/>
          <w:rFonts w:hint="eastAsia" w:ascii="仿宋" w:hAnsi="仿宋" w:eastAsia="仿宋"/>
          <w:b w:val="0"/>
          <w:bCs w:val="0"/>
          <w:color w:val="auto"/>
          <w:sz w:val="32"/>
          <w:szCs w:val="32"/>
          <w:lang w:eastAsia="zh-CN"/>
        </w:rPr>
        <w:t>抚恤（</w:t>
      </w:r>
      <w:r>
        <w:rPr>
          <w:rStyle w:val="14"/>
          <w:rFonts w:hint="eastAsia" w:ascii="仿宋" w:hAnsi="仿宋" w:eastAsia="仿宋"/>
          <w:b w:val="0"/>
          <w:bCs w:val="0"/>
          <w:color w:val="auto"/>
          <w:sz w:val="32"/>
          <w:szCs w:val="32"/>
          <w:lang w:val="en-US" w:eastAsia="zh-CN"/>
        </w:rPr>
        <w:t>08）死亡抚恤（01）</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16.87万元，完成预算100%。</w:t>
      </w:r>
    </w:p>
    <w:p w14:paraId="31A97368">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Style w:val="14"/>
          <w:rFonts w:ascii="仿宋" w:hAnsi="仿宋" w:eastAsia="仿宋"/>
          <w:b w:val="0"/>
          <w:bCs w:val="0"/>
          <w:color w:val="auto"/>
          <w:sz w:val="32"/>
          <w:szCs w:val="32"/>
        </w:rPr>
      </w:pPr>
      <w:r>
        <w:rPr>
          <w:rStyle w:val="14"/>
          <w:rFonts w:hint="eastAsia" w:ascii="仿宋" w:hAnsi="仿宋" w:eastAsia="仿宋"/>
          <w:b w:val="0"/>
          <w:bCs w:val="0"/>
          <w:color w:val="auto"/>
          <w:sz w:val="32"/>
          <w:szCs w:val="32"/>
          <w:lang w:val="en-US" w:eastAsia="zh-CN"/>
        </w:rPr>
        <w:t>9</w:t>
      </w:r>
      <w:r>
        <w:rPr>
          <w:rStyle w:val="14"/>
          <w:rFonts w:ascii="仿宋" w:hAnsi="仿宋" w:eastAsia="仿宋"/>
          <w:b w:val="0"/>
          <w:bCs w:val="0"/>
          <w:color w:val="auto"/>
          <w:sz w:val="32"/>
          <w:szCs w:val="32"/>
        </w:rPr>
        <w:t>.</w:t>
      </w:r>
      <w:r>
        <w:rPr>
          <w:rFonts w:hint="eastAsia" w:ascii="仿宋" w:hAnsi="仿宋" w:eastAsia="仿宋"/>
          <w:b w:val="0"/>
          <w:bCs w:val="0"/>
          <w:color w:val="auto"/>
          <w:sz w:val="32"/>
          <w:szCs w:val="32"/>
        </w:rPr>
        <w:t>卫生健康</w:t>
      </w:r>
      <w:r>
        <w:rPr>
          <w:rFonts w:hint="eastAsia" w:ascii="仿宋" w:hAnsi="仿宋" w:eastAsia="仿宋"/>
          <w:b w:val="0"/>
          <w:bCs w:val="0"/>
          <w:color w:val="auto"/>
          <w:sz w:val="32"/>
          <w:szCs w:val="32"/>
          <w:lang w:val="en-US" w:eastAsia="zh-CN"/>
        </w:rPr>
        <w:t>支出</w:t>
      </w:r>
      <w:r>
        <w:rPr>
          <w:rStyle w:val="14"/>
          <w:rFonts w:hint="eastAsia" w:ascii="仿宋" w:hAnsi="仿宋" w:eastAsia="仿宋"/>
          <w:b w:val="0"/>
          <w:bCs w:val="0"/>
          <w:color w:val="auto"/>
          <w:sz w:val="32"/>
          <w:szCs w:val="32"/>
        </w:rPr>
        <w:t>（2</w:t>
      </w:r>
      <w:r>
        <w:rPr>
          <w:rStyle w:val="14"/>
          <w:rFonts w:ascii="仿宋" w:hAnsi="仿宋" w:eastAsia="仿宋"/>
          <w:b w:val="0"/>
          <w:bCs w:val="0"/>
          <w:color w:val="auto"/>
          <w:sz w:val="32"/>
          <w:szCs w:val="32"/>
        </w:rPr>
        <w:t>10</w:t>
      </w:r>
      <w:r>
        <w:rPr>
          <w:rStyle w:val="14"/>
          <w:rFonts w:hint="eastAsia" w:ascii="仿宋" w:hAnsi="仿宋" w:eastAsia="仿宋"/>
          <w:b w:val="0"/>
          <w:bCs w:val="0"/>
          <w:color w:val="auto"/>
          <w:sz w:val="32"/>
          <w:szCs w:val="32"/>
        </w:rPr>
        <w:t>）行政事业单位医疗（1</w:t>
      </w:r>
      <w:r>
        <w:rPr>
          <w:rStyle w:val="14"/>
          <w:rFonts w:ascii="仿宋" w:hAnsi="仿宋" w:eastAsia="仿宋"/>
          <w:b w:val="0"/>
          <w:bCs w:val="0"/>
          <w:color w:val="auto"/>
          <w:sz w:val="32"/>
          <w:szCs w:val="32"/>
        </w:rPr>
        <w:t>1</w:t>
      </w:r>
      <w:r>
        <w:rPr>
          <w:rStyle w:val="14"/>
          <w:rFonts w:hint="eastAsia" w:ascii="仿宋" w:hAnsi="仿宋" w:eastAsia="仿宋"/>
          <w:b w:val="0"/>
          <w:bCs w:val="0"/>
          <w:color w:val="auto"/>
          <w:sz w:val="32"/>
          <w:szCs w:val="32"/>
        </w:rPr>
        <w:t>）事业单位医疗（0</w:t>
      </w:r>
      <w:r>
        <w:rPr>
          <w:rStyle w:val="14"/>
          <w:rFonts w:ascii="仿宋" w:hAnsi="仿宋" w:eastAsia="仿宋"/>
          <w:b w:val="0"/>
          <w:bCs w:val="0"/>
          <w:color w:val="auto"/>
          <w:sz w:val="32"/>
          <w:szCs w:val="32"/>
        </w:rPr>
        <w:t>2</w:t>
      </w:r>
      <w:r>
        <w:rPr>
          <w:rStyle w:val="14"/>
          <w:rFonts w:hint="eastAsia" w:ascii="仿宋" w:hAnsi="仿宋" w:eastAsia="仿宋"/>
          <w:b w:val="0"/>
          <w:bCs w:val="0"/>
          <w:color w:val="auto"/>
          <w:sz w:val="32"/>
          <w:szCs w:val="32"/>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12.29</w:t>
      </w:r>
      <w:r>
        <w:rPr>
          <w:rStyle w:val="14"/>
          <w:rFonts w:hint="eastAsia" w:ascii="仿宋" w:hAnsi="仿宋" w:eastAsia="仿宋"/>
          <w:b w:val="0"/>
          <w:bCs w:val="0"/>
          <w:color w:val="auto"/>
          <w:sz w:val="32"/>
          <w:szCs w:val="32"/>
        </w:rPr>
        <w:t>万元，完成预算100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112F7842">
      <w:pPr>
        <w:spacing w:line="600" w:lineRule="exact"/>
        <w:ind w:firstLine="640" w:firstLineChars="200"/>
        <w:rPr>
          <w:rFonts w:ascii="仿宋" w:hAnsi="仿宋" w:eastAsia="仿宋"/>
          <w:color w:val="auto"/>
          <w:sz w:val="32"/>
          <w:szCs w:val="32"/>
        </w:rPr>
      </w:pPr>
      <w:r>
        <w:rPr>
          <w:rStyle w:val="14"/>
          <w:rFonts w:hint="eastAsia" w:ascii="仿宋" w:hAnsi="仿宋" w:eastAsia="仿宋"/>
          <w:b w:val="0"/>
          <w:bCs w:val="0"/>
          <w:color w:val="auto"/>
          <w:sz w:val="32"/>
          <w:szCs w:val="40"/>
          <w:lang w:val="en-US" w:eastAsia="zh-CN"/>
        </w:rPr>
        <w:t>10</w:t>
      </w:r>
      <w:r>
        <w:rPr>
          <w:rStyle w:val="14"/>
          <w:rFonts w:ascii="仿宋" w:hAnsi="仿宋" w:eastAsia="仿宋"/>
          <w:b w:val="0"/>
          <w:bCs w:val="0"/>
          <w:color w:val="auto"/>
          <w:sz w:val="32"/>
          <w:szCs w:val="40"/>
        </w:rPr>
        <w:t>.</w:t>
      </w:r>
      <w:r>
        <w:rPr>
          <w:rStyle w:val="14"/>
          <w:rFonts w:hint="eastAsia" w:ascii="仿宋" w:hAnsi="仿宋" w:eastAsia="仿宋"/>
          <w:b w:val="0"/>
          <w:bCs w:val="0"/>
          <w:color w:val="auto"/>
          <w:sz w:val="32"/>
          <w:szCs w:val="40"/>
        </w:rPr>
        <w:t>住房保障支出（221）住房改革支出（02）住房公积金（01）:</w:t>
      </w:r>
      <w:r>
        <w:rPr>
          <w:rFonts w:hint="eastAsia" w:ascii="仿宋" w:hAnsi="仿宋" w:eastAsia="仿宋"/>
          <w:b w:val="0"/>
          <w:bCs w:val="0"/>
          <w:color w:val="auto"/>
          <w:sz w:val="32"/>
          <w:szCs w:val="32"/>
        </w:rPr>
        <w:t>支出决算为</w:t>
      </w:r>
      <w:r>
        <w:rPr>
          <w:rFonts w:hint="eastAsia" w:ascii="仿宋_GB2312" w:eastAsia="仿宋_GB2312"/>
          <w:color w:val="000000"/>
          <w:sz w:val="32"/>
          <w:szCs w:val="32"/>
          <w:lang w:val="en-US" w:eastAsia="zh-CN"/>
        </w:rPr>
        <w:t>23.21</w:t>
      </w:r>
      <w:r>
        <w:rPr>
          <w:rFonts w:hint="eastAsia" w:ascii="仿宋" w:hAnsi="仿宋" w:eastAsia="仿宋"/>
          <w:b w:val="0"/>
          <w:bCs w:val="0"/>
          <w:color w:val="auto"/>
          <w:sz w:val="32"/>
          <w:szCs w:val="32"/>
        </w:rPr>
        <w:t>万元，完成预算100%</w:t>
      </w:r>
      <w:r>
        <w:rPr>
          <w:rFonts w:hint="eastAsia" w:ascii="仿宋" w:hAnsi="仿宋" w:eastAsia="仿宋"/>
          <w:color w:val="auto"/>
          <w:sz w:val="32"/>
          <w:szCs w:val="32"/>
        </w:rPr>
        <w:t>。</w:t>
      </w:r>
    </w:p>
    <w:p w14:paraId="30B7BBD6">
      <w:pPr>
        <w:tabs>
          <w:tab w:val="right" w:pos="8306"/>
        </w:tabs>
        <w:spacing w:line="600" w:lineRule="exact"/>
        <w:ind w:firstLine="640"/>
        <w:outlineLvl w:val="1"/>
        <w:rPr>
          <w:rStyle w:val="25"/>
          <w:color w:val="auto"/>
          <w:highlight w:val="none"/>
        </w:rPr>
      </w:pPr>
      <w:bookmarkStart w:id="68" w:name="_Toc21853"/>
      <w:bookmarkStart w:id="69" w:name="_Toc3921"/>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66"/>
      <w:bookmarkEnd w:id="67"/>
      <w:bookmarkEnd w:id="68"/>
      <w:bookmarkEnd w:id="69"/>
      <w:r>
        <w:rPr>
          <w:rStyle w:val="25"/>
          <w:rFonts w:ascii="黑体" w:hAnsi="黑体" w:eastAsia="黑体"/>
          <w:b w:val="0"/>
          <w:color w:val="auto"/>
          <w:highlight w:val="none"/>
        </w:rPr>
        <w:tab/>
      </w:r>
    </w:p>
    <w:p w14:paraId="30E0D7D7">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536.75</w:t>
      </w:r>
      <w:r>
        <w:rPr>
          <w:rFonts w:hint="eastAsia" w:ascii="仿宋" w:hAnsi="仿宋" w:eastAsia="仿宋"/>
          <w:color w:val="auto"/>
          <w:sz w:val="32"/>
          <w:szCs w:val="32"/>
          <w:highlight w:val="none"/>
        </w:rPr>
        <w:t>万元，其中：</w:t>
      </w:r>
    </w:p>
    <w:p w14:paraId="167C0C21">
      <w:pPr>
        <w:spacing w:line="600" w:lineRule="exact"/>
        <w:ind w:firstLine="645"/>
        <w:rPr>
          <w:rFonts w:hint="default" w:ascii="仿宋" w:hAnsi="仿宋" w:eastAsia="仿宋"/>
          <w:color w:val="FF0000"/>
          <w:sz w:val="32"/>
          <w:szCs w:val="32"/>
          <w:highlight w:val="yellow"/>
          <w:lang w:val="en-US" w:eastAsia="zh-CN"/>
        </w:rPr>
      </w:pPr>
      <w:r>
        <w:rPr>
          <w:rFonts w:hint="eastAsia" w:ascii="仿宋" w:hAnsi="仿宋" w:eastAsia="仿宋"/>
          <w:color w:val="auto"/>
          <w:sz w:val="32"/>
          <w:szCs w:val="32"/>
          <w:highlight w:val="none"/>
        </w:rPr>
        <w:t>人员经费</w:t>
      </w:r>
      <w:r>
        <w:rPr>
          <w:rFonts w:hint="eastAsia" w:ascii="仿宋" w:hAnsi="仿宋" w:eastAsia="仿宋"/>
          <w:color w:val="000000"/>
          <w:sz w:val="32"/>
          <w:szCs w:val="32"/>
          <w:lang w:val="en-US" w:eastAsia="zh-CN"/>
        </w:rPr>
        <w:t>458.03</w:t>
      </w:r>
      <w:r>
        <w:rPr>
          <w:rFonts w:hint="eastAsia" w:ascii="仿宋" w:hAnsi="仿宋" w:eastAsia="仿宋"/>
          <w:color w:val="auto"/>
          <w:sz w:val="32"/>
          <w:szCs w:val="32"/>
          <w:highlight w:val="none"/>
        </w:rPr>
        <w:t>万元，主要包括：基本工资</w:t>
      </w:r>
      <w:r>
        <w:rPr>
          <w:rFonts w:hint="eastAsia" w:ascii="仿宋" w:hAnsi="仿宋" w:eastAsia="仿宋"/>
          <w:color w:val="000000"/>
          <w:sz w:val="32"/>
          <w:szCs w:val="32"/>
          <w:lang w:val="en-US" w:eastAsia="zh-CN"/>
        </w:rPr>
        <w:t>125.14</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、津贴补贴</w:t>
      </w:r>
      <w:r>
        <w:rPr>
          <w:rFonts w:hint="eastAsia" w:ascii="仿宋" w:hAnsi="仿宋" w:eastAsia="仿宋"/>
          <w:color w:val="000000"/>
          <w:sz w:val="32"/>
          <w:szCs w:val="32"/>
          <w:lang w:val="en-US" w:eastAsia="zh-CN"/>
        </w:rPr>
        <w:t>26.19</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、绩效工资</w:t>
      </w:r>
      <w:r>
        <w:rPr>
          <w:rFonts w:hint="eastAsia" w:ascii="仿宋" w:hAnsi="仿宋" w:eastAsia="仿宋"/>
          <w:color w:val="000000"/>
          <w:sz w:val="32"/>
          <w:szCs w:val="32"/>
          <w:lang w:val="en-US" w:eastAsia="zh-CN"/>
        </w:rPr>
        <w:t>77.3</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、机关事业单位基本养老保险缴费17.44</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、职业年金缴费8.09</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、其他工资福利支出97.76</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、奖励金0.02</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职工基本医疗保险缴费12.29万元、</w:t>
      </w:r>
      <w:r>
        <w:rPr>
          <w:rFonts w:hint="eastAsia" w:ascii="仿宋" w:hAnsi="仿宋" w:eastAsia="仿宋"/>
          <w:color w:val="auto"/>
          <w:sz w:val="32"/>
          <w:szCs w:val="32"/>
          <w:highlight w:val="none"/>
        </w:rPr>
        <w:t>住房公积金23.21</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抚恤金16.87</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、生活补助53.72</w:t>
      </w:r>
      <w:r>
        <w:rPr>
          <w:rFonts w:hint="eastAsia" w:ascii="仿宋" w:hAnsi="仿宋" w:eastAsia="仿宋"/>
          <w:color w:val="auto"/>
          <w:sz w:val="32"/>
          <w:szCs w:val="32"/>
          <w:highlight w:val="none"/>
          <w:lang w:val="en-US" w:eastAsia="zh-CN"/>
        </w:rPr>
        <w:t>万元。</w:t>
      </w:r>
    </w:p>
    <w:p w14:paraId="60CFFC61">
      <w:pPr>
        <w:spacing w:line="600" w:lineRule="exact"/>
        <w:ind w:firstLine="640"/>
        <w:outlineLvl w:val="1"/>
        <w:rPr>
          <w:rFonts w:hint="eastAsia" w:ascii="仿宋" w:hAnsi="仿宋" w:eastAsia="仿宋"/>
          <w:color w:val="auto"/>
          <w:sz w:val="32"/>
          <w:szCs w:val="32"/>
          <w:highlight w:val="none"/>
        </w:rPr>
      </w:pPr>
      <w:bookmarkStart w:id="70" w:name="_Toc15389"/>
      <w:bookmarkStart w:id="71" w:name="_Toc30650"/>
      <w:r>
        <w:rPr>
          <w:rFonts w:hint="eastAsia" w:ascii="仿宋" w:hAnsi="仿宋" w:eastAsia="仿宋"/>
          <w:color w:val="auto"/>
          <w:sz w:val="32"/>
          <w:szCs w:val="32"/>
          <w:highlight w:val="none"/>
        </w:rPr>
        <w:t>公用经费78.72万元，主要包括：办公费33.73</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、水费0.59</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、电费1.53</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、邮电费1.14</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、差旅费2.68</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、维修（护）费5.27</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w:t>
      </w:r>
      <w:r>
        <w:rPr>
          <w:rFonts w:hint="eastAsia" w:ascii="仿宋" w:hAnsi="仿宋" w:eastAsia="仿宋"/>
          <w:color w:val="000000"/>
          <w:sz w:val="32"/>
          <w:szCs w:val="32"/>
          <w:lang w:val="en-US" w:eastAsia="zh-CN"/>
        </w:rPr>
        <w:t>会议费0.30万元、</w:t>
      </w:r>
      <w:r>
        <w:rPr>
          <w:rFonts w:hint="eastAsia" w:ascii="仿宋" w:hAnsi="仿宋" w:eastAsia="仿宋"/>
          <w:color w:val="auto"/>
          <w:sz w:val="32"/>
          <w:szCs w:val="32"/>
          <w:highlight w:val="none"/>
        </w:rPr>
        <w:t>培训费0.79</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、劳务费9.98</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、工会经费6.54</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、福利费9.02</w:t>
      </w:r>
      <w:r>
        <w:rPr>
          <w:rFonts w:hint="eastAsia" w:ascii="仿宋" w:hAnsi="仿宋" w:eastAsia="仿宋"/>
          <w:color w:val="auto"/>
          <w:sz w:val="32"/>
          <w:szCs w:val="32"/>
          <w:highlight w:val="none"/>
          <w:lang w:val="en-US" w:eastAsia="zh-CN"/>
        </w:rPr>
        <w:t>万元、其他交通费用0.21万元、租赁费0.01万元、</w:t>
      </w:r>
      <w:r>
        <w:rPr>
          <w:rFonts w:hint="eastAsia" w:ascii="仿宋" w:hAnsi="仿宋" w:eastAsia="仿宋"/>
          <w:color w:val="auto"/>
          <w:sz w:val="32"/>
          <w:szCs w:val="32"/>
          <w:highlight w:val="none"/>
        </w:rPr>
        <w:t>其他商品和服务支出6.91</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w:t>
      </w:r>
      <w:bookmarkEnd w:id="70"/>
      <w:bookmarkEnd w:id="71"/>
      <w:bookmarkStart w:id="72" w:name="_Toc15396609"/>
      <w:bookmarkStart w:id="73" w:name="_Toc15377215"/>
    </w:p>
    <w:p w14:paraId="6BAB8E5A">
      <w:pPr>
        <w:spacing w:line="600" w:lineRule="exact"/>
        <w:outlineLvl w:val="9"/>
        <w:rPr>
          <w:rFonts w:hint="eastAsia" w:ascii="仿宋" w:hAnsi="仿宋" w:eastAsia="仿宋"/>
          <w:color w:val="auto"/>
          <w:sz w:val="32"/>
          <w:szCs w:val="32"/>
          <w:highlight w:val="none"/>
        </w:rPr>
      </w:pPr>
    </w:p>
    <w:p w14:paraId="4576A1F6">
      <w:pPr>
        <w:spacing w:line="600" w:lineRule="exact"/>
        <w:ind w:firstLine="640"/>
        <w:outlineLvl w:val="1"/>
        <w:rPr>
          <w:rStyle w:val="25"/>
          <w:rFonts w:ascii="黑体" w:hAnsi="黑体" w:eastAsia="黑体"/>
          <w:b w:val="0"/>
          <w:color w:val="auto"/>
          <w:highlight w:val="none"/>
        </w:rPr>
      </w:pPr>
      <w:bookmarkStart w:id="74" w:name="_Toc10961"/>
      <w:bookmarkStart w:id="75" w:name="_Toc23512"/>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72"/>
      <w:bookmarkEnd w:id="73"/>
      <w:bookmarkEnd w:id="74"/>
      <w:bookmarkEnd w:id="75"/>
    </w:p>
    <w:p w14:paraId="51AAA303">
      <w:pPr>
        <w:spacing w:line="600" w:lineRule="exact"/>
        <w:ind w:firstLine="640"/>
        <w:outlineLvl w:val="2"/>
        <w:rPr>
          <w:rFonts w:ascii="仿宋" w:hAnsi="仿宋" w:eastAsia="仿宋"/>
          <w:b/>
          <w:color w:val="auto"/>
          <w:sz w:val="32"/>
          <w:szCs w:val="32"/>
          <w:highlight w:val="none"/>
        </w:rPr>
      </w:pPr>
      <w:bookmarkStart w:id="76" w:name="_Toc15377216"/>
      <w:bookmarkStart w:id="77" w:name="_Toc21476"/>
      <w:bookmarkStart w:id="78" w:name="_Toc9928"/>
      <w:r>
        <w:rPr>
          <w:rFonts w:hint="eastAsia" w:ascii="仿宋" w:hAnsi="仿宋" w:eastAsia="仿宋"/>
          <w:b/>
          <w:color w:val="auto"/>
          <w:sz w:val="32"/>
          <w:szCs w:val="32"/>
          <w:highlight w:val="none"/>
        </w:rPr>
        <w:t>（一）“三公”经费财政拨款支出决算总体情况说明</w:t>
      </w:r>
      <w:bookmarkEnd w:id="76"/>
      <w:bookmarkEnd w:id="77"/>
      <w:bookmarkEnd w:id="78"/>
    </w:p>
    <w:p w14:paraId="1C5A1413">
      <w:pPr>
        <w:spacing w:line="600" w:lineRule="exact"/>
        <w:ind w:firstLine="640"/>
        <w:rPr>
          <w:rFonts w:hint="default" w:ascii="仿宋" w:hAnsi="仿宋" w:eastAsia="仿宋"/>
          <w:b/>
          <w:color w:val="auto"/>
          <w:sz w:val="32"/>
          <w:szCs w:val="32"/>
          <w:highlight w:val="none"/>
          <w:lang w:val="en-US"/>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与上年一致。决算与预算一致。</w:t>
      </w:r>
    </w:p>
    <w:p w14:paraId="0FD118F9">
      <w:pPr>
        <w:spacing w:line="600" w:lineRule="exact"/>
        <w:ind w:firstLine="640"/>
        <w:outlineLvl w:val="2"/>
        <w:rPr>
          <w:rFonts w:ascii="仿宋" w:hAnsi="仿宋" w:eastAsia="仿宋"/>
          <w:b/>
          <w:color w:val="auto"/>
          <w:sz w:val="32"/>
          <w:szCs w:val="32"/>
          <w:highlight w:val="none"/>
        </w:rPr>
      </w:pPr>
      <w:bookmarkStart w:id="79" w:name="_Toc15377217"/>
      <w:bookmarkStart w:id="80" w:name="_Toc9371"/>
      <w:bookmarkStart w:id="81" w:name="_Toc11380"/>
      <w:r>
        <w:rPr>
          <w:rFonts w:hint="eastAsia" w:ascii="仿宋" w:hAnsi="仿宋" w:eastAsia="仿宋"/>
          <w:b/>
          <w:color w:val="auto"/>
          <w:sz w:val="32"/>
          <w:szCs w:val="32"/>
          <w:highlight w:val="none"/>
        </w:rPr>
        <w:t>（二）“三公”经费财政拨款支出决算具体情况说明</w:t>
      </w:r>
      <w:bookmarkEnd w:id="79"/>
      <w:bookmarkEnd w:id="80"/>
      <w:bookmarkEnd w:id="81"/>
    </w:p>
    <w:p w14:paraId="327CA0F8">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3278E442">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仿宋" w:hAnsi="仿宋" w:eastAsia="仿宋"/>
          <w:color w:val="auto"/>
          <w:sz w:val="32"/>
          <w:szCs w:val="32"/>
          <w:highlight w:val="none"/>
        </w:rPr>
      </w:pPr>
      <w:r>
        <w:drawing>
          <wp:inline distT="0" distB="0" distL="114300" distR="114300">
            <wp:extent cx="4572000" cy="2743200"/>
            <wp:effectExtent l="4445" t="4445" r="14605" b="1460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27DED0A">
      <w:pPr>
        <w:spacing w:line="600" w:lineRule="exact"/>
        <w:ind w:firstLine="1609" w:firstLineChars="503"/>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14:paraId="4FEC2B6D">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一致</w:t>
      </w:r>
      <w:r>
        <w:rPr>
          <w:rFonts w:hint="eastAsia" w:ascii="仿宋_GB2312" w:eastAsia="仿宋_GB2312"/>
          <w:color w:val="auto"/>
          <w:sz w:val="32"/>
          <w:szCs w:val="32"/>
          <w:highlight w:val="none"/>
        </w:rPr>
        <w:t>。</w:t>
      </w:r>
    </w:p>
    <w:p w14:paraId="00475212">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一致</w:t>
      </w:r>
      <w:r>
        <w:rPr>
          <w:rFonts w:hint="eastAsia" w:ascii="仿宋_GB2312" w:eastAsia="仿宋_GB2312"/>
          <w:color w:val="auto"/>
          <w:sz w:val="32"/>
          <w:szCs w:val="32"/>
          <w:highlight w:val="none"/>
        </w:rPr>
        <w:t>。</w:t>
      </w:r>
    </w:p>
    <w:p w14:paraId="22983209">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1F4ECD18">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p>
    <w:p w14:paraId="0F53F76B">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22一致</w:t>
      </w:r>
      <w:r>
        <w:rPr>
          <w:rFonts w:hint="eastAsia" w:ascii="仿宋_GB2312" w:eastAsia="仿宋_GB2312"/>
          <w:color w:val="auto"/>
          <w:sz w:val="32"/>
          <w:szCs w:val="32"/>
          <w:highlight w:val="none"/>
        </w:rPr>
        <w:t>。其中：</w:t>
      </w:r>
    </w:p>
    <w:p w14:paraId="5048CD84">
      <w:pPr>
        <w:spacing w:line="600" w:lineRule="exact"/>
        <w:ind w:firstLine="640"/>
        <w:rPr>
          <w:rFonts w:ascii="仿宋_GB2312" w:eastAsia="仿宋_GB2312"/>
          <w:color w:val="auto"/>
          <w:sz w:val="32"/>
          <w:szCs w:val="32"/>
          <w:highlight w:val="none"/>
        </w:rPr>
      </w:pPr>
      <w:bookmarkStart w:id="82" w:name="_Toc15377218"/>
      <w:bookmarkStart w:id="83" w:name="_Toc15396610"/>
      <w:bookmarkStart w:id="84" w:name="_Toc10844"/>
      <w:r>
        <w:rPr>
          <w:rFonts w:hint="eastAsia" w:ascii="仿宋" w:hAnsi="仿宋" w:eastAsia="仿宋"/>
          <w:b/>
          <w:color w:val="auto"/>
          <w:sz w:val="32"/>
          <w:szCs w:val="32"/>
          <w:highlight w:val="none"/>
        </w:rPr>
        <w:t>国内公务接待支出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14:paraId="2E7890AD">
      <w:pPr>
        <w:spacing w:line="600" w:lineRule="exact"/>
        <w:ind w:firstLine="643" w:firstLineChars="200"/>
        <w:rPr>
          <w:rFonts w:hint="eastAsia"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14:paraId="0BF67A93">
      <w:pPr>
        <w:spacing w:line="600" w:lineRule="exact"/>
        <w:ind w:firstLine="640" w:firstLineChars="200"/>
        <w:rPr>
          <w:rFonts w:hint="eastAsia" w:ascii="仿宋_GB2312" w:eastAsia="仿宋_GB2312"/>
          <w:color w:val="auto"/>
          <w:sz w:val="32"/>
          <w:szCs w:val="32"/>
          <w:highlight w:val="none"/>
        </w:rPr>
      </w:pPr>
    </w:p>
    <w:p w14:paraId="350C95B0">
      <w:pPr>
        <w:spacing w:line="600" w:lineRule="exact"/>
        <w:ind w:firstLine="640"/>
        <w:outlineLvl w:val="1"/>
        <w:rPr>
          <w:rFonts w:ascii="仿宋_GB2312" w:eastAsia="仿宋_GB2312"/>
          <w:color w:val="auto"/>
          <w:sz w:val="32"/>
          <w:szCs w:val="32"/>
          <w:highlight w:val="none"/>
        </w:rPr>
      </w:pPr>
      <w:bookmarkStart w:id="85" w:name="_Toc429"/>
      <w:bookmarkStart w:id="86" w:name="_Toc19802"/>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82"/>
      <w:bookmarkEnd w:id="83"/>
      <w:bookmarkEnd w:id="84"/>
      <w:bookmarkEnd w:id="85"/>
      <w:bookmarkEnd w:id="86"/>
    </w:p>
    <w:p w14:paraId="1D8239F7">
      <w:pPr>
        <w:spacing w:line="600" w:lineRule="exact"/>
        <w:ind w:firstLine="640"/>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1343019B">
      <w:pPr>
        <w:spacing w:line="600" w:lineRule="exact"/>
        <w:ind w:firstLine="640"/>
        <w:rPr>
          <w:rFonts w:hint="eastAsia" w:ascii="仿宋_GB2312" w:eastAsia="仿宋_GB2312"/>
          <w:color w:val="auto"/>
          <w:sz w:val="32"/>
          <w:szCs w:val="32"/>
          <w:highlight w:val="none"/>
        </w:rPr>
      </w:pPr>
    </w:p>
    <w:p w14:paraId="0BBBAE97">
      <w:pPr>
        <w:numPr>
          <w:ilvl w:val="0"/>
          <w:numId w:val="3"/>
        </w:numPr>
        <w:spacing w:line="600" w:lineRule="exact"/>
        <w:ind w:firstLine="640"/>
        <w:outlineLvl w:val="1"/>
        <w:rPr>
          <w:rStyle w:val="25"/>
          <w:rFonts w:ascii="黑体" w:hAnsi="黑体" w:eastAsia="黑体"/>
          <w:b w:val="0"/>
          <w:color w:val="auto"/>
          <w:highlight w:val="none"/>
        </w:rPr>
      </w:pPr>
      <w:bookmarkStart w:id="87" w:name="_Toc25814"/>
      <w:bookmarkStart w:id="88" w:name="_Toc1214"/>
      <w:bookmarkStart w:id="89" w:name="_Toc9159"/>
      <w:r>
        <w:rPr>
          <w:rStyle w:val="25"/>
          <w:rFonts w:hint="eastAsia" w:ascii="黑体" w:hAnsi="黑体" w:eastAsia="黑体"/>
          <w:b w:val="0"/>
          <w:color w:val="auto"/>
          <w:highlight w:val="none"/>
        </w:rPr>
        <w:t>国有资本经营预算支出决算情况说明</w:t>
      </w:r>
      <w:bookmarkEnd w:id="87"/>
      <w:bookmarkEnd w:id="88"/>
      <w:bookmarkEnd w:id="89"/>
    </w:p>
    <w:p w14:paraId="33CDCFBF">
      <w:pPr>
        <w:spacing w:line="600" w:lineRule="exact"/>
        <w:ind w:firstLine="640"/>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4DC341EF">
      <w:pPr>
        <w:spacing w:line="600" w:lineRule="exact"/>
        <w:ind w:firstLine="640"/>
        <w:rPr>
          <w:rFonts w:hint="eastAsia" w:ascii="仿宋_GB2312" w:eastAsia="仿宋_GB2312"/>
          <w:color w:val="auto"/>
          <w:sz w:val="32"/>
          <w:szCs w:val="32"/>
          <w:highlight w:val="none"/>
        </w:rPr>
      </w:pPr>
    </w:p>
    <w:p w14:paraId="7204C4FA">
      <w:pPr>
        <w:numPr>
          <w:ilvl w:val="0"/>
          <w:numId w:val="3"/>
        </w:numPr>
        <w:spacing w:line="600" w:lineRule="exact"/>
        <w:ind w:firstLine="640"/>
        <w:outlineLvl w:val="1"/>
        <w:rPr>
          <w:rStyle w:val="25"/>
          <w:rFonts w:hint="eastAsia" w:ascii="黑体" w:hAnsi="黑体" w:eastAsia="黑体"/>
          <w:b w:val="0"/>
          <w:color w:val="auto"/>
          <w:highlight w:val="none"/>
        </w:rPr>
      </w:pPr>
      <w:bookmarkStart w:id="90" w:name="_Toc31091"/>
      <w:bookmarkStart w:id="91" w:name="_Toc518"/>
      <w:bookmarkStart w:id="92" w:name="_Toc6839"/>
      <w:r>
        <w:rPr>
          <w:rStyle w:val="25"/>
          <w:rFonts w:hint="eastAsia" w:ascii="黑体" w:hAnsi="黑体" w:eastAsia="黑体"/>
          <w:b w:val="0"/>
          <w:color w:val="auto"/>
          <w:highlight w:val="none"/>
        </w:rPr>
        <w:t>其他重要事项的情况说明</w:t>
      </w:r>
      <w:bookmarkEnd w:id="90"/>
      <w:bookmarkEnd w:id="91"/>
      <w:bookmarkEnd w:id="92"/>
    </w:p>
    <w:p w14:paraId="40A35269">
      <w:pPr>
        <w:spacing w:line="600" w:lineRule="exact"/>
        <w:ind w:firstLine="643" w:firstLineChars="200"/>
        <w:outlineLvl w:val="2"/>
        <w:rPr>
          <w:rFonts w:ascii="仿宋" w:hAnsi="仿宋" w:eastAsia="仿宋"/>
          <w:color w:val="auto"/>
          <w:sz w:val="32"/>
          <w:szCs w:val="32"/>
          <w:highlight w:val="none"/>
        </w:rPr>
      </w:pPr>
      <w:bookmarkStart w:id="93" w:name="_Toc17052"/>
      <w:bookmarkStart w:id="94" w:name="_Toc18684"/>
      <w:r>
        <w:rPr>
          <w:rFonts w:hint="eastAsia" w:ascii="仿宋" w:hAnsi="仿宋" w:eastAsia="仿宋"/>
          <w:b/>
          <w:color w:val="auto"/>
          <w:sz w:val="32"/>
          <w:szCs w:val="32"/>
          <w:highlight w:val="none"/>
        </w:rPr>
        <w:t>（一）机关运行经费支出情况</w:t>
      </w:r>
      <w:bookmarkEnd w:id="93"/>
      <w:bookmarkEnd w:id="94"/>
    </w:p>
    <w:p w14:paraId="6B494AE5">
      <w:pPr>
        <w:spacing w:line="600" w:lineRule="exact"/>
        <w:ind w:firstLine="640" w:firstLineChars="200"/>
        <w:rPr>
          <w:rFonts w:ascii="仿宋" w:hAnsi="仿宋" w:eastAsia="仿宋"/>
          <w:b/>
          <w:color w:val="auto"/>
          <w:sz w:val="32"/>
          <w:szCs w:val="32"/>
          <w:highlight w:val="none"/>
        </w:rPr>
      </w:pPr>
      <w:r>
        <w:rPr>
          <w:rFonts w:hint="eastAsia" w:ascii="仿宋_GB2312" w:eastAsia="仿宋_GB2312"/>
          <w:color w:val="auto"/>
          <w:sz w:val="32"/>
          <w:szCs w:val="32"/>
        </w:rPr>
        <w:t>我单位为事业单位（学校），执行政府会计制度，无机关运行经费。</w:t>
      </w:r>
    </w:p>
    <w:p w14:paraId="2337AD7C">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95" w:name="_Toc30590"/>
      <w:bookmarkStart w:id="96" w:name="_Toc15377223"/>
      <w:bookmarkStart w:id="97" w:name="_Toc31802"/>
      <w:r>
        <w:rPr>
          <w:rFonts w:hint="eastAsia" w:ascii="仿宋" w:hAnsi="仿宋" w:eastAsia="仿宋"/>
          <w:b/>
          <w:color w:val="auto"/>
          <w:sz w:val="32"/>
          <w:szCs w:val="32"/>
          <w:highlight w:val="none"/>
        </w:rPr>
        <w:t>（二）政府采购支出情况</w:t>
      </w:r>
      <w:bookmarkEnd w:id="95"/>
      <w:bookmarkEnd w:id="96"/>
      <w:bookmarkEnd w:id="97"/>
    </w:p>
    <w:p w14:paraId="4E796282">
      <w:pPr>
        <w:spacing w:line="600" w:lineRule="exact"/>
        <w:ind w:firstLine="640" w:firstLineChars="200"/>
        <w:rPr>
          <w:rFonts w:hint="default" w:ascii="仿宋" w:hAnsi="仿宋" w:eastAsia="仿宋_GB2312"/>
          <w:b/>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大竹县文星镇神合学校政府采购支出总额0万元。</w:t>
      </w:r>
    </w:p>
    <w:p w14:paraId="4C2F1B67">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98" w:name="_Toc24335"/>
      <w:bookmarkStart w:id="99" w:name="_Toc6933"/>
      <w:bookmarkStart w:id="100" w:name="_Toc15377224"/>
      <w:r>
        <w:rPr>
          <w:rFonts w:hint="eastAsia" w:ascii="仿宋" w:hAnsi="仿宋" w:eastAsia="仿宋"/>
          <w:b/>
          <w:color w:val="auto"/>
          <w:sz w:val="32"/>
          <w:szCs w:val="32"/>
          <w:highlight w:val="none"/>
        </w:rPr>
        <w:t>（三）国有资产占有使用情况</w:t>
      </w:r>
      <w:bookmarkEnd w:id="98"/>
      <w:bookmarkEnd w:id="99"/>
      <w:bookmarkEnd w:id="100"/>
    </w:p>
    <w:p w14:paraId="61EF94BC">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本单位</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14:paraId="50308C66">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bookmarkStart w:id="101" w:name="_Toc20940"/>
      <w:bookmarkStart w:id="102" w:name="_Toc16916"/>
      <w:r>
        <w:rPr>
          <w:rFonts w:hint="eastAsia" w:ascii="仿宋" w:hAnsi="仿宋" w:eastAsia="仿宋"/>
          <w:b/>
          <w:color w:val="auto"/>
          <w:sz w:val="32"/>
          <w:szCs w:val="32"/>
          <w:highlight w:val="none"/>
        </w:rPr>
        <w:t>（四）预算绩效管理情况</w:t>
      </w:r>
      <w:bookmarkEnd w:id="101"/>
      <w:bookmarkEnd w:id="102"/>
    </w:p>
    <w:p w14:paraId="10060FC3">
      <w:pPr>
        <w:pStyle w:val="2"/>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auto"/>
          <w:sz w:val="32"/>
          <w:szCs w:val="32"/>
          <w:highlight w:val="none"/>
          <w:lang w:val="en-US" w:eastAsia="zh-CN"/>
        </w:rPr>
        <w:t>0个</w:t>
      </w:r>
      <w:r>
        <w:rPr>
          <w:rFonts w:hint="eastAsia" w:ascii="仿宋_GB2312" w:hAnsi="仿宋_GB2312" w:eastAsia="仿宋_GB2312" w:cs="仿宋_GB2312"/>
          <w:color w:val="auto"/>
          <w:sz w:val="32"/>
          <w:szCs w:val="32"/>
          <w:highlight w:val="none"/>
        </w:rPr>
        <w:t>项目开展了预算事前绩效评估，对</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14:paraId="128F2E9A">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66D30807">
      <w:pPr>
        <w:numPr>
          <w:ilvl w:val="0"/>
          <w:numId w:val="4"/>
        </w:numPr>
        <w:spacing w:line="600" w:lineRule="exact"/>
        <w:ind w:firstLine="660" w:firstLineChars="150"/>
        <w:jc w:val="center"/>
        <w:outlineLvl w:val="0"/>
        <w:rPr>
          <w:rStyle w:val="24"/>
          <w:rFonts w:ascii="黑体" w:hAnsi="黑体" w:eastAsia="黑体"/>
          <w:b w:val="0"/>
          <w:color w:val="auto"/>
          <w:highlight w:val="none"/>
        </w:rPr>
      </w:pPr>
      <w:bookmarkStart w:id="103" w:name="_Toc20644"/>
      <w:bookmarkStart w:id="104" w:name="_Toc15396613"/>
      <w:bookmarkStart w:id="105" w:name="_Toc15377225"/>
      <w:bookmarkStart w:id="106" w:name="_Toc13031"/>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103"/>
      <w:bookmarkEnd w:id="104"/>
      <w:bookmarkEnd w:id="105"/>
      <w:bookmarkEnd w:id="106"/>
    </w:p>
    <w:p w14:paraId="730EACA1">
      <w:pPr>
        <w:spacing w:line="600" w:lineRule="exact"/>
        <w:jc w:val="left"/>
        <w:rPr>
          <w:rFonts w:ascii="宋体"/>
          <w:b/>
          <w:color w:val="auto"/>
          <w:sz w:val="44"/>
          <w:szCs w:val="44"/>
          <w:highlight w:val="none"/>
        </w:rPr>
      </w:pPr>
    </w:p>
    <w:p w14:paraId="2A97715D">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1.财政拨款收入：指单位从同级财政部门取得的财政预算资金。</w:t>
      </w:r>
    </w:p>
    <w:p w14:paraId="52E8E452">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2.事业收入：指事业单位开展专业业务活动及辅助活动取得的收入。</w:t>
      </w:r>
    </w:p>
    <w:p w14:paraId="18F14E28">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 xml:space="preserve">3.年初结转和结余：指以前年度尚未完成、结转到本年按有关规定继续使用的资金。 </w:t>
      </w:r>
    </w:p>
    <w:p w14:paraId="4B2184EC">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4.结余分配：指事业单位按照事业单位会计制度的规定从非财政补助结余中分配的事业基金和职工福利基金等。</w:t>
      </w:r>
    </w:p>
    <w:p w14:paraId="4FB73B56">
      <w:pPr>
        <w:ind w:firstLine="640" w:firstLineChars="200"/>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5、年末结转和结余：指单位按有关规定结转到下年或以后年度继续使用的资金。</w:t>
      </w:r>
    </w:p>
    <w:p w14:paraId="3EA32AF9">
      <w:pPr>
        <w:ind w:firstLine="640" w:firstLineChars="200"/>
      </w:pPr>
      <w:r>
        <w:rPr>
          <w:rFonts w:hint="eastAsia" w:ascii="仿宋_GB2312" w:hAnsi="Calibri" w:eastAsia="仿宋_GB2312" w:cs="仿宋"/>
          <w:color w:val="auto"/>
          <w:kern w:val="0"/>
          <w:sz w:val="32"/>
          <w:szCs w:val="32"/>
        </w:rPr>
        <w:t>6.教育（205）基础教育（02）</w:t>
      </w:r>
      <w:r>
        <w:rPr>
          <w:rFonts w:hint="eastAsia" w:ascii="仿宋_GB2312" w:hAnsi="Calibri" w:eastAsia="仿宋_GB2312" w:cs="仿宋"/>
          <w:color w:val="auto"/>
          <w:kern w:val="0"/>
          <w:sz w:val="32"/>
          <w:szCs w:val="32"/>
          <w:lang w:val="en-US" w:eastAsia="zh-CN"/>
        </w:rPr>
        <w:t>学前</w:t>
      </w:r>
      <w:r>
        <w:rPr>
          <w:rFonts w:hint="eastAsia" w:ascii="仿宋_GB2312" w:hAnsi="Calibri" w:eastAsia="仿宋_GB2312" w:cs="仿宋"/>
          <w:color w:val="auto"/>
          <w:kern w:val="0"/>
          <w:sz w:val="32"/>
          <w:szCs w:val="32"/>
        </w:rPr>
        <w:t>教育（0</w:t>
      </w:r>
      <w:r>
        <w:rPr>
          <w:rFonts w:hint="eastAsia" w:ascii="仿宋_GB2312" w:hAnsi="Calibri" w:eastAsia="仿宋_GB2312" w:cs="仿宋"/>
          <w:color w:val="auto"/>
          <w:kern w:val="0"/>
          <w:sz w:val="32"/>
          <w:szCs w:val="32"/>
          <w:lang w:val="en-US" w:eastAsia="zh-CN"/>
        </w:rPr>
        <w:t>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反映各部门举办的学前教育支出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政府各部门对社会组织等举办的幼儿园的资助，如捐赠、补贴等，也在本科目中反映。</w:t>
      </w:r>
    </w:p>
    <w:p w14:paraId="2986974A">
      <w:pPr>
        <w:ind w:firstLine="640" w:firstLineChars="200"/>
        <w:rPr>
          <w:rFonts w:hint="eastAsia"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.教育（205）基础教育（02）小学教育（02）：</w:t>
      </w:r>
      <w:r>
        <w:rPr>
          <w:rFonts w:hint="eastAsia" w:ascii="仿宋_GB2312" w:hAnsi="Calibri" w:eastAsia="仿宋_GB2312" w:cs="仿宋"/>
          <w:color w:val="auto"/>
          <w:kern w:val="0"/>
          <w:sz w:val="32"/>
          <w:szCs w:val="32"/>
          <w:lang w:val="en-US" w:eastAsia="zh-CN"/>
        </w:rPr>
        <w:t>反映各部门举办的小学教育支出。政府各部门对社会组织等举办的小学的资助，如捐赠、补贴等，也在本科目中反映。</w:t>
      </w:r>
    </w:p>
    <w:p w14:paraId="27E03DAC">
      <w:pPr>
        <w:ind w:firstLine="640" w:firstLineChars="200"/>
        <w:rPr>
          <w:rFonts w:hint="default"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事业单位离退休</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反映事业单位的离退休经费。</w:t>
      </w:r>
    </w:p>
    <w:p w14:paraId="5A9FB79E">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（05）机关事业单位基本养老保险缴费支出（05）：</w:t>
      </w:r>
      <w:r>
        <w:rPr>
          <w:rFonts w:hint="eastAsia" w:ascii="仿宋_GB2312" w:hAnsi="Calibri" w:eastAsia="仿宋_GB2312" w:cs="仿宋"/>
          <w:color w:val="auto"/>
          <w:kern w:val="0"/>
          <w:sz w:val="32"/>
          <w:szCs w:val="32"/>
          <w:lang w:val="en-US" w:eastAsia="zh-CN"/>
        </w:rPr>
        <w:t>反映机关事业单位实施养老保险制度由单位缴纳的基本养老保险费</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4E583BB6">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10</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w:t>
      </w:r>
      <w:r>
        <w:rPr>
          <w:rFonts w:hint="eastAsia" w:ascii="仿宋_GB2312" w:hAnsi="Calibri" w:eastAsia="仿宋_GB2312" w:cs="仿宋"/>
          <w:color w:val="auto"/>
          <w:kern w:val="0"/>
          <w:sz w:val="32"/>
          <w:szCs w:val="32"/>
          <w:lang w:val="en-US" w:eastAsia="zh-CN"/>
        </w:rPr>
        <w:t>职业年金缴费</w:t>
      </w:r>
      <w:r>
        <w:rPr>
          <w:rFonts w:hint="eastAsia" w:ascii="仿宋_GB2312" w:hAnsi="Calibri" w:eastAsia="仿宋_GB2312" w:cs="仿宋"/>
          <w:color w:val="auto"/>
          <w:kern w:val="0"/>
          <w:sz w:val="32"/>
          <w:szCs w:val="32"/>
        </w:rPr>
        <w:t>支出（0</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反映机关事业单位实施养老保险制度由单位缴纳的职业年金</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1868F7E2">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11</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其他</w:t>
      </w:r>
      <w:r>
        <w:rPr>
          <w:rFonts w:hint="eastAsia" w:ascii="仿宋_GB2312" w:hAnsi="Calibri" w:eastAsia="仿宋_GB2312" w:cs="仿宋"/>
          <w:color w:val="auto"/>
          <w:kern w:val="0"/>
          <w:sz w:val="32"/>
          <w:szCs w:val="32"/>
        </w:rPr>
        <w:t>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99</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反映除上述项目以外其他用于行政事业单位养老方面的支出</w:t>
      </w:r>
      <w:r>
        <w:rPr>
          <w:rFonts w:hint="eastAsia" w:ascii="仿宋_GB2312" w:hAnsi="Calibri" w:eastAsia="仿宋_GB2312" w:cs="仿宋"/>
          <w:color w:val="auto"/>
          <w:kern w:val="0"/>
          <w:sz w:val="32"/>
          <w:szCs w:val="32"/>
          <w:lang w:eastAsia="zh-CN"/>
        </w:rPr>
        <w:t>。</w:t>
      </w:r>
    </w:p>
    <w:p w14:paraId="7B694185">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12</w:t>
      </w:r>
      <w:r>
        <w:rPr>
          <w:rFonts w:hint="eastAsia" w:ascii="仿宋_GB2312" w:hAnsi="Calibri" w:eastAsia="仿宋_GB2312" w:cs="仿宋"/>
          <w:color w:val="auto"/>
          <w:kern w:val="0"/>
          <w:sz w:val="32"/>
          <w:szCs w:val="32"/>
        </w:rPr>
        <w:t>. 社会保障和就业（208）</w:t>
      </w:r>
      <w:r>
        <w:rPr>
          <w:rFonts w:hint="eastAsia" w:ascii="仿宋_GB2312" w:hAnsi="Calibri" w:eastAsia="仿宋_GB2312" w:cs="仿宋"/>
          <w:color w:val="auto"/>
          <w:kern w:val="0"/>
          <w:sz w:val="32"/>
          <w:szCs w:val="32"/>
          <w:lang w:val="en-US" w:eastAsia="zh-CN"/>
        </w:rPr>
        <w:t>抚恤</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死亡抚恤</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01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反映按规定用于烈士和牺牲、病故人员家属的一次性和定期抚恤金以及丧葬补助费</w:t>
      </w:r>
      <w:r>
        <w:rPr>
          <w:rFonts w:hint="eastAsia" w:ascii="仿宋_GB2312" w:hAnsi="Calibri" w:eastAsia="仿宋_GB2312" w:cs="仿宋"/>
          <w:color w:val="auto"/>
          <w:kern w:val="0"/>
          <w:sz w:val="32"/>
          <w:szCs w:val="32"/>
          <w:lang w:eastAsia="zh-CN"/>
        </w:rPr>
        <w:t>。</w:t>
      </w:r>
    </w:p>
    <w:p w14:paraId="14DEE091">
      <w:pPr>
        <w:ind w:firstLine="640" w:firstLineChars="200"/>
        <w:rPr>
          <w:rFonts w:hint="eastAsia"/>
          <w:lang w:val="en-US" w:eastAsia="zh-CN"/>
        </w:rPr>
      </w:pPr>
      <w:r>
        <w:rPr>
          <w:rFonts w:hint="eastAsia" w:ascii="仿宋_GB2312" w:hAnsi="Calibri" w:eastAsia="仿宋_GB2312" w:cs="仿宋"/>
          <w:color w:val="auto"/>
          <w:kern w:val="0"/>
          <w:sz w:val="32"/>
          <w:szCs w:val="32"/>
          <w:lang w:val="en-US" w:eastAsia="zh-CN"/>
        </w:rPr>
        <w:t>13</w:t>
      </w:r>
      <w:r>
        <w:rPr>
          <w:rFonts w:hint="eastAsia" w:ascii="仿宋_GB2312" w:hAnsi="Calibri" w:eastAsia="仿宋_GB2312" w:cs="仿宋"/>
          <w:color w:val="auto"/>
          <w:kern w:val="0"/>
          <w:sz w:val="32"/>
          <w:szCs w:val="32"/>
        </w:rPr>
        <w:t xml:space="preserve">. </w:t>
      </w:r>
      <w:r>
        <w:rPr>
          <w:rFonts w:hint="eastAsia" w:ascii="仿宋" w:hAnsi="仿宋" w:eastAsia="仿宋"/>
          <w:b w:val="0"/>
          <w:bCs w:val="0"/>
          <w:color w:val="auto"/>
          <w:sz w:val="32"/>
          <w:szCs w:val="32"/>
        </w:rPr>
        <w:t>卫生健康支出（210）行政事业单位医疗（11）事业单位医疗（02）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反映财政部门安排的事业单位基本医疗保险缴费经费，未参加医疗保险的事业单位的公费医疗经费，按国家规定享受离休人员待遇的医疗经费</w:t>
      </w:r>
      <w:r>
        <w:rPr>
          <w:rFonts w:hint="eastAsia" w:ascii="仿宋_GB2312" w:hAnsi="Calibri" w:eastAsia="仿宋_GB2312" w:cs="仿宋"/>
          <w:color w:val="auto"/>
          <w:kern w:val="0"/>
          <w:sz w:val="32"/>
          <w:szCs w:val="32"/>
          <w:lang w:eastAsia="zh-CN"/>
        </w:rPr>
        <w:t>。</w:t>
      </w:r>
    </w:p>
    <w:p w14:paraId="29F7DBBE">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14</w:t>
      </w:r>
      <w:r>
        <w:rPr>
          <w:rFonts w:hint="eastAsia" w:ascii="仿宋_GB2312" w:hAnsi="Calibri" w:eastAsia="仿宋_GB2312" w:cs="仿宋"/>
          <w:color w:val="auto"/>
          <w:kern w:val="0"/>
          <w:sz w:val="32"/>
          <w:szCs w:val="32"/>
        </w:rPr>
        <w:t>. 住房保障支出（221）住房改革支出（02）住房公积金（01）：</w:t>
      </w:r>
      <w:r>
        <w:rPr>
          <w:rFonts w:hint="eastAsia" w:ascii="仿宋_GB2312" w:hAnsi="Calibri" w:eastAsia="仿宋_GB2312" w:cs="仿宋"/>
          <w:color w:val="auto"/>
          <w:kern w:val="0"/>
          <w:sz w:val="32"/>
          <w:szCs w:val="32"/>
          <w:lang w:val="en-US" w:eastAsia="zh-CN"/>
        </w:rPr>
        <w:t>反正行政事业单位按人力资源和社会保障部、财政部规定的基本工资和津贴补贴以及规定比例为职工缴纳的住房公积金</w:t>
      </w:r>
      <w:r>
        <w:rPr>
          <w:rFonts w:hint="eastAsia" w:ascii="仿宋_GB2312" w:hAnsi="Calibri" w:eastAsia="仿宋_GB2312" w:cs="仿宋"/>
          <w:color w:val="auto"/>
          <w:kern w:val="0"/>
          <w:sz w:val="32"/>
          <w:szCs w:val="32"/>
        </w:rPr>
        <w:t>。</w:t>
      </w:r>
    </w:p>
    <w:p w14:paraId="62CB8215">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15</w:t>
      </w:r>
      <w:r>
        <w:rPr>
          <w:rFonts w:hint="eastAsia" w:ascii="仿宋_GB2312" w:hAnsi="Calibri" w:eastAsia="仿宋_GB2312" w:cs="仿宋"/>
          <w:color w:val="auto"/>
          <w:kern w:val="0"/>
          <w:sz w:val="32"/>
          <w:szCs w:val="32"/>
        </w:rPr>
        <w:t>.基本支出：指为保障机构正常运转、完成日常工作任务而发生的人员支出和公用支出。</w:t>
      </w:r>
    </w:p>
    <w:p w14:paraId="00522C9F">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 xml:space="preserve">.项目支出：指在基本支出之外为完成特定行政任务和事业发展目标所发生的支出。 </w:t>
      </w:r>
    </w:p>
    <w:p w14:paraId="2EC0CE08">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.经营支出：指事业单位在专业业务活动及其辅助活动之外开展非独立核算经营活动发生的支出。</w:t>
      </w:r>
    </w:p>
    <w:p w14:paraId="5D82FB62">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75D84EE">
      <w:pPr>
        <w:spacing w:line="600" w:lineRule="exact"/>
        <w:ind w:firstLine="640"/>
        <w:rPr>
          <w:rFonts w:hint="eastAsia" w:ascii="仿宋" w:hAnsi="仿宋" w:eastAsia="仿宋_GB2312"/>
          <w:b/>
          <w:color w:val="auto"/>
          <w:sz w:val="32"/>
          <w:szCs w:val="32"/>
          <w:highlight w:val="none"/>
          <w:lang w:eastAsia="zh-CN"/>
        </w:rPr>
        <w:sectPr>
          <w:footerReference r:id="rId6" w:type="first"/>
          <w:footerReference r:id="rId5" w:type="default"/>
          <w:pgSz w:w="11906" w:h="16838"/>
          <w:pgMar w:top="1440" w:right="1800" w:bottom="1440" w:left="1800" w:header="851" w:footer="992" w:gutter="0"/>
          <w:pgNumType w:fmt="decimal" w:start="2"/>
          <w:cols w:space="425" w:num="1"/>
          <w:docGrid w:type="lines" w:linePitch="312" w:charSpace="0"/>
        </w:sect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hAnsi="Calibri" w:eastAsia="仿宋_GB2312" w:cs="仿宋"/>
          <w:color w:val="auto"/>
          <w:kern w:val="0"/>
          <w:sz w:val="32"/>
          <w:szCs w:val="32"/>
          <w:lang w:eastAsia="zh-CN"/>
        </w:rPr>
        <w:t>。</w:t>
      </w:r>
    </w:p>
    <w:tbl>
      <w:tblPr>
        <w:tblStyle w:val="12"/>
        <w:tblW w:w="138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4"/>
        <w:gridCol w:w="1845"/>
        <w:gridCol w:w="1845"/>
        <w:gridCol w:w="2829"/>
        <w:gridCol w:w="1476"/>
        <w:gridCol w:w="1229"/>
        <w:gridCol w:w="1108"/>
        <w:gridCol w:w="862"/>
        <w:gridCol w:w="1172"/>
      </w:tblGrid>
      <w:tr w14:paraId="1C148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3837" w:type="dxa"/>
            <w:gridSpan w:val="9"/>
            <w:tcBorders>
              <w:top w:val="nil"/>
              <w:left w:val="nil"/>
              <w:bottom w:val="nil"/>
              <w:right w:val="nil"/>
            </w:tcBorders>
            <w:shd w:val="clear" w:color="auto" w:fill="auto"/>
            <w:vAlign w:val="center"/>
          </w:tcPr>
          <w:p w14:paraId="10D59777">
            <w:pPr>
              <w:keepNext w:val="0"/>
              <w:keepLines w:val="0"/>
              <w:widowControl/>
              <w:suppressLineNumbers w:val="0"/>
              <w:jc w:val="center"/>
              <w:textAlignment w:val="center"/>
              <w:rPr>
                <w:rFonts w:ascii="黑体" w:hAnsi="宋体" w:eastAsia="黑体" w:cs="黑体"/>
                <w:i w:val="0"/>
                <w:iCs w:val="0"/>
                <w:color w:val="000000"/>
                <w:sz w:val="30"/>
                <w:szCs w:val="30"/>
                <w:u w:val="none"/>
              </w:rPr>
            </w:pPr>
            <w:bookmarkStart w:id="107" w:name="_Toc15377226"/>
            <w:bookmarkStart w:id="108" w:name="_Toc15396618"/>
            <w:r>
              <w:rPr>
                <w:rFonts w:hint="eastAsia" w:ascii="黑体" w:hAnsi="宋体" w:eastAsia="黑体" w:cs="黑体"/>
                <w:i w:val="0"/>
                <w:iCs w:val="0"/>
                <w:color w:val="000000"/>
                <w:kern w:val="0"/>
                <w:sz w:val="30"/>
                <w:szCs w:val="30"/>
                <w:u w:val="none"/>
                <w:lang w:val="en-US" w:eastAsia="zh-CN" w:bidi="ar"/>
              </w:rPr>
              <w:t>部门整体支出绩效目标完成情况自评表</w:t>
            </w:r>
          </w:p>
        </w:tc>
      </w:tr>
      <w:tr w14:paraId="6C5F2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665" w:type="dxa"/>
            <w:gridSpan w:val="8"/>
            <w:tcBorders>
              <w:top w:val="nil"/>
              <w:left w:val="nil"/>
              <w:bottom w:val="nil"/>
              <w:right w:val="nil"/>
            </w:tcBorders>
            <w:shd w:val="clear" w:color="auto" w:fill="auto"/>
            <w:vAlign w:val="center"/>
          </w:tcPr>
          <w:p w14:paraId="40E76C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（2023年度）</w:t>
            </w:r>
          </w:p>
        </w:tc>
        <w:tc>
          <w:tcPr>
            <w:tcW w:w="0" w:type="auto"/>
            <w:tcBorders>
              <w:top w:val="nil"/>
              <w:left w:val="nil"/>
              <w:bottom w:val="nil"/>
              <w:right w:val="nil"/>
            </w:tcBorders>
            <w:shd w:val="clear" w:color="auto" w:fill="auto"/>
            <w:noWrap/>
            <w:vAlign w:val="center"/>
          </w:tcPr>
          <w:p w14:paraId="5EA310B0">
            <w:pPr>
              <w:rPr>
                <w:rFonts w:hint="eastAsia" w:ascii="宋体" w:hAnsi="宋体" w:eastAsia="宋体" w:cs="宋体"/>
                <w:i w:val="0"/>
                <w:iCs w:val="0"/>
                <w:color w:val="000000"/>
                <w:sz w:val="22"/>
                <w:szCs w:val="22"/>
                <w:u w:val="none"/>
              </w:rPr>
            </w:pPr>
          </w:p>
        </w:tc>
      </w:tr>
      <w:tr w14:paraId="44936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837" w:type="dxa"/>
            <w:gridSpan w:val="9"/>
            <w:tcBorders>
              <w:top w:val="nil"/>
              <w:left w:val="nil"/>
              <w:bottom w:val="nil"/>
              <w:right w:val="nil"/>
            </w:tcBorders>
            <w:shd w:val="clear" w:color="auto" w:fill="auto"/>
            <w:vAlign w:val="center"/>
          </w:tcPr>
          <w:p w14:paraId="2D3A9CB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6AE4A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5157" w:type="dxa"/>
            <w:gridSpan w:val="3"/>
            <w:tcBorders>
              <w:top w:val="nil"/>
              <w:left w:val="single" w:color="000000" w:sz="4" w:space="0"/>
              <w:bottom w:val="single" w:color="000000" w:sz="4" w:space="0"/>
              <w:right w:val="single" w:color="000000" w:sz="4" w:space="0"/>
            </w:tcBorders>
            <w:shd w:val="clear" w:color="auto" w:fill="auto"/>
            <w:vAlign w:val="center"/>
          </w:tcPr>
          <w:p w14:paraId="1A599F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8680" w:type="dxa"/>
            <w:gridSpan w:val="6"/>
            <w:tcBorders>
              <w:top w:val="nil"/>
              <w:left w:val="single" w:color="000000" w:sz="4" w:space="0"/>
              <w:bottom w:val="nil"/>
              <w:right w:val="single" w:color="000000" w:sz="4" w:space="0"/>
            </w:tcBorders>
            <w:shd w:val="clear" w:color="auto" w:fill="auto"/>
            <w:vAlign w:val="center"/>
          </w:tcPr>
          <w:p w14:paraId="3937B9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大竹县文星镇神合学校部门</w:t>
            </w:r>
          </w:p>
        </w:tc>
      </w:tr>
      <w:tr w14:paraId="21264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B22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3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1C4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4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779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43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EF39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r>
      <w:tr w14:paraId="1B6FB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65993">
            <w:pPr>
              <w:jc w:val="center"/>
              <w:rPr>
                <w:rFonts w:hint="eastAsia" w:ascii="宋体" w:hAnsi="宋体" w:eastAsia="宋体" w:cs="宋体"/>
                <w:i w:val="0"/>
                <w:iCs w:val="0"/>
                <w:color w:val="000000"/>
                <w:sz w:val="18"/>
                <w:szCs w:val="18"/>
                <w:u w:val="none"/>
              </w:rPr>
            </w:pPr>
          </w:p>
        </w:tc>
        <w:tc>
          <w:tcPr>
            <w:tcW w:w="3692" w:type="dxa"/>
            <w:gridSpan w:val="2"/>
            <w:tcBorders>
              <w:top w:val="single" w:color="000000" w:sz="4" w:space="0"/>
              <w:left w:val="single" w:color="000000" w:sz="4" w:space="0"/>
              <w:bottom w:val="nil"/>
              <w:right w:val="single" w:color="000000" w:sz="4" w:space="0"/>
            </w:tcBorders>
            <w:shd w:val="clear" w:color="auto" w:fill="auto"/>
            <w:vAlign w:val="center"/>
          </w:tcPr>
          <w:p w14:paraId="2E56A7C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485.66</w:t>
            </w:r>
          </w:p>
        </w:tc>
        <w:tc>
          <w:tcPr>
            <w:tcW w:w="4308" w:type="dxa"/>
            <w:gridSpan w:val="2"/>
            <w:tcBorders>
              <w:top w:val="single" w:color="000000" w:sz="4" w:space="0"/>
              <w:left w:val="single" w:color="000000" w:sz="4" w:space="0"/>
              <w:bottom w:val="nil"/>
              <w:right w:val="single" w:color="000000" w:sz="4" w:space="0"/>
            </w:tcBorders>
            <w:shd w:val="clear" w:color="auto" w:fill="auto"/>
            <w:vAlign w:val="center"/>
          </w:tcPr>
          <w:p w14:paraId="7AED05A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485.66</w:t>
            </w:r>
          </w:p>
        </w:tc>
        <w:tc>
          <w:tcPr>
            <w:tcW w:w="4372" w:type="dxa"/>
            <w:gridSpan w:val="4"/>
            <w:tcBorders>
              <w:top w:val="nil"/>
              <w:left w:val="single" w:color="000000" w:sz="4" w:space="0"/>
              <w:bottom w:val="nil"/>
              <w:right w:val="single" w:color="000000" w:sz="4" w:space="0"/>
            </w:tcBorders>
            <w:shd w:val="clear" w:color="auto" w:fill="auto"/>
            <w:vAlign w:val="center"/>
          </w:tcPr>
          <w:p w14:paraId="3AA4CC7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14:paraId="778D3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trPr>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99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123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2D9F5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1、保障学生权益；2、促进学生发展；3、提升教师水平；4、提高教师素养；5、创建平安校园。</w:t>
            </w:r>
          </w:p>
        </w:tc>
      </w:tr>
      <w:tr w14:paraId="6002C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4E8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3692" w:type="dxa"/>
            <w:gridSpan w:val="2"/>
            <w:tcBorders>
              <w:top w:val="nil"/>
              <w:left w:val="single" w:color="000000" w:sz="4" w:space="0"/>
              <w:bottom w:val="single" w:color="000000" w:sz="4" w:space="0"/>
              <w:right w:val="single" w:color="000000" w:sz="4" w:space="0"/>
            </w:tcBorders>
            <w:shd w:val="clear" w:color="auto" w:fill="auto"/>
            <w:vAlign w:val="center"/>
          </w:tcPr>
          <w:p w14:paraId="3BC7E7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8680" w:type="dxa"/>
            <w:gridSpan w:val="6"/>
            <w:tcBorders>
              <w:top w:val="nil"/>
              <w:left w:val="single" w:color="000000" w:sz="4" w:space="0"/>
              <w:bottom w:val="single" w:color="000000" w:sz="4" w:space="0"/>
              <w:right w:val="single" w:color="000000" w:sz="4" w:space="0"/>
            </w:tcBorders>
            <w:shd w:val="clear" w:color="auto" w:fill="auto"/>
            <w:vAlign w:val="center"/>
          </w:tcPr>
          <w:p w14:paraId="027005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14:paraId="2F32D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5E6E6">
            <w:pPr>
              <w:jc w:val="center"/>
              <w:rPr>
                <w:rFonts w:hint="eastAsia" w:ascii="宋体" w:hAnsi="宋体" w:eastAsia="宋体" w:cs="宋体"/>
                <w:i w:val="0"/>
                <w:iCs w:val="0"/>
                <w:color w:val="000000"/>
                <w:sz w:val="18"/>
                <w:szCs w:val="18"/>
                <w:u w:val="none"/>
              </w:rPr>
            </w:pPr>
          </w:p>
        </w:tc>
        <w:tc>
          <w:tcPr>
            <w:tcW w:w="3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02E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学校建设工作</w:t>
            </w:r>
          </w:p>
        </w:tc>
        <w:tc>
          <w:tcPr>
            <w:tcW w:w="8680" w:type="dxa"/>
            <w:gridSpan w:val="6"/>
            <w:tcBorders>
              <w:top w:val="nil"/>
              <w:left w:val="single" w:color="000000" w:sz="4" w:space="0"/>
              <w:bottom w:val="single" w:color="000000" w:sz="4" w:space="0"/>
              <w:right w:val="single" w:color="000000" w:sz="4" w:space="0"/>
            </w:tcBorders>
            <w:shd w:val="clear" w:color="auto" w:fill="auto"/>
            <w:vAlign w:val="center"/>
          </w:tcPr>
          <w:p w14:paraId="0D00B6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全面落实党的教育方针以及省、市有关教育的政策和法律、法规、规章、履行中小学校各项教育管理职责，完成教育主管部门和同级政府部门下达的工作目标任务，确保中小学各项工作顺利开展。</w:t>
            </w:r>
          </w:p>
        </w:tc>
      </w:tr>
      <w:tr w14:paraId="784E7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75487">
            <w:pPr>
              <w:jc w:val="center"/>
              <w:rPr>
                <w:rFonts w:hint="eastAsia" w:ascii="宋体" w:hAnsi="宋体" w:eastAsia="宋体" w:cs="宋体"/>
                <w:i w:val="0"/>
                <w:iCs w:val="0"/>
                <w:color w:val="000000"/>
                <w:sz w:val="18"/>
                <w:szCs w:val="18"/>
                <w:u w:val="none"/>
              </w:rPr>
            </w:pPr>
          </w:p>
        </w:tc>
        <w:tc>
          <w:tcPr>
            <w:tcW w:w="3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B43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队伍建设工作</w:t>
            </w:r>
          </w:p>
        </w:tc>
        <w:tc>
          <w:tcPr>
            <w:tcW w:w="8680" w:type="dxa"/>
            <w:gridSpan w:val="6"/>
            <w:tcBorders>
              <w:top w:val="nil"/>
              <w:left w:val="single" w:color="000000" w:sz="4" w:space="0"/>
              <w:bottom w:val="single" w:color="000000" w:sz="4" w:space="0"/>
              <w:right w:val="single" w:color="000000" w:sz="4" w:space="0"/>
            </w:tcBorders>
            <w:shd w:val="clear" w:color="auto" w:fill="auto"/>
            <w:vAlign w:val="center"/>
          </w:tcPr>
          <w:p w14:paraId="01C590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切实加强学校教师队伍建设，制定业务培训计划和教研计划，提高教学水平，不定期进行师德教育，全面提高教师形象。</w:t>
            </w:r>
          </w:p>
        </w:tc>
      </w:tr>
      <w:tr w14:paraId="1C64B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9FE19">
            <w:pPr>
              <w:jc w:val="center"/>
              <w:rPr>
                <w:rFonts w:hint="eastAsia" w:ascii="宋体" w:hAnsi="宋体" w:eastAsia="宋体" w:cs="宋体"/>
                <w:i w:val="0"/>
                <w:iCs w:val="0"/>
                <w:color w:val="000000"/>
                <w:sz w:val="18"/>
                <w:szCs w:val="18"/>
                <w:u w:val="none"/>
              </w:rPr>
            </w:pPr>
          </w:p>
        </w:tc>
        <w:tc>
          <w:tcPr>
            <w:tcW w:w="3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443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学生教育工作</w:t>
            </w:r>
          </w:p>
        </w:tc>
        <w:tc>
          <w:tcPr>
            <w:tcW w:w="8680" w:type="dxa"/>
            <w:gridSpan w:val="6"/>
            <w:tcBorders>
              <w:top w:val="nil"/>
              <w:left w:val="single" w:color="000000" w:sz="4" w:space="0"/>
              <w:bottom w:val="single" w:color="000000" w:sz="4" w:space="0"/>
              <w:right w:val="single" w:color="000000" w:sz="4" w:space="0"/>
            </w:tcBorders>
            <w:shd w:val="clear" w:color="auto" w:fill="auto"/>
            <w:vAlign w:val="center"/>
          </w:tcPr>
          <w:p w14:paraId="15163B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促进学生德、智、体、美全面健康发展。</w:t>
            </w:r>
          </w:p>
        </w:tc>
      </w:tr>
      <w:tr w14:paraId="0D8C3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6697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D7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37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831" w:type="dxa"/>
            <w:tcBorders>
              <w:top w:val="nil"/>
              <w:left w:val="single" w:color="000000" w:sz="4" w:space="0"/>
              <w:bottom w:val="single" w:color="000000" w:sz="4" w:space="0"/>
              <w:right w:val="single" w:color="000000" w:sz="4" w:space="0"/>
            </w:tcBorders>
            <w:shd w:val="clear" w:color="auto" w:fill="auto"/>
            <w:vAlign w:val="center"/>
          </w:tcPr>
          <w:p w14:paraId="121D2D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477" w:type="dxa"/>
            <w:tcBorders>
              <w:top w:val="nil"/>
              <w:left w:val="single" w:color="000000" w:sz="4" w:space="0"/>
              <w:bottom w:val="single" w:color="000000" w:sz="4" w:space="0"/>
              <w:right w:val="single" w:color="000000" w:sz="4" w:space="0"/>
            </w:tcBorders>
            <w:shd w:val="clear" w:color="auto" w:fill="auto"/>
            <w:vAlign w:val="center"/>
          </w:tcPr>
          <w:p w14:paraId="3A5D15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绩效指标性质</w:t>
            </w:r>
          </w:p>
        </w:tc>
        <w:tc>
          <w:tcPr>
            <w:tcW w:w="1230" w:type="dxa"/>
            <w:tcBorders>
              <w:top w:val="nil"/>
              <w:left w:val="single" w:color="000000" w:sz="4" w:space="0"/>
              <w:bottom w:val="single" w:color="000000" w:sz="4" w:space="0"/>
              <w:right w:val="single" w:color="000000" w:sz="4" w:space="0"/>
            </w:tcBorders>
            <w:shd w:val="clear" w:color="auto" w:fill="auto"/>
            <w:vAlign w:val="center"/>
          </w:tcPr>
          <w:p w14:paraId="7CD3A1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绩效指标值</w:t>
            </w:r>
          </w:p>
        </w:tc>
        <w:tc>
          <w:tcPr>
            <w:tcW w:w="1108" w:type="dxa"/>
            <w:tcBorders>
              <w:top w:val="nil"/>
              <w:left w:val="single" w:color="000000" w:sz="4" w:space="0"/>
              <w:bottom w:val="single" w:color="000000" w:sz="4" w:space="0"/>
              <w:right w:val="single" w:color="000000" w:sz="4" w:space="0"/>
            </w:tcBorders>
            <w:shd w:val="clear" w:color="auto" w:fill="auto"/>
            <w:vAlign w:val="center"/>
          </w:tcPr>
          <w:p w14:paraId="43ACEA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绩效度量单位</w:t>
            </w:r>
          </w:p>
        </w:tc>
        <w:tc>
          <w:tcPr>
            <w:tcW w:w="862" w:type="dxa"/>
            <w:tcBorders>
              <w:top w:val="nil"/>
              <w:left w:val="single" w:color="000000" w:sz="4" w:space="0"/>
              <w:bottom w:val="single" w:color="000000" w:sz="4" w:space="0"/>
              <w:right w:val="nil"/>
            </w:tcBorders>
            <w:shd w:val="clear" w:color="auto" w:fill="auto"/>
            <w:vAlign w:val="center"/>
          </w:tcPr>
          <w:p w14:paraId="6217EF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172" w:type="dxa"/>
            <w:tcBorders>
              <w:top w:val="nil"/>
              <w:left w:val="single" w:color="000000" w:sz="4" w:space="0"/>
              <w:bottom w:val="single" w:color="000000" w:sz="4" w:space="0"/>
              <w:right w:val="single" w:color="000000" w:sz="4" w:space="0"/>
            </w:tcBorders>
            <w:shd w:val="clear" w:color="auto" w:fill="auto"/>
            <w:vAlign w:val="center"/>
          </w:tcPr>
          <w:p w14:paraId="2D7F84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实际完成指标值</w:t>
            </w:r>
          </w:p>
        </w:tc>
      </w:tr>
      <w:tr w14:paraId="0BD16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3AAC5">
            <w:pPr>
              <w:jc w:val="center"/>
              <w:rPr>
                <w:rFonts w:hint="eastAsia" w:ascii="宋体" w:hAnsi="宋体" w:eastAsia="宋体" w:cs="宋体"/>
                <w:i w:val="0"/>
                <w:iCs w:val="0"/>
                <w:color w:val="000000"/>
                <w:sz w:val="18"/>
                <w:szCs w:val="18"/>
                <w:u w:val="none"/>
              </w:rPr>
            </w:pPr>
          </w:p>
        </w:tc>
        <w:tc>
          <w:tcPr>
            <w:tcW w:w="1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D6C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02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F4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教师工作质量</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0D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6F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EE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nil"/>
            </w:tcBorders>
            <w:shd w:val="clear" w:color="auto" w:fill="auto"/>
            <w:vAlign w:val="center"/>
          </w:tcPr>
          <w:p w14:paraId="366420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8D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5738D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0A043">
            <w:pPr>
              <w:jc w:val="center"/>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33EC3">
            <w:pPr>
              <w:jc w:val="lef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23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40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教师按期完成工作</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14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B8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8A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nil"/>
            </w:tcBorders>
            <w:shd w:val="clear" w:color="auto" w:fill="auto"/>
            <w:vAlign w:val="center"/>
          </w:tcPr>
          <w:p w14:paraId="49D929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A8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3472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A66F2">
            <w:pPr>
              <w:jc w:val="center"/>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9F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BD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D5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学生学习情况</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78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66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1B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人/年</w:t>
            </w:r>
          </w:p>
        </w:tc>
        <w:tc>
          <w:tcPr>
            <w:tcW w:w="862" w:type="dxa"/>
            <w:tcBorders>
              <w:top w:val="single" w:color="000000" w:sz="4" w:space="0"/>
              <w:left w:val="single" w:color="000000" w:sz="4" w:space="0"/>
              <w:bottom w:val="single" w:color="000000" w:sz="4" w:space="0"/>
              <w:right w:val="nil"/>
            </w:tcBorders>
            <w:shd w:val="clear" w:color="auto" w:fill="auto"/>
            <w:vAlign w:val="center"/>
          </w:tcPr>
          <w:p w14:paraId="53CAB9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99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r>
      <w:tr w14:paraId="5DC6E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C52A3">
            <w:pPr>
              <w:jc w:val="center"/>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62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EC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87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学生满意度</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DF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2A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86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nil"/>
            </w:tcBorders>
            <w:shd w:val="clear" w:color="auto" w:fill="auto"/>
            <w:vAlign w:val="center"/>
          </w:tcPr>
          <w:p w14:paraId="2FC644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4B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r>
      <w:tr w14:paraId="26A10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0A481">
            <w:pPr>
              <w:jc w:val="center"/>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21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97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34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教师完成工作的奖励</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A3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DE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F9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nil"/>
            </w:tcBorders>
            <w:shd w:val="clear" w:color="auto" w:fill="auto"/>
            <w:vAlign w:val="center"/>
          </w:tcPr>
          <w:p w14:paraId="422933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C3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14:paraId="3B6D742A">
      <w:pPr>
        <w:pStyle w:val="2"/>
        <w:rPr>
          <w:rFonts w:hint="eastAsia" w:ascii="黑体" w:hAnsi="黑体" w:eastAsia="黑体"/>
          <w:color w:val="auto"/>
          <w:sz w:val="44"/>
          <w:szCs w:val="44"/>
          <w:highlight w:val="none"/>
          <w:lang w:eastAsia="zh-CN"/>
        </w:rPr>
      </w:pPr>
    </w:p>
    <w:tbl>
      <w:tblPr>
        <w:tblStyle w:val="12"/>
        <w:tblW w:w="129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1"/>
        <w:gridCol w:w="1828"/>
        <w:gridCol w:w="1578"/>
        <w:gridCol w:w="2016"/>
        <w:gridCol w:w="477"/>
        <w:gridCol w:w="1495"/>
        <w:gridCol w:w="756"/>
        <w:gridCol w:w="997"/>
        <w:gridCol w:w="486"/>
        <w:gridCol w:w="412"/>
        <w:gridCol w:w="2264"/>
      </w:tblGrid>
      <w:tr w14:paraId="7640D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94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1C1A90">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D7E4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8D4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2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93FFB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51172422T000005679581-幼儿园改造及附属设施建设项目款（存量）</w:t>
            </w:r>
          </w:p>
        </w:tc>
      </w:tr>
      <w:tr w14:paraId="40E84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B3A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2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349D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大竹县文星镇神合学校部门</w:t>
            </w:r>
          </w:p>
        </w:tc>
        <w:tc>
          <w:tcPr>
            <w:tcW w:w="1004" w:type="dxa"/>
            <w:tcBorders>
              <w:top w:val="nil"/>
              <w:left w:val="nil"/>
              <w:bottom w:val="nil"/>
              <w:right w:val="nil"/>
            </w:tcBorders>
            <w:shd w:val="clear" w:color="auto" w:fill="auto"/>
            <w:vAlign w:val="center"/>
          </w:tcPr>
          <w:p w14:paraId="3E838A55">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7D50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大竹县文星镇神合学校</w:t>
            </w:r>
          </w:p>
        </w:tc>
      </w:tr>
      <w:tr w14:paraId="5442D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7FC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794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2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056E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C082A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5C81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0CF3E">
            <w:pPr>
              <w:rPr>
                <w:rFonts w:hint="eastAsia" w:ascii="宋体" w:hAnsi="宋体" w:eastAsia="宋体" w:cs="宋体"/>
                <w:i w:val="0"/>
                <w:iCs w:val="0"/>
                <w:color w:val="000000"/>
                <w:sz w:val="18"/>
                <w:szCs w:val="18"/>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2FC71">
            <w:pPr>
              <w:rPr>
                <w:rFonts w:hint="eastAsia" w:ascii="宋体" w:hAnsi="宋体" w:eastAsia="宋体" w:cs="宋体"/>
                <w:i w:val="0"/>
                <w:iCs w:val="0"/>
                <w:color w:val="000000"/>
                <w:sz w:val="18"/>
                <w:szCs w:val="18"/>
                <w:u w:val="none"/>
              </w:rPr>
            </w:pPr>
          </w:p>
        </w:tc>
        <w:tc>
          <w:tcPr>
            <w:tcW w:w="62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421A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幼儿园改造及附属设施建设项目</w:t>
            </w:r>
          </w:p>
        </w:tc>
        <w:tc>
          <w:tcPr>
            <w:tcW w:w="42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E1AAA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保障幼儿园改造及附属设施建设工程完结。</w:t>
            </w:r>
          </w:p>
        </w:tc>
      </w:tr>
      <w:tr w14:paraId="25301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AA460">
            <w:pPr>
              <w:rPr>
                <w:rFonts w:hint="eastAsia" w:ascii="宋体" w:hAnsi="宋体" w:eastAsia="宋体" w:cs="宋体"/>
                <w:i w:val="0"/>
                <w:iCs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09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2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851675C">
            <w:pP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保障幼儿园改造及附属设施建设工程完结。</w:t>
            </w:r>
          </w:p>
        </w:tc>
      </w:tr>
      <w:tr w14:paraId="7498F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6CAC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16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EC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34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9D65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49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F8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88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C0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4D8C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37703">
            <w:pPr>
              <w:jc w:val="center"/>
              <w:rPr>
                <w:rFonts w:hint="eastAsia" w:ascii="宋体" w:hAnsi="宋体" w:eastAsia="宋体" w:cs="宋体"/>
                <w:i w:val="0"/>
                <w:iCs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5D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F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F7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7.78</w:t>
            </w:r>
          </w:p>
        </w:tc>
        <w:tc>
          <w:tcPr>
            <w:tcW w:w="2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A5BD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7.78</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69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58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7FF9">
            <w:pPr>
              <w:jc w:val="center"/>
              <w:rPr>
                <w:rFonts w:hint="eastAsia" w:ascii="宋体" w:hAnsi="宋体" w:eastAsia="宋体" w:cs="宋体"/>
                <w:i w:val="0"/>
                <w:iCs w:val="0"/>
                <w:color w:val="000000"/>
                <w:sz w:val="18"/>
                <w:szCs w:val="18"/>
                <w:u w:val="none"/>
              </w:rPr>
            </w:pPr>
          </w:p>
        </w:tc>
        <w:tc>
          <w:tcPr>
            <w:tcW w:w="2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46EF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年初预算不足，财政追加指标。</w:t>
            </w:r>
          </w:p>
        </w:tc>
      </w:tr>
      <w:tr w14:paraId="1221E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2C10E">
            <w:pPr>
              <w:jc w:val="center"/>
              <w:rPr>
                <w:rFonts w:hint="eastAsia" w:ascii="宋体" w:hAnsi="宋体" w:eastAsia="宋体" w:cs="宋体"/>
                <w:i w:val="0"/>
                <w:iCs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0B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B9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E0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7.78</w:t>
            </w:r>
          </w:p>
        </w:tc>
        <w:tc>
          <w:tcPr>
            <w:tcW w:w="2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CC8E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7.78</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92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79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94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D1C8D">
            <w:pPr>
              <w:rPr>
                <w:rFonts w:hint="eastAsia" w:ascii="黑体" w:hAnsi="黑体" w:eastAsia="黑体" w:cs="黑体"/>
                <w:i/>
                <w:iCs/>
                <w:color w:val="000000"/>
                <w:sz w:val="18"/>
                <w:szCs w:val="18"/>
                <w:u w:val="none"/>
              </w:rPr>
            </w:pPr>
          </w:p>
        </w:tc>
      </w:tr>
      <w:tr w14:paraId="09ACA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D526F">
            <w:pPr>
              <w:jc w:val="center"/>
              <w:rPr>
                <w:rFonts w:hint="eastAsia" w:ascii="宋体" w:hAnsi="宋体" w:eastAsia="宋体" w:cs="宋体"/>
                <w:i w:val="0"/>
                <w:iCs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6D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F2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86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EA25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F0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BE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E3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61ED7">
            <w:pPr>
              <w:rPr>
                <w:rFonts w:hint="eastAsia" w:ascii="黑体" w:hAnsi="黑体" w:eastAsia="黑体" w:cs="黑体"/>
                <w:i/>
                <w:iCs/>
                <w:color w:val="000000"/>
                <w:sz w:val="18"/>
                <w:szCs w:val="18"/>
                <w:u w:val="none"/>
              </w:rPr>
            </w:pPr>
          </w:p>
        </w:tc>
      </w:tr>
      <w:tr w14:paraId="2675E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37835">
            <w:pPr>
              <w:jc w:val="center"/>
              <w:rPr>
                <w:rFonts w:hint="eastAsia" w:ascii="宋体" w:hAnsi="宋体" w:eastAsia="宋体" w:cs="宋体"/>
                <w:i w:val="0"/>
                <w:iCs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14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8C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35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DF0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98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60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50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1846A">
            <w:pPr>
              <w:rPr>
                <w:rFonts w:hint="eastAsia" w:ascii="黑体" w:hAnsi="黑体" w:eastAsia="黑体" w:cs="黑体"/>
                <w:i/>
                <w:iCs/>
                <w:color w:val="000000"/>
                <w:sz w:val="18"/>
                <w:szCs w:val="18"/>
                <w:u w:val="none"/>
              </w:rPr>
            </w:pPr>
          </w:p>
        </w:tc>
      </w:tr>
      <w:tr w14:paraId="5CF36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31114">
            <w:pPr>
              <w:jc w:val="center"/>
              <w:rPr>
                <w:rFonts w:hint="eastAsia" w:ascii="宋体" w:hAnsi="宋体" w:eastAsia="宋体" w:cs="宋体"/>
                <w:i w:val="0"/>
                <w:iCs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14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A163">
            <w:pPr>
              <w:jc w:val="center"/>
              <w:rPr>
                <w:rFonts w:hint="eastAsia" w:ascii="微软雅黑" w:hAnsi="微软雅黑" w:eastAsia="微软雅黑" w:cs="微软雅黑"/>
                <w:i/>
                <w:iCs/>
                <w:color w:val="000000"/>
                <w:sz w:val="16"/>
                <w:szCs w:val="16"/>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D2BC">
            <w:pPr>
              <w:jc w:val="center"/>
              <w:rPr>
                <w:rFonts w:hint="eastAsia" w:ascii="微软雅黑" w:hAnsi="微软雅黑" w:eastAsia="微软雅黑" w:cs="微软雅黑"/>
                <w:i/>
                <w:iCs/>
                <w:color w:val="000000"/>
                <w:sz w:val="16"/>
                <w:szCs w:val="16"/>
                <w:u w:val="none"/>
              </w:rPr>
            </w:pPr>
          </w:p>
        </w:tc>
        <w:tc>
          <w:tcPr>
            <w:tcW w:w="2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0EA02B">
            <w:pPr>
              <w:jc w:val="center"/>
              <w:rPr>
                <w:rFonts w:hint="eastAsia" w:ascii="微软雅黑" w:hAnsi="微软雅黑" w:eastAsia="微软雅黑" w:cs="微软雅黑"/>
                <w:i/>
                <w:iCs/>
                <w:color w:val="000000"/>
                <w:sz w:val="16"/>
                <w:szCs w:val="16"/>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E982">
            <w:pPr>
              <w:jc w:val="center"/>
              <w:rPr>
                <w:rFonts w:hint="eastAsia" w:ascii="微软雅黑" w:hAnsi="微软雅黑" w:eastAsia="微软雅黑" w:cs="微软雅黑"/>
                <w:i/>
                <w:iCs/>
                <w:color w:val="000000"/>
                <w:sz w:val="16"/>
                <w:szCs w:val="16"/>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67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63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6DDE5">
            <w:pPr>
              <w:rPr>
                <w:rFonts w:hint="eastAsia" w:ascii="黑体" w:hAnsi="黑体" w:eastAsia="黑体" w:cs="黑体"/>
                <w:i/>
                <w:iCs/>
                <w:color w:val="000000"/>
                <w:sz w:val="18"/>
                <w:szCs w:val="18"/>
                <w:u w:val="none"/>
              </w:rPr>
            </w:pPr>
          </w:p>
        </w:tc>
      </w:tr>
      <w:tr w14:paraId="3CA99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5FA6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44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53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43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E6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A9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2B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37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73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F8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B7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D82B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C7E4B">
            <w:pPr>
              <w:jc w:val="center"/>
              <w:rPr>
                <w:rFonts w:hint="eastAsia" w:ascii="宋体" w:hAnsi="宋体" w:eastAsia="宋体" w:cs="宋体"/>
                <w:i w:val="0"/>
                <w:iCs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53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CC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9D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幼儿园改造及附属设施建设项目</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BA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E3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CF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7B2F">
            <w:pPr>
              <w:jc w:val="center"/>
              <w:rPr>
                <w:rFonts w:hint="eastAsia" w:ascii="微软雅黑" w:hAnsi="微软雅黑" w:eastAsia="微软雅黑" w:cs="微软雅黑"/>
                <w:i/>
                <w:iCs/>
                <w:color w:val="000000"/>
                <w:sz w:val="16"/>
                <w:szCs w:val="16"/>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B7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AD49">
            <w:pPr>
              <w:jc w:val="center"/>
              <w:rPr>
                <w:rFonts w:hint="eastAsia" w:ascii="宋体" w:hAnsi="宋体" w:eastAsia="宋体" w:cs="宋体"/>
                <w:i w:val="0"/>
                <w:iCs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BE12">
            <w:pPr>
              <w:jc w:val="center"/>
              <w:rPr>
                <w:rFonts w:hint="eastAsia" w:ascii="微软雅黑" w:hAnsi="微软雅黑" w:eastAsia="微软雅黑" w:cs="微软雅黑"/>
                <w:i/>
                <w:iCs/>
                <w:color w:val="000000"/>
                <w:sz w:val="16"/>
                <w:szCs w:val="16"/>
                <w:u w:val="none"/>
              </w:rPr>
            </w:pPr>
          </w:p>
        </w:tc>
      </w:tr>
      <w:tr w14:paraId="189BB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58F4D">
            <w:pPr>
              <w:jc w:val="center"/>
              <w:rPr>
                <w:rFonts w:hint="eastAsia" w:ascii="宋体" w:hAnsi="宋体" w:eastAsia="宋体" w:cs="宋体"/>
                <w:i w:val="0"/>
                <w:iCs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CD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D0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12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幼儿园改造及附属设施建设项目</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DE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12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FA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11B5">
            <w:pPr>
              <w:jc w:val="center"/>
              <w:rPr>
                <w:rFonts w:hint="eastAsia" w:ascii="微软雅黑" w:hAnsi="微软雅黑" w:eastAsia="微软雅黑" w:cs="微软雅黑"/>
                <w:i/>
                <w:iCs/>
                <w:color w:val="000000"/>
                <w:sz w:val="16"/>
                <w:szCs w:val="16"/>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37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0541">
            <w:pPr>
              <w:jc w:val="center"/>
              <w:rPr>
                <w:rFonts w:hint="eastAsia" w:ascii="宋体" w:hAnsi="宋体" w:eastAsia="宋体" w:cs="宋体"/>
                <w:i w:val="0"/>
                <w:iCs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CFA9">
            <w:pPr>
              <w:jc w:val="center"/>
              <w:rPr>
                <w:rFonts w:hint="eastAsia" w:ascii="微软雅黑" w:hAnsi="微软雅黑" w:eastAsia="微软雅黑" w:cs="微软雅黑"/>
                <w:i/>
                <w:iCs/>
                <w:color w:val="000000"/>
                <w:sz w:val="16"/>
                <w:szCs w:val="16"/>
                <w:u w:val="none"/>
              </w:rPr>
            </w:pPr>
          </w:p>
        </w:tc>
      </w:tr>
      <w:tr w14:paraId="32487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47374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20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060D">
            <w:pPr>
              <w:rPr>
                <w:rFonts w:hint="eastAsia" w:ascii="宋体" w:hAnsi="宋体" w:eastAsia="宋体" w:cs="宋体"/>
                <w:i w:val="0"/>
                <w:iCs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91BE">
            <w:pPr>
              <w:rPr>
                <w:rFonts w:hint="eastAsia" w:ascii="宋体" w:hAnsi="宋体" w:eastAsia="宋体" w:cs="宋体"/>
                <w:i w:val="0"/>
                <w:iCs w:val="0"/>
                <w:color w:val="000000"/>
                <w:sz w:val="18"/>
                <w:szCs w:val="18"/>
                <w:u w:val="none"/>
              </w:rPr>
            </w:pPr>
          </w:p>
        </w:tc>
      </w:tr>
      <w:tr w14:paraId="63C58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6C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792F6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38572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F4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92BAC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406B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C0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2A9A4A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006F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1E9DE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项目负责人：杨威</w:t>
            </w:r>
          </w:p>
        </w:tc>
        <w:tc>
          <w:tcPr>
            <w:tcW w:w="62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A6BBB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财务负责人：苟小丽</w:t>
            </w:r>
          </w:p>
        </w:tc>
      </w:tr>
      <w:tr w14:paraId="222C0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3" w:type="dxa"/>
            <w:tcBorders>
              <w:top w:val="nil"/>
              <w:left w:val="nil"/>
              <w:bottom w:val="nil"/>
              <w:right w:val="nil"/>
            </w:tcBorders>
            <w:shd w:val="clear" w:color="auto" w:fill="auto"/>
            <w:vAlign w:val="center"/>
          </w:tcPr>
          <w:p w14:paraId="6C4396CC">
            <w:pPr>
              <w:rPr>
                <w:rFonts w:hint="eastAsia" w:ascii="宋体" w:hAnsi="宋体" w:eastAsia="宋体" w:cs="宋体"/>
                <w:i w:val="0"/>
                <w:iCs w:val="0"/>
                <w:color w:val="000000"/>
                <w:sz w:val="18"/>
                <w:szCs w:val="18"/>
                <w:u w:val="none"/>
              </w:rPr>
            </w:pPr>
          </w:p>
          <w:p w14:paraId="6088BE33">
            <w:pPr>
              <w:rPr>
                <w:rFonts w:hint="eastAsia" w:ascii="宋体" w:hAnsi="宋体" w:eastAsia="宋体" w:cs="宋体"/>
                <w:i w:val="0"/>
                <w:iCs w:val="0"/>
                <w:color w:val="000000"/>
                <w:sz w:val="18"/>
                <w:szCs w:val="18"/>
                <w:u w:val="none"/>
              </w:rPr>
            </w:pPr>
          </w:p>
          <w:p w14:paraId="18675493">
            <w:pPr>
              <w:rPr>
                <w:rFonts w:hint="eastAsia" w:ascii="宋体" w:hAnsi="宋体" w:eastAsia="宋体" w:cs="宋体"/>
                <w:i w:val="0"/>
                <w:iCs w:val="0"/>
                <w:color w:val="000000"/>
                <w:sz w:val="18"/>
                <w:szCs w:val="18"/>
                <w:u w:val="none"/>
              </w:rPr>
            </w:pPr>
          </w:p>
          <w:p w14:paraId="7A58FF78">
            <w:pPr>
              <w:rPr>
                <w:rFonts w:hint="eastAsia" w:ascii="宋体" w:hAnsi="宋体" w:eastAsia="宋体" w:cs="宋体"/>
                <w:i w:val="0"/>
                <w:iCs w:val="0"/>
                <w:color w:val="000000"/>
                <w:sz w:val="18"/>
                <w:szCs w:val="18"/>
                <w:u w:val="none"/>
              </w:rPr>
            </w:pPr>
          </w:p>
          <w:p w14:paraId="322730E1">
            <w:pPr>
              <w:rPr>
                <w:rFonts w:hint="eastAsia" w:ascii="宋体" w:hAnsi="宋体" w:eastAsia="宋体" w:cs="宋体"/>
                <w:i w:val="0"/>
                <w:iCs w:val="0"/>
                <w:color w:val="000000"/>
                <w:sz w:val="18"/>
                <w:szCs w:val="18"/>
                <w:u w:val="none"/>
              </w:rPr>
            </w:pPr>
          </w:p>
          <w:p w14:paraId="044818EF">
            <w:pPr>
              <w:rPr>
                <w:rFonts w:hint="eastAsia" w:ascii="宋体" w:hAnsi="宋体" w:eastAsia="宋体" w:cs="宋体"/>
                <w:i w:val="0"/>
                <w:iCs w:val="0"/>
                <w:color w:val="000000"/>
                <w:sz w:val="18"/>
                <w:szCs w:val="18"/>
                <w:u w:val="none"/>
              </w:rPr>
            </w:pPr>
          </w:p>
        </w:tc>
        <w:tc>
          <w:tcPr>
            <w:tcW w:w="1884" w:type="dxa"/>
            <w:tcBorders>
              <w:top w:val="nil"/>
              <w:left w:val="nil"/>
              <w:bottom w:val="nil"/>
              <w:right w:val="nil"/>
            </w:tcBorders>
            <w:shd w:val="clear" w:color="auto" w:fill="auto"/>
            <w:vAlign w:val="center"/>
          </w:tcPr>
          <w:p w14:paraId="2B78C1AB">
            <w:pPr>
              <w:rPr>
                <w:rFonts w:hint="eastAsia" w:ascii="宋体" w:hAnsi="宋体" w:eastAsia="宋体" w:cs="宋体"/>
                <w:i w:val="0"/>
                <w:iCs w:val="0"/>
                <w:color w:val="000000"/>
                <w:sz w:val="18"/>
                <w:szCs w:val="18"/>
                <w:u w:val="none"/>
              </w:rPr>
            </w:pPr>
          </w:p>
        </w:tc>
        <w:tc>
          <w:tcPr>
            <w:tcW w:w="1623" w:type="dxa"/>
            <w:tcBorders>
              <w:top w:val="nil"/>
              <w:left w:val="nil"/>
              <w:bottom w:val="nil"/>
              <w:right w:val="nil"/>
            </w:tcBorders>
            <w:shd w:val="clear" w:color="auto" w:fill="auto"/>
            <w:vAlign w:val="center"/>
          </w:tcPr>
          <w:p w14:paraId="5AE8D823">
            <w:pPr>
              <w:rPr>
                <w:rFonts w:hint="eastAsia" w:ascii="宋体" w:hAnsi="宋体" w:eastAsia="宋体" w:cs="宋体"/>
                <w:i w:val="0"/>
                <w:iCs w:val="0"/>
                <w:color w:val="000000"/>
                <w:sz w:val="18"/>
                <w:szCs w:val="18"/>
                <w:u w:val="none"/>
              </w:rPr>
            </w:pPr>
          </w:p>
        </w:tc>
        <w:tc>
          <w:tcPr>
            <w:tcW w:w="2076" w:type="dxa"/>
            <w:tcBorders>
              <w:top w:val="nil"/>
              <w:left w:val="nil"/>
              <w:bottom w:val="nil"/>
              <w:right w:val="nil"/>
            </w:tcBorders>
            <w:shd w:val="clear" w:color="auto" w:fill="auto"/>
            <w:vAlign w:val="center"/>
          </w:tcPr>
          <w:p w14:paraId="6D0A809C">
            <w:pPr>
              <w:rPr>
                <w:rFonts w:hint="eastAsia" w:ascii="宋体" w:hAnsi="宋体" w:eastAsia="宋体" w:cs="宋体"/>
                <w:i w:val="0"/>
                <w:iCs w:val="0"/>
                <w:color w:val="000000"/>
                <w:sz w:val="18"/>
                <w:szCs w:val="18"/>
                <w:u w:val="none"/>
              </w:rPr>
            </w:pPr>
          </w:p>
        </w:tc>
        <w:tc>
          <w:tcPr>
            <w:tcW w:w="481" w:type="dxa"/>
            <w:tcBorders>
              <w:top w:val="nil"/>
              <w:left w:val="nil"/>
              <w:bottom w:val="nil"/>
              <w:right w:val="nil"/>
            </w:tcBorders>
            <w:shd w:val="clear" w:color="auto" w:fill="auto"/>
            <w:vAlign w:val="center"/>
          </w:tcPr>
          <w:p w14:paraId="0FACCE28">
            <w:pPr>
              <w:rPr>
                <w:rFonts w:hint="eastAsia" w:ascii="宋体" w:hAnsi="宋体" w:eastAsia="宋体" w:cs="宋体"/>
                <w:i w:val="0"/>
                <w:iCs w:val="0"/>
                <w:color w:val="000000"/>
                <w:sz w:val="18"/>
                <w:szCs w:val="18"/>
                <w:u w:val="none"/>
              </w:rPr>
            </w:pPr>
          </w:p>
        </w:tc>
        <w:tc>
          <w:tcPr>
            <w:tcW w:w="1540" w:type="dxa"/>
            <w:tcBorders>
              <w:top w:val="nil"/>
              <w:left w:val="nil"/>
              <w:bottom w:val="nil"/>
              <w:right w:val="nil"/>
            </w:tcBorders>
            <w:shd w:val="clear" w:color="auto" w:fill="auto"/>
            <w:vAlign w:val="center"/>
          </w:tcPr>
          <w:p w14:paraId="2418CA12">
            <w:pPr>
              <w:rPr>
                <w:rFonts w:hint="eastAsia" w:ascii="宋体" w:hAnsi="宋体" w:eastAsia="宋体" w:cs="宋体"/>
                <w:i w:val="0"/>
                <w:iCs w:val="0"/>
                <w:color w:val="000000"/>
                <w:sz w:val="18"/>
                <w:szCs w:val="18"/>
                <w:u w:val="none"/>
              </w:rPr>
            </w:pPr>
          </w:p>
        </w:tc>
        <w:tc>
          <w:tcPr>
            <w:tcW w:w="481" w:type="dxa"/>
            <w:tcBorders>
              <w:top w:val="nil"/>
              <w:left w:val="nil"/>
              <w:bottom w:val="nil"/>
              <w:right w:val="nil"/>
            </w:tcBorders>
            <w:shd w:val="clear" w:color="auto" w:fill="auto"/>
            <w:vAlign w:val="center"/>
          </w:tcPr>
          <w:p w14:paraId="10083D16">
            <w:pPr>
              <w:rPr>
                <w:rFonts w:hint="eastAsia" w:ascii="宋体" w:hAnsi="宋体" w:eastAsia="宋体" w:cs="宋体"/>
                <w:i w:val="0"/>
                <w:iCs w:val="0"/>
                <w:color w:val="000000"/>
                <w:sz w:val="18"/>
                <w:szCs w:val="18"/>
                <w:u w:val="none"/>
              </w:rPr>
            </w:pPr>
          </w:p>
        </w:tc>
        <w:tc>
          <w:tcPr>
            <w:tcW w:w="1004" w:type="dxa"/>
            <w:tcBorders>
              <w:top w:val="nil"/>
              <w:left w:val="nil"/>
              <w:bottom w:val="nil"/>
              <w:right w:val="nil"/>
            </w:tcBorders>
            <w:shd w:val="clear" w:color="auto" w:fill="auto"/>
            <w:vAlign w:val="center"/>
          </w:tcPr>
          <w:p w14:paraId="42769696">
            <w:pPr>
              <w:rPr>
                <w:rFonts w:hint="eastAsia" w:ascii="宋体" w:hAnsi="宋体" w:eastAsia="宋体" w:cs="宋体"/>
                <w:i w:val="0"/>
                <w:iCs w:val="0"/>
                <w:color w:val="000000"/>
                <w:sz w:val="18"/>
                <w:szCs w:val="18"/>
                <w:u w:val="none"/>
              </w:rPr>
            </w:pPr>
          </w:p>
        </w:tc>
        <w:tc>
          <w:tcPr>
            <w:tcW w:w="468" w:type="dxa"/>
            <w:tcBorders>
              <w:top w:val="nil"/>
              <w:left w:val="nil"/>
              <w:bottom w:val="nil"/>
              <w:right w:val="nil"/>
            </w:tcBorders>
            <w:shd w:val="clear" w:color="auto" w:fill="auto"/>
            <w:vAlign w:val="center"/>
          </w:tcPr>
          <w:p w14:paraId="730F8498">
            <w:pPr>
              <w:rPr>
                <w:rFonts w:hint="eastAsia" w:ascii="宋体" w:hAnsi="宋体" w:eastAsia="宋体" w:cs="宋体"/>
                <w:i w:val="0"/>
                <w:iCs w:val="0"/>
                <w:color w:val="000000"/>
                <w:sz w:val="18"/>
                <w:szCs w:val="18"/>
                <w:u w:val="none"/>
              </w:rPr>
            </w:pPr>
          </w:p>
        </w:tc>
        <w:tc>
          <w:tcPr>
            <w:tcW w:w="413" w:type="dxa"/>
            <w:tcBorders>
              <w:top w:val="nil"/>
              <w:left w:val="nil"/>
              <w:bottom w:val="nil"/>
              <w:right w:val="nil"/>
            </w:tcBorders>
            <w:shd w:val="clear" w:color="auto" w:fill="auto"/>
            <w:vAlign w:val="center"/>
          </w:tcPr>
          <w:p w14:paraId="75ED2303">
            <w:pPr>
              <w:rPr>
                <w:rFonts w:hint="eastAsia" w:ascii="宋体" w:hAnsi="宋体" w:eastAsia="宋体" w:cs="宋体"/>
                <w:i w:val="0"/>
                <w:iCs w:val="0"/>
                <w:color w:val="000000"/>
                <w:sz w:val="18"/>
                <w:szCs w:val="18"/>
                <w:u w:val="none"/>
              </w:rPr>
            </w:pPr>
          </w:p>
        </w:tc>
        <w:tc>
          <w:tcPr>
            <w:tcW w:w="2338" w:type="dxa"/>
            <w:tcBorders>
              <w:top w:val="nil"/>
              <w:left w:val="nil"/>
              <w:bottom w:val="nil"/>
              <w:right w:val="nil"/>
            </w:tcBorders>
            <w:shd w:val="clear" w:color="auto" w:fill="auto"/>
            <w:vAlign w:val="center"/>
          </w:tcPr>
          <w:p w14:paraId="3AFB91BD">
            <w:pPr>
              <w:rPr>
                <w:rFonts w:hint="eastAsia" w:ascii="宋体" w:hAnsi="宋体" w:eastAsia="宋体" w:cs="宋体"/>
                <w:i w:val="0"/>
                <w:iCs w:val="0"/>
                <w:color w:val="000000"/>
                <w:sz w:val="18"/>
                <w:szCs w:val="18"/>
                <w:u w:val="none"/>
              </w:rPr>
            </w:pPr>
          </w:p>
        </w:tc>
      </w:tr>
      <w:tr w14:paraId="1106F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94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8208578">
            <w:pPr>
              <w:keepNext w:val="0"/>
              <w:keepLines w:val="0"/>
              <w:widowControl/>
              <w:suppressLineNumbers w:val="0"/>
              <w:ind w:firstLine="301" w:firstLineChars="10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E725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DA8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2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30FEE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51172422T000005689144-校舍维修（存量）</w:t>
            </w:r>
          </w:p>
        </w:tc>
      </w:tr>
      <w:tr w14:paraId="014A2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1C9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2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F023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大竹县文星镇神合学校部门</w:t>
            </w:r>
          </w:p>
        </w:tc>
        <w:tc>
          <w:tcPr>
            <w:tcW w:w="1004" w:type="dxa"/>
            <w:tcBorders>
              <w:top w:val="nil"/>
              <w:left w:val="nil"/>
              <w:bottom w:val="nil"/>
              <w:right w:val="nil"/>
            </w:tcBorders>
            <w:shd w:val="clear" w:color="auto" w:fill="auto"/>
            <w:vAlign w:val="center"/>
          </w:tcPr>
          <w:p w14:paraId="02C15A8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24BA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大竹县文星镇神合学校</w:t>
            </w:r>
          </w:p>
        </w:tc>
      </w:tr>
      <w:tr w14:paraId="61522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6A8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6492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2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50CD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CD0D6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4C94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2D20A">
            <w:pPr>
              <w:rPr>
                <w:rFonts w:hint="eastAsia" w:ascii="宋体" w:hAnsi="宋体" w:eastAsia="宋体" w:cs="宋体"/>
                <w:i w:val="0"/>
                <w:iCs w:val="0"/>
                <w:color w:val="000000"/>
                <w:sz w:val="18"/>
                <w:szCs w:val="18"/>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3B11D">
            <w:pPr>
              <w:rPr>
                <w:rFonts w:hint="eastAsia" w:ascii="宋体" w:hAnsi="宋体" w:eastAsia="宋体" w:cs="宋体"/>
                <w:i w:val="0"/>
                <w:iCs w:val="0"/>
                <w:color w:val="000000"/>
                <w:sz w:val="18"/>
                <w:szCs w:val="18"/>
                <w:u w:val="none"/>
              </w:rPr>
            </w:pPr>
          </w:p>
        </w:tc>
        <w:tc>
          <w:tcPr>
            <w:tcW w:w="62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0C63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保障学校校舍安全及师生安全，精准预算，减少资金结余。</w:t>
            </w:r>
          </w:p>
        </w:tc>
        <w:tc>
          <w:tcPr>
            <w:tcW w:w="42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3172D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保障学校校舍安全。</w:t>
            </w:r>
          </w:p>
        </w:tc>
      </w:tr>
      <w:tr w14:paraId="612B1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7B06D">
            <w:pPr>
              <w:rPr>
                <w:rFonts w:hint="eastAsia" w:ascii="宋体" w:hAnsi="宋体" w:eastAsia="宋体" w:cs="宋体"/>
                <w:i w:val="0"/>
                <w:iCs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47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2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383879D">
            <w:pP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保障学校校舍安全。</w:t>
            </w:r>
          </w:p>
        </w:tc>
      </w:tr>
      <w:tr w14:paraId="628AC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D641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27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E5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7B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7A22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C0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2E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7A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6F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1C2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5DCB2">
            <w:pPr>
              <w:jc w:val="center"/>
              <w:rPr>
                <w:rFonts w:hint="eastAsia" w:ascii="宋体" w:hAnsi="宋体" w:eastAsia="宋体" w:cs="宋体"/>
                <w:i w:val="0"/>
                <w:iCs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A7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68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D7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50.41</w:t>
            </w:r>
          </w:p>
        </w:tc>
        <w:tc>
          <w:tcPr>
            <w:tcW w:w="2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3A99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50.41</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2E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7F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2FDC">
            <w:pPr>
              <w:jc w:val="center"/>
              <w:rPr>
                <w:rFonts w:hint="eastAsia" w:ascii="宋体" w:hAnsi="宋体" w:eastAsia="宋体" w:cs="宋体"/>
                <w:i w:val="0"/>
                <w:iCs w:val="0"/>
                <w:color w:val="000000"/>
                <w:sz w:val="18"/>
                <w:szCs w:val="18"/>
                <w:u w:val="none"/>
              </w:rPr>
            </w:pPr>
          </w:p>
        </w:tc>
        <w:tc>
          <w:tcPr>
            <w:tcW w:w="2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06DB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年初预算不足，财政追加指标。</w:t>
            </w:r>
          </w:p>
        </w:tc>
      </w:tr>
      <w:tr w14:paraId="4BD41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540BA">
            <w:pPr>
              <w:jc w:val="center"/>
              <w:rPr>
                <w:rFonts w:hint="eastAsia" w:ascii="宋体" w:hAnsi="宋体" w:eastAsia="宋体" w:cs="宋体"/>
                <w:i w:val="0"/>
                <w:iCs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BA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3F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A4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50.41</w:t>
            </w:r>
          </w:p>
        </w:tc>
        <w:tc>
          <w:tcPr>
            <w:tcW w:w="2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3703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50.41</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37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8E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40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F24EC">
            <w:pPr>
              <w:rPr>
                <w:rFonts w:hint="eastAsia" w:ascii="黑体" w:hAnsi="黑体" w:eastAsia="黑体" w:cs="黑体"/>
                <w:i/>
                <w:iCs/>
                <w:color w:val="000000"/>
                <w:sz w:val="18"/>
                <w:szCs w:val="18"/>
                <w:u w:val="none"/>
              </w:rPr>
            </w:pPr>
          </w:p>
        </w:tc>
      </w:tr>
      <w:tr w14:paraId="5863B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6F26C">
            <w:pPr>
              <w:jc w:val="center"/>
              <w:rPr>
                <w:rFonts w:hint="eastAsia" w:ascii="宋体" w:hAnsi="宋体" w:eastAsia="宋体" w:cs="宋体"/>
                <w:i w:val="0"/>
                <w:iCs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CD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5D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4E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8140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D6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B9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93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C70AF">
            <w:pPr>
              <w:rPr>
                <w:rFonts w:hint="eastAsia" w:ascii="黑体" w:hAnsi="黑体" w:eastAsia="黑体" w:cs="黑体"/>
                <w:i/>
                <w:iCs/>
                <w:color w:val="000000"/>
                <w:sz w:val="18"/>
                <w:szCs w:val="18"/>
                <w:u w:val="none"/>
              </w:rPr>
            </w:pPr>
          </w:p>
        </w:tc>
      </w:tr>
      <w:tr w14:paraId="242B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A62B1">
            <w:pPr>
              <w:jc w:val="center"/>
              <w:rPr>
                <w:rFonts w:hint="eastAsia" w:ascii="宋体" w:hAnsi="宋体" w:eastAsia="宋体" w:cs="宋体"/>
                <w:i w:val="0"/>
                <w:iCs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00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05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5A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8F03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71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7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A0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29B9E">
            <w:pPr>
              <w:rPr>
                <w:rFonts w:hint="eastAsia" w:ascii="黑体" w:hAnsi="黑体" w:eastAsia="黑体" w:cs="黑体"/>
                <w:i/>
                <w:iCs/>
                <w:color w:val="000000"/>
                <w:sz w:val="18"/>
                <w:szCs w:val="18"/>
                <w:u w:val="none"/>
              </w:rPr>
            </w:pPr>
          </w:p>
        </w:tc>
      </w:tr>
      <w:tr w14:paraId="389F9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1DE05">
            <w:pPr>
              <w:jc w:val="center"/>
              <w:rPr>
                <w:rFonts w:hint="eastAsia" w:ascii="宋体" w:hAnsi="宋体" w:eastAsia="宋体" w:cs="宋体"/>
                <w:i w:val="0"/>
                <w:iCs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5D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360C">
            <w:pPr>
              <w:jc w:val="center"/>
              <w:rPr>
                <w:rFonts w:hint="eastAsia" w:ascii="微软雅黑" w:hAnsi="微软雅黑" w:eastAsia="微软雅黑" w:cs="微软雅黑"/>
                <w:i/>
                <w:iCs/>
                <w:color w:val="000000"/>
                <w:sz w:val="16"/>
                <w:szCs w:val="16"/>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D62D">
            <w:pPr>
              <w:jc w:val="center"/>
              <w:rPr>
                <w:rFonts w:hint="eastAsia" w:ascii="微软雅黑" w:hAnsi="微软雅黑" w:eastAsia="微软雅黑" w:cs="微软雅黑"/>
                <w:i/>
                <w:iCs/>
                <w:color w:val="000000"/>
                <w:sz w:val="16"/>
                <w:szCs w:val="16"/>
                <w:u w:val="none"/>
              </w:rPr>
            </w:pPr>
          </w:p>
        </w:tc>
        <w:tc>
          <w:tcPr>
            <w:tcW w:w="2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808B22">
            <w:pPr>
              <w:jc w:val="center"/>
              <w:rPr>
                <w:rFonts w:hint="eastAsia" w:ascii="微软雅黑" w:hAnsi="微软雅黑" w:eastAsia="微软雅黑" w:cs="微软雅黑"/>
                <w:i/>
                <w:iCs/>
                <w:color w:val="000000"/>
                <w:sz w:val="16"/>
                <w:szCs w:val="16"/>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C197">
            <w:pPr>
              <w:jc w:val="center"/>
              <w:rPr>
                <w:rFonts w:hint="eastAsia" w:ascii="微软雅黑" w:hAnsi="微软雅黑" w:eastAsia="微软雅黑" w:cs="微软雅黑"/>
                <w:i/>
                <w:iCs/>
                <w:color w:val="000000"/>
                <w:sz w:val="16"/>
                <w:szCs w:val="16"/>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0B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D7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10F11">
            <w:pPr>
              <w:rPr>
                <w:rFonts w:hint="eastAsia" w:ascii="黑体" w:hAnsi="黑体" w:eastAsia="黑体" w:cs="黑体"/>
                <w:i/>
                <w:iCs/>
                <w:color w:val="000000"/>
                <w:sz w:val="18"/>
                <w:szCs w:val="18"/>
                <w:u w:val="none"/>
              </w:rPr>
            </w:pPr>
          </w:p>
        </w:tc>
      </w:tr>
      <w:tr w14:paraId="62646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9C01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8E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0A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13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99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06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C0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B9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4F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2F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67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FA72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21CE2">
            <w:pPr>
              <w:jc w:val="center"/>
              <w:rPr>
                <w:rFonts w:hint="eastAsia" w:ascii="宋体" w:hAnsi="宋体" w:eastAsia="宋体" w:cs="宋体"/>
                <w:i w:val="0"/>
                <w:iCs w:val="0"/>
                <w:color w:val="000000"/>
                <w:sz w:val="18"/>
                <w:szCs w:val="18"/>
                <w:u w:val="none"/>
              </w:rPr>
            </w:pPr>
          </w:p>
        </w:tc>
        <w:tc>
          <w:tcPr>
            <w:tcW w:w="1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FDE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FB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D2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竣工验收合格率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2E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3F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A3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座（处）</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52D2">
            <w:pPr>
              <w:jc w:val="center"/>
              <w:rPr>
                <w:rFonts w:hint="eastAsia" w:ascii="微软雅黑" w:hAnsi="微软雅黑" w:eastAsia="微软雅黑" w:cs="微软雅黑"/>
                <w:i/>
                <w:iCs/>
                <w:color w:val="000000"/>
                <w:sz w:val="16"/>
                <w:szCs w:val="16"/>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DB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E6A5">
            <w:pPr>
              <w:jc w:val="center"/>
              <w:rPr>
                <w:rFonts w:hint="eastAsia" w:ascii="宋体" w:hAnsi="宋体" w:eastAsia="宋体" w:cs="宋体"/>
                <w:i w:val="0"/>
                <w:iCs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B47E">
            <w:pPr>
              <w:jc w:val="center"/>
              <w:rPr>
                <w:rFonts w:hint="eastAsia" w:ascii="微软雅黑" w:hAnsi="微软雅黑" w:eastAsia="微软雅黑" w:cs="微软雅黑"/>
                <w:i/>
                <w:iCs/>
                <w:color w:val="000000"/>
                <w:sz w:val="16"/>
                <w:szCs w:val="16"/>
                <w:u w:val="none"/>
              </w:rPr>
            </w:pPr>
          </w:p>
        </w:tc>
      </w:tr>
      <w:tr w14:paraId="572A9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FCEFD">
            <w:pPr>
              <w:jc w:val="center"/>
              <w:rPr>
                <w:rFonts w:hint="eastAsia" w:ascii="宋体" w:hAnsi="宋体" w:eastAsia="宋体" w:cs="宋体"/>
                <w:i w:val="0"/>
                <w:iCs w:val="0"/>
                <w:color w:val="000000"/>
                <w:sz w:val="18"/>
                <w:szCs w:val="18"/>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5325C">
            <w:pPr>
              <w:jc w:val="center"/>
              <w:rPr>
                <w:rFonts w:hint="eastAsia" w:ascii="宋体" w:hAnsi="宋体" w:eastAsia="宋体" w:cs="宋体"/>
                <w:i w:val="0"/>
                <w:iCs w:val="0"/>
                <w:color w:val="000000"/>
                <w:sz w:val="18"/>
                <w:szCs w:val="18"/>
                <w:u w:val="none"/>
              </w:rPr>
            </w:pP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A44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A2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工程按期完成率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5A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BF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8F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座（处）</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B028">
            <w:pPr>
              <w:jc w:val="center"/>
              <w:rPr>
                <w:rFonts w:hint="eastAsia" w:ascii="微软雅黑" w:hAnsi="微软雅黑" w:eastAsia="微软雅黑" w:cs="微软雅黑"/>
                <w:i/>
                <w:iCs/>
                <w:color w:val="000000"/>
                <w:sz w:val="16"/>
                <w:szCs w:val="16"/>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E1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BB1C">
            <w:pPr>
              <w:jc w:val="center"/>
              <w:rPr>
                <w:rFonts w:hint="eastAsia" w:ascii="宋体" w:hAnsi="宋体" w:eastAsia="宋体" w:cs="宋体"/>
                <w:i w:val="0"/>
                <w:iCs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0599">
            <w:pPr>
              <w:jc w:val="center"/>
              <w:rPr>
                <w:rFonts w:hint="eastAsia" w:ascii="微软雅黑" w:hAnsi="微软雅黑" w:eastAsia="微软雅黑" w:cs="微软雅黑"/>
                <w:i/>
                <w:iCs/>
                <w:color w:val="000000"/>
                <w:sz w:val="16"/>
                <w:szCs w:val="16"/>
                <w:u w:val="none"/>
              </w:rPr>
            </w:pPr>
          </w:p>
        </w:tc>
      </w:tr>
      <w:tr w14:paraId="15E1B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FA1E3">
            <w:pPr>
              <w:jc w:val="center"/>
              <w:rPr>
                <w:rFonts w:hint="eastAsia" w:ascii="宋体" w:hAnsi="宋体" w:eastAsia="宋体" w:cs="宋体"/>
                <w:i w:val="0"/>
                <w:iCs w:val="0"/>
                <w:color w:val="000000"/>
                <w:sz w:val="18"/>
                <w:szCs w:val="18"/>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ED7A2">
            <w:pPr>
              <w:jc w:val="center"/>
              <w:rPr>
                <w:rFonts w:hint="eastAsia" w:ascii="宋体" w:hAnsi="宋体" w:eastAsia="宋体" w:cs="宋体"/>
                <w:i w:val="0"/>
                <w:iCs w:val="0"/>
                <w:color w:val="000000"/>
                <w:sz w:val="18"/>
                <w:szCs w:val="18"/>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FEFB1">
            <w:pPr>
              <w:jc w:val="center"/>
              <w:rPr>
                <w:rFonts w:hint="eastAsia" w:ascii="宋体" w:hAnsi="宋体" w:eastAsia="宋体" w:cs="宋体"/>
                <w:i w:val="0"/>
                <w:iCs w:val="0"/>
                <w:color w:val="000000"/>
                <w:sz w:val="18"/>
                <w:szCs w:val="18"/>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39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建设周期</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F5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E4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F8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天/月</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6C1C">
            <w:pPr>
              <w:jc w:val="center"/>
              <w:rPr>
                <w:rFonts w:hint="eastAsia" w:ascii="微软雅黑" w:hAnsi="微软雅黑" w:eastAsia="微软雅黑" w:cs="微软雅黑"/>
                <w:i/>
                <w:iCs/>
                <w:color w:val="000000"/>
                <w:sz w:val="16"/>
                <w:szCs w:val="16"/>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C5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7D3C">
            <w:pPr>
              <w:jc w:val="center"/>
              <w:rPr>
                <w:rFonts w:hint="eastAsia" w:ascii="宋体" w:hAnsi="宋体" w:eastAsia="宋体" w:cs="宋体"/>
                <w:i w:val="0"/>
                <w:iCs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4540">
            <w:pPr>
              <w:jc w:val="center"/>
              <w:rPr>
                <w:rFonts w:hint="eastAsia" w:ascii="微软雅黑" w:hAnsi="微软雅黑" w:eastAsia="微软雅黑" w:cs="微软雅黑"/>
                <w:i/>
                <w:iCs/>
                <w:color w:val="000000"/>
                <w:sz w:val="16"/>
                <w:szCs w:val="16"/>
                <w:u w:val="none"/>
              </w:rPr>
            </w:pPr>
          </w:p>
        </w:tc>
      </w:tr>
      <w:tr w14:paraId="0D1AB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E3919">
            <w:pPr>
              <w:jc w:val="center"/>
              <w:rPr>
                <w:rFonts w:hint="eastAsia" w:ascii="宋体" w:hAnsi="宋体" w:eastAsia="宋体" w:cs="宋体"/>
                <w:i w:val="0"/>
                <w:iCs w:val="0"/>
                <w:color w:val="000000"/>
                <w:sz w:val="18"/>
                <w:szCs w:val="18"/>
                <w:u w:val="none"/>
              </w:rPr>
            </w:pPr>
          </w:p>
        </w:tc>
        <w:tc>
          <w:tcPr>
            <w:tcW w:w="1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DF6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F0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78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改善师生教学条件</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C8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11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C2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座（处）</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29D3">
            <w:pPr>
              <w:jc w:val="center"/>
              <w:rPr>
                <w:rFonts w:hint="eastAsia" w:ascii="微软雅黑" w:hAnsi="微软雅黑" w:eastAsia="微软雅黑" w:cs="微软雅黑"/>
                <w:i/>
                <w:iCs/>
                <w:color w:val="000000"/>
                <w:sz w:val="16"/>
                <w:szCs w:val="16"/>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7E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8D7A">
            <w:pPr>
              <w:jc w:val="center"/>
              <w:rPr>
                <w:rFonts w:hint="eastAsia" w:ascii="宋体" w:hAnsi="宋体" w:eastAsia="宋体" w:cs="宋体"/>
                <w:i w:val="0"/>
                <w:iCs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08A4">
            <w:pPr>
              <w:jc w:val="center"/>
              <w:rPr>
                <w:rFonts w:hint="eastAsia" w:ascii="微软雅黑" w:hAnsi="微软雅黑" w:eastAsia="微软雅黑" w:cs="微软雅黑"/>
                <w:i/>
                <w:iCs/>
                <w:color w:val="000000"/>
                <w:sz w:val="16"/>
                <w:szCs w:val="16"/>
                <w:u w:val="none"/>
              </w:rPr>
            </w:pPr>
          </w:p>
        </w:tc>
      </w:tr>
      <w:tr w14:paraId="549FE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64227">
            <w:pPr>
              <w:jc w:val="center"/>
              <w:rPr>
                <w:rFonts w:hint="eastAsia" w:ascii="宋体" w:hAnsi="宋体" w:eastAsia="宋体" w:cs="宋体"/>
                <w:i w:val="0"/>
                <w:iCs w:val="0"/>
                <w:color w:val="000000"/>
                <w:sz w:val="18"/>
                <w:szCs w:val="18"/>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1AD45">
            <w:pPr>
              <w:jc w:val="center"/>
              <w:rPr>
                <w:rFonts w:hint="eastAsia" w:ascii="宋体" w:hAnsi="宋体" w:eastAsia="宋体" w:cs="宋体"/>
                <w:i w:val="0"/>
                <w:iCs w:val="0"/>
                <w:color w:val="000000"/>
                <w:sz w:val="18"/>
                <w:szCs w:val="18"/>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9A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35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修缮类持续发挥作用期限</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1B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F5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58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390D">
            <w:pPr>
              <w:jc w:val="center"/>
              <w:rPr>
                <w:rFonts w:hint="eastAsia" w:ascii="微软雅黑" w:hAnsi="微软雅黑" w:eastAsia="微软雅黑" w:cs="微软雅黑"/>
                <w:i/>
                <w:iCs/>
                <w:color w:val="000000"/>
                <w:sz w:val="16"/>
                <w:szCs w:val="16"/>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07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D67B">
            <w:pPr>
              <w:jc w:val="center"/>
              <w:rPr>
                <w:rFonts w:hint="eastAsia" w:ascii="宋体" w:hAnsi="宋体" w:eastAsia="宋体" w:cs="宋体"/>
                <w:i w:val="0"/>
                <w:iCs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4E19">
            <w:pPr>
              <w:jc w:val="center"/>
              <w:rPr>
                <w:rFonts w:hint="eastAsia" w:ascii="微软雅黑" w:hAnsi="微软雅黑" w:eastAsia="微软雅黑" w:cs="微软雅黑"/>
                <w:i/>
                <w:iCs/>
                <w:color w:val="000000"/>
                <w:sz w:val="16"/>
                <w:szCs w:val="16"/>
                <w:u w:val="none"/>
              </w:rPr>
            </w:pPr>
          </w:p>
        </w:tc>
      </w:tr>
      <w:tr w14:paraId="191BD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C1573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47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F06B">
            <w:pPr>
              <w:rPr>
                <w:rFonts w:hint="eastAsia" w:ascii="宋体" w:hAnsi="宋体" w:eastAsia="宋体" w:cs="宋体"/>
                <w:i w:val="0"/>
                <w:iCs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5C4B">
            <w:pPr>
              <w:rPr>
                <w:rFonts w:hint="eastAsia" w:ascii="宋体" w:hAnsi="宋体" w:eastAsia="宋体" w:cs="宋体"/>
                <w:i w:val="0"/>
                <w:iCs w:val="0"/>
                <w:color w:val="000000"/>
                <w:sz w:val="18"/>
                <w:szCs w:val="18"/>
                <w:u w:val="none"/>
              </w:rPr>
            </w:pPr>
          </w:p>
        </w:tc>
      </w:tr>
      <w:tr w14:paraId="5B7AA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99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E73B5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56E1D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9C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AAC52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FE4C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64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1409D4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B898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B8DCD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项目负责人：杨威</w:t>
            </w:r>
          </w:p>
        </w:tc>
        <w:tc>
          <w:tcPr>
            <w:tcW w:w="62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A2716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财务负责人：苟小丽</w:t>
            </w:r>
          </w:p>
        </w:tc>
      </w:tr>
      <w:tr w14:paraId="78B8E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3" w:type="dxa"/>
            <w:tcBorders>
              <w:top w:val="nil"/>
              <w:left w:val="nil"/>
              <w:bottom w:val="nil"/>
              <w:right w:val="nil"/>
            </w:tcBorders>
            <w:shd w:val="clear" w:color="auto" w:fill="auto"/>
            <w:vAlign w:val="center"/>
          </w:tcPr>
          <w:p w14:paraId="61FF6A96">
            <w:pPr>
              <w:rPr>
                <w:rFonts w:hint="eastAsia" w:ascii="宋体" w:hAnsi="宋体" w:eastAsia="宋体" w:cs="宋体"/>
                <w:i w:val="0"/>
                <w:iCs w:val="0"/>
                <w:color w:val="000000"/>
                <w:sz w:val="18"/>
                <w:szCs w:val="18"/>
                <w:u w:val="none"/>
              </w:rPr>
            </w:pPr>
          </w:p>
        </w:tc>
        <w:tc>
          <w:tcPr>
            <w:tcW w:w="1884" w:type="dxa"/>
            <w:tcBorders>
              <w:top w:val="nil"/>
              <w:left w:val="nil"/>
              <w:bottom w:val="nil"/>
              <w:right w:val="nil"/>
            </w:tcBorders>
            <w:shd w:val="clear" w:color="auto" w:fill="auto"/>
            <w:vAlign w:val="center"/>
          </w:tcPr>
          <w:p w14:paraId="7560402D">
            <w:pPr>
              <w:rPr>
                <w:rFonts w:hint="eastAsia" w:ascii="宋体" w:hAnsi="宋体" w:eastAsia="宋体" w:cs="宋体"/>
                <w:i w:val="0"/>
                <w:iCs w:val="0"/>
                <w:color w:val="000000"/>
                <w:sz w:val="18"/>
                <w:szCs w:val="18"/>
                <w:u w:val="none"/>
              </w:rPr>
            </w:pPr>
          </w:p>
        </w:tc>
        <w:tc>
          <w:tcPr>
            <w:tcW w:w="1623" w:type="dxa"/>
            <w:tcBorders>
              <w:top w:val="nil"/>
              <w:left w:val="nil"/>
              <w:bottom w:val="nil"/>
              <w:right w:val="nil"/>
            </w:tcBorders>
            <w:shd w:val="clear" w:color="auto" w:fill="auto"/>
            <w:vAlign w:val="center"/>
          </w:tcPr>
          <w:p w14:paraId="143BFC2A">
            <w:pPr>
              <w:rPr>
                <w:rFonts w:hint="eastAsia" w:ascii="宋体" w:hAnsi="宋体" w:eastAsia="宋体" w:cs="宋体"/>
                <w:i w:val="0"/>
                <w:iCs w:val="0"/>
                <w:color w:val="000000"/>
                <w:sz w:val="18"/>
                <w:szCs w:val="18"/>
                <w:u w:val="none"/>
              </w:rPr>
            </w:pPr>
          </w:p>
        </w:tc>
        <w:tc>
          <w:tcPr>
            <w:tcW w:w="2076" w:type="dxa"/>
            <w:tcBorders>
              <w:top w:val="nil"/>
              <w:left w:val="nil"/>
              <w:bottom w:val="nil"/>
              <w:right w:val="nil"/>
            </w:tcBorders>
            <w:shd w:val="clear" w:color="auto" w:fill="auto"/>
            <w:vAlign w:val="center"/>
          </w:tcPr>
          <w:p w14:paraId="571E14D5">
            <w:pPr>
              <w:rPr>
                <w:rFonts w:hint="eastAsia" w:ascii="宋体" w:hAnsi="宋体" w:eastAsia="宋体" w:cs="宋体"/>
                <w:i w:val="0"/>
                <w:iCs w:val="0"/>
                <w:color w:val="000000"/>
                <w:sz w:val="18"/>
                <w:szCs w:val="18"/>
                <w:u w:val="none"/>
              </w:rPr>
            </w:pPr>
          </w:p>
        </w:tc>
        <w:tc>
          <w:tcPr>
            <w:tcW w:w="481" w:type="dxa"/>
            <w:tcBorders>
              <w:top w:val="nil"/>
              <w:left w:val="nil"/>
              <w:bottom w:val="nil"/>
              <w:right w:val="nil"/>
            </w:tcBorders>
            <w:shd w:val="clear" w:color="auto" w:fill="auto"/>
            <w:vAlign w:val="center"/>
          </w:tcPr>
          <w:p w14:paraId="15564A4C">
            <w:pPr>
              <w:rPr>
                <w:rFonts w:hint="eastAsia" w:ascii="宋体" w:hAnsi="宋体" w:eastAsia="宋体" w:cs="宋体"/>
                <w:i w:val="0"/>
                <w:iCs w:val="0"/>
                <w:color w:val="000000"/>
                <w:sz w:val="18"/>
                <w:szCs w:val="18"/>
                <w:u w:val="none"/>
              </w:rPr>
            </w:pPr>
          </w:p>
        </w:tc>
        <w:tc>
          <w:tcPr>
            <w:tcW w:w="1540" w:type="dxa"/>
            <w:tcBorders>
              <w:top w:val="nil"/>
              <w:left w:val="nil"/>
              <w:bottom w:val="nil"/>
              <w:right w:val="nil"/>
            </w:tcBorders>
            <w:shd w:val="clear" w:color="auto" w:fill="auto"/>
            <w:vAlign w:val="center"/>
          </w:tcPr>
          <w:p w14:paraId="37EF9861">
            <w:pPr>
              <w:rPr>
                <w:rFonts w:hint="eastAsia" w:ascii="宋体" w:hAnsi="宋体" w:eastAsia="宋体" w:cs="宋体"/>
                <w:i w:val="0"/>
                <w:iCs w:val="0"/>
                <w:color w:val="000000"/>
                <w:sz w:val="18"/>
                <w:szCs w:val="18"/>
                <w:u w:val="none"/>
              </w:rPr>
            </w:pPr>
          </w:p>
        </w:tc>
        <w:tc>
          <w:tcPr>
            <w:tcW w:w="481" w:type="dxa"/>
            <w:tcBorders>
              <w:top w:val="nil"/>
              <w:left w:val="nil"/>
              <w:bottom w:val="nil"/>
              <w:right w:val="nil"/>
            </w:tcBorders>
            <w:shd w:val="clear" w:color="auto" w:fill="auto"/>
            <w:vAlign w:val="center"/>
          </w:tcPr>
          <w:p w14:paraId="6D263E22">
            <w:pPr>
              <w:rPr>
                <w:rFonts w:hint="eastAsia" w:ascii="宋体" w:hAnsi="宋体" w:eastAsia="宋体" w:cs="宋体"/>
                <w:i w:val="0"/>
                <w:iCs w:val="0"/>
                <w:color w:val="000000"/>
                <w:sz w:val="18"/>
                <w:szCs w:val="18"/>
                <w:u w:val="none"/>
              </w:rPr>
            </w:pPr>
          </w:p>
        </w:tc>
        <w:tc>
          <w:tcPr>
            <w:tcW w:w="1004" w:type="dxa"/>
            <w:tcBorders>
              <w:top w:val="nil"/>
              <w:left w:val="nil"/>
              <w:bottom w:val="nil"/>
              <w:right w:val="nil"/>
            </w:tcBorders>
            <w:shd w:val="clear" w:color="auto" w:fill="auto"/>
            <w:vAlign w:val="center"/>
          </w:tcPr>
          <w:p w14:paraId="634F4BF1">
            <w:pPr>
              <w:rPr>
                <w:rFonts w:hint="eastAsia" w:ascii="宋体" w:hAnsi="宋体" w:eastAsia="宋体" w:cs="宋体"/>
                <w:i w:val="0"/>
                <w:iCs w:val="0"/>
                <w:color w:val="000000"/>
                <w:sz w:val="18"/>
                <w:szCs w:val="18"/>
                <w:u w:val="none"/>
              </w:rPr>
            </w:pPr>
          </w:p>
        </w:tc>
        <w:tc>
          <w:tcPr>
            <w:tcW w:w="468" w:type="dxa"/>
            <w:tcBorders>
              <w:top w:val="nil"/>
              <w:left w:val="nil"/>
              <w:bottom w:val="nil"/>
              <w:right w:val="nil"/>
            </w:tcBorders>
            <w:shd w:val="clear" w:color="auto" w:fill="auto"/>
            <w:vAlign w:val="center"/>
          </w:tcPr>
          <w:p w14:paraId="24844AF1">
            <w:pPr>
              <w:rPr>
                <w:rFonts w:hint="eastAsia" w:ascii="宋体" w:hAnsi="宋体" w:eastAsia="宋体" w:cs="宋体"/>
                <w:i w:val="0"/>
                <w:iCs w:val="0"/>
                <w:color w:val="000000"/>
                <w:sz w:val="18"/>
                <w:szCs w:val="18"/>
                <w:u w:val="none"/>
              </w:rPr>
            </w:pPr>
          </w:p>
        </w:tc>
        <w:tc>
          <w:tcPr>
            <w:tcW w:w="413" w:type="dxa"/>
            <w:tcBorders>
              <w:top w:val="nil"/>
              <w:left w:val="nil"/>
              <w:bottom w:val="nil"/>
              <w:right w:val="nil"/>
            </w:tcBorders>
            <w:shd w:val="clear" w:color="auto" w:fill="auto"/>
            <w:vAlign w:val="center"/>
          </w:tcPr>
          <w:p w14:paraId="4EDD9241">
            <w:pPr>
              <w:rPr>
                <w:rFonts w:hint="eastAsia" w:ascii="宋体" w:hAnsi="宋体" w:eastAsia="宋体" w:cs="宋体"/>
                <w:i w:val="0"/>
                <w:iCs w:val="0"/>
                <w:color w:val="000000"/>
                <w:sz w:val="18"/>
                <w:szCs w:val="18"/>
                <w:u w:val="none"/>
              </w:rPr>
            </w:pPr>
          </w:p>
        </w:tc>
        <w:tc>
          <w:tcPr>
            <w:tcW w:w="2338" w:type="dxa"/>
            <w:tcBorders>
              <w:top w:val="nil"/>
              <w:left w:val="nil"/>
              <w:bottom w:val="nil"/>
              <w:right w:val="nil"/>
            </w:tcBorders>
            <w:shd w:val="clear" w:color="auto" w:fill="auto"/>
            <w:vAlign w:val="center"/>
          </w:tcPr>
          <w:p w14:paraId="72B7C05C">
            <w:pPr>
              <w:rPr>
                <w:rFonts w:hint="eastAsia" w:ascii="宋体" w:hAnsi="宋体" w:eastAsia="宋体" w:cs="宋体"/>
                <w:i w:val="0"/>
                <w:iCs w:val="0"/>
                <w:color w:val="000000"/>
                <w:sz w:val="18"/>
                <w:szCs w:val="18"/>
                <w:u w:val="none"/>
              </w:rPr>
            </w:pPr>
          </w:p>
        </w:tc>
      </w:tr>
      <w:tr w14:paraId="4DC1E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294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4F9082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D7E3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6E1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2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4CF66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51172422T000005720454-营养餐</w:t>
            </w:r>
          </w:p>
        </w:tc>
      </w:tr>
      <w:tr w14:paraId="6614A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5EE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2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0294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大竹县文星镇神合学校部门</w:t>
            </w:r>
          </w:p>
        </w:tc>
        <w:tc>
          <w:tcPr>
            <w:tcW w:w="1004" w:type="dxa"/>
            <w:tcBorders>
              <w:top w:val="nil"/>
              <w:left w:val="nil"/>
              <w:bottom w:val="nil"/>
              <w:right w:val="nil"/>
            </w:tcBorders>
            <w:shd w:val="clear" w:color="auto" w:fill="auto"/>
            <w:vAlign w:val="center"/>
          </w:tcPr>
          <w:p w14:paraId="3148C72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C776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大竹县文星镇神合学校</w:t>
            </w:r>
          </w:p>
        </w:tc>
      </w:tr>
      <w:tr w14:paraId="3DB95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34F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19F7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2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301B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AC1CA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2446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8DF21">
            <w:pPr>
              <w:rPr>
                <w:rFonts w:hint="eastAsia" w:ascii="宋体" w:hAnsi="宋体" w:eastAsia="宋体" w:cs="宋体"/>
                <w:i w:val="0"/>
                <w:iCs w:val="0"/>
                <w:color w:val="000000"/>
                <w:sz w:val="18"/>
                <w:szCs w:val="18"/>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4551F">
            <w:pPr>
              <w:rPr>
                <w:rFonts w:hint="eastAsia" w:ascii="宋体" w:hAnsi="宋体" w:eastAsia="宋体" w:cs="宋体"/>
                <w:i w:val="0"/>
                <w:iCs w:val="0"/>
                <w:color w:val="000000"/>
                <w:sz w:val="18"/>
                <w:szCs w:val="18"/>
                <w:u w:val="none"/>
              </w:rPr>
            </w:pPr>
          </w:p>
        </w:tc>
        <w:tc>
          <w:tcPr>
            <w:tcW w:w="62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C373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保障营养餐资金，严格控制预算，减少资金结余。</w:t>
            </w:r>
          </w:p>
        </w:tc>
        <w:tc>
          <w:tcPr>
            <w:tcW w:w="42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9FD2D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让义务教育阶段学生享受营养餐，提升学生生活营养。</w:t>
            </w:r>
          </w:p>
        </w:tc>
      </w:tr>
      <w:tr w14:paraId="4AF4A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3F759">
            <w:pPr>
              <w:rPr>
                <w:rFonts w:hint="eastAsia" w:ascii="宋体" w:hAnsi="宋体" w:eastAsia="宋体" w:cs="宋体"/>
                <w:i w:val="0"/>
                <w:iCs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30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2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4A61CD0">
            <w:pP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义务教育阶段学生享受营养餐，提升学生生活营养。</w:t>
            </w:r>
          </w:p>
        </w:tc>
      </w:tr>
      <w:tr w14:paraId="77B2C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C55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58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F8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7C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318D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F0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85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1C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F2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52AC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2F99B">
            <w:pPr>
              <w:jc w:val="center"/>
              <w:rPr>
                <w:rFonts w:hint="eastAsia" w:ascii="宋体" w:hAnsi="宋体" w:eastAsia="宋体" w:cs="宋体"/>
                <w:i w:val="0"/>
                <w:iCs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75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12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3D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10.78</w:t>
            </w:r>
          </w:p>
        </w:tc>
        <w:tc>
          <w:tcPr>
            <w:tcW w:w="2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E0C3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10.78</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FB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C1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C8C1">
            <w:pPr>
              <w:jc w:val="center"/>
              <w:rPr>
                <w:rFonts w:hint="eastAsia" w:ascii="宋体" w:hAnsi="宋体" w:eastAsia="宋体" w:cs="宋体"/>
                <w:i w:val="0"/>
                <w:iCs w:val="0"/>
                <w:color w:val="000000"/>
                <w:sz w:val="18"/>
                <w:szCs w:val="18"/>
                <w:u w:val="none"/>
              </w:rPr>
            </w:pPr>
          </w:p>
        </w:tc>
        <w:tc>
          <w:tcPr>
            <w:tcW w:w="2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ADD6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年初预算不足，财政追加指标。</w:t>
            </w:r>
          </w:p>
        </w:tc>
      </w:tr>
      <w:tr w14:paraId="7F82F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5CA53">
            <w:pPr>
              <w:jc w:val="center"/>
              <w:rPr>
                <w:rFonts w:hint="eastAsia" w:ascii="宋体" w:hAnsi="宋体" w:eastAsia="宋体" w:cs="宋体"/>
                <w:i w:val="0"/>
                <w:iCs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B1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30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7F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10.78</w:t>
            </w:r>
          </w:p>
        </w:tc>
        <w:tc>
          <w:tcPr>
            <w:tcW w:w="2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892B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10.78</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3D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D7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53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9AF85">
            <w:pPr>
              <w:rPr>
                <w:rFonts w:hint="eastAsia" w:ascii="黑体" w:hAnsi="黑体" w:eastAsia="黑体" w:cs="黑体"/>
                <w:i/>
                <w:iCs/>
                <w:color w:val="000000"/>
                <w:sz w:val="18"/>
                <w:szCs w:val="18"/>
                <w:u w:val="none"/>
              </w:rPr>
            </w:pPr>
          </w:p>
        </w:tc>
      </w:tr>
      <w:tr w14:paraId="067FA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0B83E">
            <w:pPr>
              <w:jc w:val="center"/>
              <w:rPr>
                <w:rFonts w:hint="eastAsia" w:ascii="宋体" w:hAnsi="宋体" w:eastAsia="宋体" w:cs="宋体"/>
                <w:i w:val="0"/>
                <w:iCs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EA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29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1A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8395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7D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AE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BE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AD133">
            <w:pPr>
              <w:rPr>
                <w:rFonts w:hint="eastAsia" w:ascii="黑体" w:hAnsi="黑体" w:eastAsia="黑体" w:cs="黑体"/>
                <w:i/>
                <w:iCs/>
                <w:color w:val="000000"/>
                <w:sz w:val="18"/>
                <w:szCs w:val="18"/>
                <w:u w:val="none"/>
              </w:rPr>
            </w:pPr>
          </w:p>
        </w:tc>
      </w:tr>
      <w:tr w14:paraId="79E7E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F623D">
            <w:pPr>
              <w:jc w:val="center"/>
              <w:rPr>
                <w:rFonts w:hint="eastAsia" w:ascii="宋体" w:hAnsi="宋体" w:eastAsia="宋体" w:cs="宋体"/>
                <w:i w:val="0"/>
                <w:iCs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64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3D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E5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28A3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CC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EC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8C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26BDD">
            <w:pPr>
              <w:rPr>
                <w:rFonts w:hint="eastAsia" w:ascii="黑体" w:hAnsi="黑体" w:eastAsia="黑体" w:cs="黑体"/>
                <w:i/>
                <w:iCs/>
                <w:color w:val="000000"/>
                <w:sz w:val="18"/>
                <w:szCs w:val="18"/>
                <w:u w:val="none"/>
              </w:rPr>
            </w:pPr>
          </w:p>
        </w:tc>
      </w:tr>
      <w:tr w14:paraId="585F4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0289F">
            <w:pPr>
              <w:jc w:val="center"/>
              <w:rPr>
                <w:rFonts w:hint="eastAsia" w:ascii="宋体" w:hAnsi="宋体" w:eastAsia="宋体" w:cs="宋体"/>
                <w:i w:val="0"/>
                <w:iCs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60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BEE9">
            <w:pPr>
              <w:jc w:val="center"/>
              <w:rPr>
                <w:rFonts w:hint="eastAsia" w:ascii="微软雅黑" w:hAnsi="微软雅黑" w:eastAsia="微软雅黑" w:cs="微软雅黑"/>
                <w:i/>
                <w:iCs/>
                <w:color w:val="000000"/>
                <w:sz w:val="16"/>
                <w:szCs w:val="16"/>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ED17">
            <w:pPr>
              <w:jc w:val="center"/>
              <w:rPr>
                <w:rFonts w:hint="eastAsia" w:ascii="微软雅黑" w:hAnsi="微软雅黑" w:eastAsia="微软雅黑" w:cs="微软雅黑"/>
                <w:i/>
                <w:iCs/>
                <w:color w:val="000000"/>
                <w:sz w:val="16"/>
                <w:szCs w:val="16"/>
                <w:u w:val="none"/>
              </w:rPr>
            </w:pPr>
          </w:p>
        </w:tc>
        <w:tc>
          <w:tcPr>
            <w:tcW w:w="2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127305">
            <w:pPr>
              <w:jc w:val="center"/>
              <w:rPr>
                <w:rFonts w:hint="eastAsia" w:ascii="微软雅黑" w:hAnsi="微软雅黑" w:eastAsia="微软雅黑" w:cs="微软雅黑"/>
                <w:i/>
                <w:iCs/>
                <w:color w:val="000000"/>
                <w:sz w:val="16"/>
                <w:szCs w:val="16"/>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9ADA">
            <w:pPr>
              <w:jc w:val="center"/>
              <w:rPr>
                <w:rFonts w:hint="eastAsia" w:ascii="微软雅黑" w:hAnsi="微软雅黑" w:eastAsia="微软雅黑" w:cs="微软雅黑"/>
                <w:i/>
                <w:iCs/>
                <w:color w:val="000000"/>
                <w:sz w:val="16"/>
                <w:szCs w:val="16"/>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1D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47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42862">
            <w:pPr>
              <w:rPr>
                <w:rFonts w:hint="eastAsia" w:ascii="黑体" w:hAnsi="黑体" w:eastAsia="黑体" w:cs="黑体"/>
                <w:i/>
                <w:iCs/>
                <w:color w:val="000000"/>
                <w:sz w:val="18"/>
                <w:szCs w:val="18"/>
                <w:u w:val="none"/>
              </w:rPr>
            </w:pPr>
          </w:p>
        </w:tc>
      </w:tr>
      <w:tr w14:paraId="3A1D5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8842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0A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7E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B7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BE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35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D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E0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CE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CE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EE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1464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8DDCA">
            <w:pPr>
              <w:jc w:val="center"/>
              <w:rPr>
                <w:rFonts w:hint="eastAsia" w:ascii="宋体" w:hAnsi="宋体" w:eastAsia="宋体" w:cs="宋体"/>
                <w:i w:val="0"/>
                <w:iCs w:val="0"/>
                <w:color w:val="000000"/>
                <w:sz w:val="18"/>
                <w:szCs w:val="18"/>
                <w:u w:val="none"/>
              </w:rPr>
            </w:pPr>
          </w:p>
        </w:tc>
        <w:tc>
          <w:tcPr>
            <w:tcW w:w="1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B44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0CC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17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接受免费营养餐的农村义务教育学生总数</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CE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AE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7B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3B53">
            <w:pPr>
              <w:jc w:val="center"/>
              <w:rPr>
                <w:rFonts w:hint="eastAsia" w:ascii="微软雅黑" w:hAnsi="微软雅黑" w:eastAsia="微软雅黑" w:cs="微软雅黑"/>
                <w:i/>
                <w:iCs/>
                <w:color w:val="000000"/>
                <w:sz w:val="16"/>
                <w:szCs w:val="16"/>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C6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4AD1">
            <w:pPr>
              <w:jc w:val="center"/>
              <w:rPr>
                <w:rFonts w:hint="eastAsia" w:ascii="宋体" w:hAnsi="宋体" w:eastAsia="宋体" w:cs="宋体"/>
                <w:i w:val="0"/>
                <w:iCs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79E7">
            <w:pPr>
              <w:jc w:val="center"/>
              <w:rPr>
                <w:rFonts w:hint="eastAsia" w:ascii="微软雅黑" w:hAnsi="微软雅黑" w:eastAsia="微软雅黑" w:cs="微软雅黑"/>
                <w:i/>
                <w:iCs/>
                <w:color w:val="000000"/>
                <w:sz w:val="16"/>
                <w:szCs w:val="16"/>
                <w:u w:val="none"/>
              </w:rPr>
            </w:pPr>
          </w:p>
        </w:tc>
      </w:tr>
      <w:tr w14:paraId="3263B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4E12A">
            <w:pPr>
              <w:jc w:val="center"/>
              <w:rPr>
                <w:rFonts w:hint="eastAsia" w:ascii="宋体" w:hAnsi="宋体" w:eastAsia="宋体" w:cs="宋体"/>
                <w:i w:val="0"/>
                <w:iCs w:val="0"/>
                <w:color w:val="000000"/>
                <w:sz w:val="18"/>
                <w:szCs w:val="18"/>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F7F71">
            <w:pPr>
              <w:jc w:val="center"/>
              <w:rPr>
                <w:rFonts w:hint="eastAsia" w:ascii="宋体" w:hAnsi="宋体" w:eastAsia="宋体" w:cs="宋体"/>
                <w:i w:val="0"/>
                <w:iCs w:val="0"/>
                <w:color w:val="000000"/>
                <w:sz w:val="18"/>
                <w:szCs w:val="18"/>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385F2">
            <w:pPr>
              <w:jc w:val="center"/>
              <w:rPr>
                <w:rFonts w:hint="eastAsia" w:ascii="宋体" w:hAnsi="宋体" w:eastAsia="宋体" w:cs="宋体"/>
                <w:i w:val="0"/>
                <w:iCs w:val="0"/>
                <w:color w:val="000000"/>
                <w:sz w:val="18"/>
                <w:szCs w:val="18"/>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E6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农村义务教育学生覆盖率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30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AD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47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1D85">
            <w:pPr>
              <w:jc w:val="center"/>
              <w:rPr>
                <w:rFonts w:hint="eastAsia" w:ascii="微软雅黑" w:hAnsi="微软雅黑" w:eastAsia="微软雅黑" w:cs="微软雅黑"/>
                <w:i/>
                <w:iCs/>
                <w:color w:val="000000"/>
                <w:sz w:val="16"/>
                <w:szCs w:val="16"/>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74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E8C5">
            <w:pPr>
              <w:jc w:val="center"/>
              <w:rPr>
                <w:rFonts w:hint="eastAsia" w:ascii="宋体" w:hAnsi="宋体" w:eastAsia="宋体" w:cs="宋体"/>
                <w:i w:val="0"/>
                <w:iCs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EEE5">
            <w:pPr>
              <w:jc w:val="center"/>
              <w:rPr>
                <w:rFonts w:hint="eastAsia" w:ascii="微软雅黑" w:hAnsi="微软雅黑" w:eastAsia="微软雅黑" w:cs="微软雅黑"/>
                <w:i/>
                <w:iCs/>
                <w:color w:val="000000"/>
                <w:sz w:val="16"/>
                <w:szCs w:val="16"/>
                <w:u w:val="none"/>
              </w:rPr>
            </w:pPr>
          </w:p>
        </w:tc>
      </w:tr>
      <w:tr w14:paraId="7CB11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018E5">
            <w:pPr>
              <w:jc w:val="center"/>
              <w:rPr>
                <w:rFonts w:hint="eastAsia" w:ascii="宋体" w:hAnsi="宋体" w:eastAsia="宋体" w:cs="宋体"/>
                <w:i w:val="0"/>
                <w:iCs w:val="0"/>
                <w:color w:val="000000"/>
                <w:sz w:val="18"/>
                <w:szCs w:val="18"/>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50796">
            <w:pPr>
              <w:jc w:val="center"/>
              <w:rPr>
                <w:rFonts w:hint="eastAsia" w:ascii="宋体" w:hAnsi="宋体" w:eastAsia="宋体" w:cs="宋体"/>
                <w:i w:val="0"/>
                <w:iCs w:val="0"/>
                <w:color w:val="000000"/>
                <w:sz w:val="18"/>
                <w:szCs w:val="18"/>
                <w:u w:val="none"/>
              </w:rPr>
            </w:pP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BE6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96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食品安全达标率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93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87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D0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95E2">
            <w:pPr>
              <w:jc w:val="center"/>
              <w:rPr>
                <w:rFonts w:hint="eastAsia" w:ascii="微软雅黑" w:hAnsi="微软雅黑" w:eastAsia="微软雅黑" w:cs="微软雅黑"/>
                <w:i/>
                <w:iCs/>
                <w:color w:val="000000"/>
                <w:sz w:val="16"/>
                <w:szCs w:val="16"/>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3C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F909">
            <w:pPr>
              <w:jc w:val="center"/>
              <w:rPr>
                <w:rFonts w:hint="eastAsia" w:ascii="宋体" w:hAnsi="宋体" w:eastAsia="宋体" w:cs="宋体"/>
                <w:i w:val="0"/>
                <w:iCs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7A17">
            <w:pPr>
              <w:jc w:val="center"/>
              <w:rPr>
                <w:rFonts w:hint="eastAsia" w:ascii="微软雅黑" w:hAnsi="微软雅黑" w:eastAsia="微软雅黑" w:cs="微软雅黑"/>
                <w:i/>
                <w:iCs/>
                <w:color w:val="000000"/>
                <w:sz w:val="16"/>
                <w:szCs w:val="16"/>
                <w:u w:val="none"/>
              </w:rPr>
            </w:pPr>
          </w:p>
        </w:tc>
      </w:tr>
      <w:tr w14:paraId="46C13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D9CFE">
            <w:pPr>
              <w:jc w:val="center"/>
              <w:rPr>
                <w:rFonts w:hint="eastAsia" w:ascii="宋体" w:hAnsi="宋体" w:eastAsia="宋体" w:cs="宋体"/>
                <w:i w:val="0"/>
                <w:iCs w:val="0"/>
                <w:color w:val="000000"/>
                <w:sz w:val="18"/>
                <w:szCs w:val="18"/>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BC87C">
            <w:pPr>
              <w:jc w:val="center"/>
              <w:rPr>
                <w:rFonts w:hint="eastAsia" w:ascii="宋体" w:hAnsi="宋体" w:eastAsia="宋体" w:cs="宋体"/>
                <w:i w:val="0"/>
                <w:iCs w:val="0"/>
                <w:color w:val="000000"/>
                <w:sz w:val="18"/>
                <w:szCs w:val="18"/>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19CD4">
            <w:pPr>
              <w:jc w:val="center"/>
              <w:rPr>
                <w:rFonts w:hint="eastAsia" w:ascii="宋体" w:hAnsi="宋体" w:eastAsia="宋体" w:cs="宋体"/>
                <w:i w:val="0"/>
                <w:iCs w:val="0"/>
                <w:color w:val="000000"/>
                <w:sz w:val="18"/>
                <w:szCs w:val="18"/>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86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膳食结构的合理度</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18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F1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E3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BE26">
            <w:pPr>
              <w:jc w:val="center"/>
              <w:rPr>
                <w:rFonts w:hint="eastAsia" w:ascii="微软雅黑" w:hAnsi="微软雅黑" w:eastAsia="微软雅黑" w:cs="微软雅黑"/>
                <w:i/>
                <w:iCs/>
                <w:color w:val="000000"/>
                <w:sz w:val="16"/>
                <w:szCs w:val="16"/>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53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7CC1">
            <w:pPr>
              <w:jc w:val="center"/>
              <w:rPr>
                <w:rFonts w:hint="eastAsia" w:ascii="宋体" w:hAnsi="宋体" w:eastAsia="宋体" w:cs="宋体"/>
                <w:i w:val="0"/>
                <w:iCs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7DFB">
            <w:pPr>
              <w:jc w:val="center"/>
              <w:rPr>
                <w:rFonts w:hint="eastAsia" w:ascii="微软雅黑" w:hAnsi="微软雅黑" w:eastAsia="微软雅黑" w:cs="微软雅黑"/>
                <w:i/>
                <w:iCs/>
                <w:color w:val="000000"/>
                <w:sz w:val="16"/>
                <w:szCs w:val="16"/>
                <w:u w:val="none"/>
              </w:rPr>
            </w:pPr>
          </w:p>
        </w:tc>
      </w:tr>
      <w:tr w14:paraId="6F398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08BF2">
            <w:pPr>
              <w:jc w:val="center"/>
              <w:rPr>
                <w:rFonts w:hint="eastAsia" w:ascii="宋体" w:hAnsi="宋体" w:eastAsia="宋体" w:cs="宋体"/>
                <w:i w:val="0"/>
                <w:iCs w:val="0"/>
                <w:color w:val="000000"/>
                <w:sz w:val="18"/>
                <w:szCs w:val="18"/>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7B979">
            <w:pPr>
              <w:jc w:val="center"/>
              <w:rPr>
                <w:rFonts w:hint="eastAsia" w:ascii="宋体" w:hAnsi="宋体" w:eastAsia="宋体" w:cs="宋体"/>
                <w:i w:val="0"/>
                <w:iCs w:val="0"/>
                <w:color w:val="000000"/>
                <w:sz w:val="18"/>
                <w:szCs w:val="18"/>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CD920">
            <w:pPr>
              <w:jc w:val="center"/>
              <w:rPr>
                <w:rFonts w:hint="eastAsia" w:ascii="宋体" w:hAnsi="宋体" w:eastAsia="宋体" w:cs="宋体"/>
                <w:i w:val="0"/>
                <w:iCs w:val="0"/>
                <w:color w:val="000000"/>
                <w:sz w:val="18"/>
                <w:szCs w:val="18"/>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93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营养成本满足率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50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20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F8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0ED5">
            <w:pPr>
              <w:jc w:val="center"/>
              <w:rPr>
                <w:rFonts w:hint="eastAsia" w:ascii="微软雅黑" w:hAnsi="微软雅黑" w:eastAsia="微软雅黑" w:cs="微软雅黑"/>
                <w:i/>
                <w:iCs/>
                <w:color w:val="000000"/>
                <w:sz w:val="16"/>
                <w:szCs w:val="16"/>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B9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A0B0">
            <w:pPr>
              <w:jc w:val="center"/>
              <w:rPr>
                <w:rFonts w:hint="eastAsia" w:ascii="宋体" w:hAnsi="宋体" w:eastAsia="宋体" w:cs="宋体"/>
                <w:i w:val="0"/>
                <w:iCs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1390">
            <w:pPr>
              <w:jc w:val="center"/>
              <w:rPr>
                <w:rFonts w:hint="eastAsia" w:ascii="微软雅黑" w:hAnsi="微软雅黑" w:eastAsia="微软雅黑" w:cs="微软雅黑"/>
                <w:i/>
                <w:iCs/>
                <w:color w:val="000000"/>
                <w:sz w:val="16"/>
                <w:szCs w:val="16"/>
                <w:u w:val="none"/>
              </w:rPr>
            </w:pPr>
          </w:p>
        </w:tc>
      </w:tr>
      <w:tr w14:paraId="10C75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5ACEA">
            <w:pPr>
              <w:jc w:val="center"/>
              <w:rPr>
                <w:rFonts w:hint="eastAsia" w:ascii="宋体" w:hAnsi="宋体" w:eastAsia="宋体" w:cs="宋体"/>
                <w:i w:val="0"/>
                <w:iCs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AD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BB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CF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学生身体素质</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A9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D2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6142">
            <w:pPr>
              <w:jc w:val="center"/>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37B4">
            <w:pPr>
              <w:jc w:val="center"/>
              <w:rPr>
                <w:rFonts w:hint="eastAsia" w:ascii="微软雅黑" w:hAnsi="微软雅黑" w:eastAsia="微软雅黑" w:cs="微软雅黑"/>
                <w:i/>
                <w:iCs/>
                <w:color w:val="000000"/>
                <w:sz w:val="16"/>
                <w:szCs w:val="16"/>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04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D8BF">
            <w:pPr>
              <w:jc w:val="center"/>
              <w:rPr>
                <w:rFonts w:hint="eastAsia" w:ascii="宋体" w:hAnsi="宋体" w:eastAsia="宋体" w:cs="宋体"/>
                <w:i w:val="0"/>
                <w:iCs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8E58">
            <w:pPr>
              <w:jc w:val="center"/>
              <w:rPr>
                <w:rFonts w:hint="eastAsia" w:ascii="微软雅黑" w:hAnsi="微软雅黑" w:eastAsia="微软雅黑" w:cs="微软雅黑"/>
                <w:i/>
                <w:iCs/>
                <w:color w:val="000000"/>
                <w:sz w:val="16"/>
                <w:szCs w:val="16"/>
                <w:u w:val="none"/>
              </w:rPr>
            </w:pPr>
          </w:p>
        </w:tc>
      </w:tr>
      <w:tr w14:paraId="0E618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B892E">
            <w:pPr>
              <w:jc w:val="center"/>
              <w:rPr>
                <w:rFonts w:hint="eastAsia" w:ascii="宋体" w:hAnsi="宋体" w:eastAsia="宋体" w:cs="宋体"/>
                <w:i w:val="0"/>
                <w:iCs w:val="0"/>
                <w:color w:val="000000"/>
                <w:sz w:val="18"/>
                <w:szCs w:val="18"/>
                <w:u w:val="none"/>
              </w:rPr>
            </w:pPr>
          </w:p>
        </w:tc>
        <w:tc>
          <w:tcPr>
            <w:tcW w:w="1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6928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1C2E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27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学生满意度</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5F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DD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A5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3EB5">
            <w:pPr>
              <w:jc w:val="center"/>
              <w:rPr>
                <w:rFonts w:hint="eastAsia" w:ascii="微软雅黑" w:hAnsi="微软雅黑" w:eastAsia="微软雅黑" w:cs="微软雅黑"/>
                <w:i/>
                <w:iCs/>
                <w:color w:val="000000"/>
                <w:sz w:val="16"/>
                <w:szCs w:val="16"/>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4D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ABB5">
            <w:pPr>
              <w:jc w:val="center"/>
              <w:rPr>
                <w:rFonts w:hint="eastAsia" w:ascii="宋体" w:hAnsi="宋体" w:eastAsia="宋体" w:cs="宋体"/>
                <w:i w:val="0"/>
                <w:iCs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1A54">
            <w:pPr>
              <w:jc w:val="center"/>
              <w:rPr>
                <w:rFonts w:hint="eastAsia" w:ascii="微软雅黑" w:hAnsi="微软雅黑" w:eastAsia="微软雅黑" w:cs="微软雅黑"/>
                <w:i/>
                <w:iCs/>
                <w:color w:val="000000"/>
                <w:sz w:val="16"/>
                <w:szCs w:val="16"/>
                <w:u w:val="none"/>
              </w:rPr>
            </w:pPr>
          </w:p>
        </w:tc>
      </w:tr>
      <w:tr w14:paraId="424EC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156FE">
            <w:pPr>
              <w:jc w:val="center"/>
              <w:rPr>
                <w:rFonts w:hint="eastAsia" w:ascii="宋体" w:hAnsi="宋体" w:eastAsia="宋体" w:cs="宋体"/>
                <w:i w:val="0"/>
                <w:iCs w:val="0"/>
                <w:color w:val="000000"/>
                <w:sz w:val="18"/>
                <w:szCs w:val="18"/>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34F3E">
            <w:pPr>
              <w:jc w:val="center"/>
              <w:rPr>
                <w:rFonts w:hint="eastAsia" w:ascii="宋体" w:hAnsi="宋体" w:eastAsia="宋体" w:cs="宋体"/>
                <w:i w:val="0"/>
                <w:iCs w:val="0"/>
                <w:color w:val="000000"/>
                <w:sz w:val="18"/>
                <w:szCs w:val="18"/>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42869">
            <w:pPr>
              <w:jc w:val="center"/>
              <w:rPr>
                <w:rFonts w:hint="eastAsia" w:ascii="宋体" w:hAnsi="宋体" w:eastAsia="宋体" w:cs="宋体"/>
                <w:i w:val="0"/>
                <w:iCs w:val="0"/>
                <w:color w:val="000000"/>
                <w:sz w:val="18"/>
                <w:szCs w:val="18"/>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2A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家长满意度</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C1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E5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B8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7A16">
            <w:pPr>
              <w:jc w:val="center"/>
              <w:rPr>
                <w:rFonts w:hint="eastAsia" w:ascii="微软雅黑" w:hAnsi="微软雅黑" w:eastAsia="微软雅黑" w:cs="微软雅黑"/>
                <w:i/>
                <w:iCs/>
                <w:color w:val="000000"/>
                <w:sz w:val="16"/>
                <w:szCs w:val="16"/>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C3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5C5E">
            <w:pPr>
              <w:jc w:val="center"/>
              <w:rPr>
                <w:rFonts w:hint="eastAsia" w:ascii="宋体" w:hAnsi="宋体" w:eastAsia="宋体" w:cs="宋体"/>
                <w:i w:val="0"/>
                <w:iCs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DCB7">
            <w:pPr>
              <w:jc w:val="center"/>
              <w:rPr>
                <w:rFonts w:hint="eastAsia" w:ascii="微软雅黑" w:hAnsi="微软雅黑" w:eastAsia="微软雅黑" w:cs="微软雅黑"/>
                <w:i/>
                <w:iCs/>
                <w:color w:val="000000"/>
                <w:sz w:val="16"/>
                <w:szCs w:val="16"/>
                <w:u w:val="none"/>
              </w:rPr>
            </w:pPr>
          </w:p>
        </w:tc>
      </w:tr>
      <w:tr w14:paraId="25466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97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C3DB8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DB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1259">
            <w:pPr>
              <w:rPr>
                <w:rFonts w:hint="eastAsia" w:ascii="宋体" w:hAnsi="宋体" w:eastAsia="宋体" w:cs="宋体"/>
                <w:i w:val="0"/>
                <w:iCs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01FB">
            <w:pPr>
              <w:rPr>
                <w:rFonts w:hint="eastAsia" w:ascii="宋体" w:hAnsi="宋体" w:eastAsia="宋体" w:cs="宋体"/>
                <w:i w:val="0"/>
                <w:iCs w:val="0"/>
                <w:color w:val="000000"/>
                <w:sz w:val="18"/>
                <w:szCs w:val="18"/>
                <w:u w:val="none"/>
              </w:rPr>
            </w:pPr>
          </w:p>
        </w:tc>
      </w:tr>
      <w:tr w14:paraId="511A2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CE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18834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58132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57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360431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7DCD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92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B0625F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B9B3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8136C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项目负责人：杨威</w:t>
            </w:r>
          </w:p>
        </w:tc>
        <w:tc>
          <w:tcPr>
            <w:tcW w:w="62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CBCB7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财务负责人：苟小丽</w:t>
            </w:r>
          </w:p>
        </w:tc>
      </w:tr>
    </w:tbl>
    <w:p w14:paraId="188D9FB6">
      <w:pPr>
        <w:pStyle w:val="2"/>
        <w:rPr>
          <w:rFonts w:hint="eastAsia" w:ascii="黑体" w:hAnsi="黑体" w:eastAsia="黑体"/>
          <w:color w:val="auto"/>
          <w:sz w:val="44"/>
          <w:szCs w:val="44"/>
          <w:highlight w:val="none"/>
          <w:lang w:eastAsia="zh-CN"/>
        </w:rPr>
      </w:pPr>
    </w:p>
    <w:p w14:paraId="4C20F112">
      <w:pPr>
        <w:pStyle w:val="2"/>
        <w:rPr>
          <w:rFonts w:hint="eastAsia" w:ascii="黑体" w:hAnsi="黑体" w:eastAsia="黑体"/>
          <w:color w:val="auto"/>
          <w:sz w:val="44"/>
          <w:szCs w:val="44"/>
          <w:highlight w:val="none"/>
          <w:lang w:eastAsia="zh-CN"/>
        </w:rPr>
      </w:pPr>
    </w:p>
    <w:p w14:paraId="727F5067">
      <w:pPr>
        <w:pStyle w:val="2"/>
        <w:rPr>
          <w:rFonts w:hint="eastAsia" w:ascii="黑体" w:hAnsi="黑体" w:eastAsia="黑体"/>
          <w:color w:val="auto"/>
          <w:sz w:val="44"/>
          <w:szCs w:val="44"/>
          <w:highlight w:val="none"/>
          <w:lang w:eastAsia="zh-CN"/>
        </w:rPr>
      </w:pPr>
    </w:p>
    <w:p w14:paraId="2D41595C">
      <w:pPr>
        <w:pStyle w:val="2"/>
        <w:rPr>
          <w:rFonts w:hint="eastAsia" w:ascii="黑体" w:hAnsi="黑体" w:eastAsia="黑体"/>
          <w:color w:val="auto"/>
          <w:sz w:val="44"/>
          <w:szCs w:val="44"/>
          <w:highlight w:val="none"/>
          <w:lang w:eastAsia="zh-CN"/>
        </w:rPr>
      </w:pPr>
    </w:p>
    <w:p w14:paraId="78305A69">
      <w:pPr>
        <w:pStyle w:val="2"/>
        <w:rPr>
          <w:rFonts w:hint="eastAsia" w:ascii="黑体" w:hAnsi="黑体" w:eastAsia="黑体"/>
          <w:color w:val="auto"/>
          <w:sz w:val="44"/>
          <w:szCs w:val="44"/>
          <w:highlight w:val="none"/>
          <w:lang w:eastAsia="zh-CN"/>
        </w:rPr>
      </w:pPr>
    </w:p>
    <w:p w14:paraId="50FBC300">
      <w:pPr>
        <w:pStyle w:val="2"/>
        <w:rPr>
          <w:rFonts w:hint="eastAsia" w:ascii="黑体" w:hAnsi="黑体" w:eastAsia="黑体"/>
          <w:color w:val="auto"/>
          <w:sz w:val="44"/>
          <w:szCs w:val="44"/>
          <w:highlight w:val="none"/>
          <w:lang w:eastAsia="zh-CN"/>
        </w:rPr>
      </w:pPr>
    </w:p>
    <w:p w14:paraId="08193D16">
      <w:pPr>
        <w:pStyle w:val="2"/>
        <w:rPr>
          <w:rFonts w:hint="eastAsia" w:ascii="黑体" w:hAnsi="黑体" w:eastAsia="黑体"/>
          <w:color w:val="auto"/>
          <w:sz w:val="44"/>
          <w:szCs w:val="44"/>
          <w:highlight w:val="none"/>
          <w:lang w:eastAsia="zh-CN"/>
        </w:rPr>
      </w:pPr>
    </w:p>
    <w:p w14:paraId="1E7FBE0B">
      <w:pPr>
        <w:pStyle w:val="2"/>
        <w:rPr>
          <w:rFonts w:hint="eastAsia" w:ascii="黑体" w:hAnsi="黑体" w:eastAsia="黑体"/>
          <w:color w:val="auto"/>
          <w:sz w:val="44"/>
          <w:szCs w:val="44"/>
          <w:highlight w:val="none"/>
          <w:lang w:eastAsia="zh-CN"/>
        </w:rPr>
        <w:sectPr>
          <w:footerReference r:id="rId8" w:type="first"/>
          <w:footerReference r:id="rId7" w:type="default"/>
          <w:pgSz w:w="16838" w:h="11906" w:orient="landscape"/>
          <w:pgMar w:top="1800" w:right="1440" w:bottom="1800" w:left="1440" w:header="851" w:footer="992" w:gutter="0"/>
          <w:pgNumType w:fmt="decimal"/>
          <w:cols w:space="425" w:num="1"/>
          <w:titlePg/>
          <w:docGrid w:type="lines" w:linePitch="312" w:charSpace="0"/>
        </w:sectPr>
      </w:pPr>
    </w:p>
    <w:p w14:paraId="244B91E0">
      <w:pPr>
        <w:spacing w:line="600" w:lineRule="exact"/>
        <w:jc w:val="center"/>
        <w:outlineLvl w:val="0"/>
        <w:rPr>
          <w:rFonts w:hint="eastAsia" w:ascii="仿宋" w:hAnsi="仿宋" w:eastAsia="仿宋"/>
          <w:b w:val="0"/>
          <w:color w:val="auto"/>
          <w:highlight w:val="none"/>
        </w:rPr>
      </w:pPr>
      <w:bookmarkStart w:id="109" w:name="_Toc18083"/>
      <w:bookmarkStart w:id="110" w:name="_Toc18722"/>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107"/>
      <w:bookmarkEnd w:id="108"/>
      <w:bookmarkEnd w:id="109"/>
      <w:bookmarkEnd w:id="110"/>
      <w:bookmarkStart w:id="111" w:name="_Toc15396619"/>
    </w:p>
    <w:p w14:paraId="2D56D6F0">
      <w:pPr>
        <w:pStyle w:val="4"/>
        <w:rPr>
          <w:rFonts w:ascii="仿宋" w:hAnsi="仿宋" w:eastAsia="仿宋"/>
          <w:color w:val="auto"/>
          <w:highlight w:val="none"/>
        </w:rPr>
      </w:pPr>
      <w:bookmarkStart w:id="112" w:name="_Toc8414"/>
      <w:bookmarkStart w:id="113" w:name="_Toc28860"/>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111"/>
      <w:bookmarkEnd w:id="112"/>
      <w:bookmarkEnd w:id="113"/>
    </w:p>
    <w:p w14:paraId="51B55BB3">
      <w:pPr>
        <w:pStyle w:val="4"/>
        <w:rPr>
          <w:rFonts w:ascii="仿宋" w:hAnsi="仿宋" w:eastAsia="仿宋"/>
          <w:color w:val="auto"/>
          <w:highlight w:val="none"/>
        </w:rPr>
      </w:pPr>
      <w:bookmarkStart w:id="114" w:name="_Toc5630"/>
      <w:bookmarkStart w:id="115" w:name="_Toc8446"/>
      <w:bookmarkStart w:id="116"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114"/>
      <w:bookmarkEnd w:id="115"/>
      <w:bookmarkEnd w:id="116"/>
    </w:p>
    <w:p w14:paraId="6CBEA387">
      <w:bookmarkStart w:id="117" w:name="_Toc26179"/>
      <w:bookmarkStart w:id="118" w:name="_Toc15396621"/>
      <w:bookmarkStart w:id="119" w:name="_Toc29266"/>
      <w:r>
        <w:rPr>
          <w:rStyle w:val="25"/>
          <w:rFonts w:hint="eastAsia" w:ascii="仿宋" w:hAnsi="仿宋" w:eastAsia="仿宋"/>
          <w:b w:val="0"/>
          <w:bCs w:val="0"/>
          <w:color w:val="auto"/>
          <w:highlight w:val="none"/>
        </w:rPr>
        <w:t>三、</w:t>
      </w:r>
      <w:r>
        <w:rPr>
          <w:rStyle w:val="25"/>
          <w:rFonts w:hint="eastAsia" w:ascii="仿宋" w:hAnsi="仿宋" w:eastAsia="仿宋"/>
          <w:b w:val="0"/>
          <w:bCs w:val="0"/>
          <w:color w:val="auto"/>
          <w:highlight w:val="none"/>
          <w:lang w:val="en-US" w:eastAsia="zh-CN"/>
        </w:rPr>
        <w:t>支</w:t>
      </w:r>
      <w:r>
        <w:rPr>
          <w:rStyle w:val="25"/>
          <w:rFonts w:hint="eastAsia" w:ascii="仿宋" w:hAnsi="仿宋" w:eastAsia="仿宋"/>
          <w:b w:val="0"/>
          <w:bCs w:val="0"/>
          <w:color w:val="auto"/>
          <w:highlight w:val="none"/>
        </w:rPr>
        <w:t>出决算表</w:t>
      </w:r>
      <w:bookmarkEnd w:id="117"/>
      <w:bookmarkEnd w:id="118"/>
      <w:bookmarkEnd w:id="119"/>
    </w:p>
    <w:p w14:paraId="0EFB9989">
      <w:pPr>
        <w:pStyle w:val="4"/>
        <w:rPr>
          <w:rFonts w:ascii="仿宋" w:hAnsi="仿宋" w:eastAsia="仿宋"/>
          <w:b w:val="0"/>
          <w:color w:val="auto"/>
          <w:highlight w:val="none"/>
        </w:rPr>
      </w:pPr>
      <w:bookmarkStart w:id="120" w:name="_Toc22573"/>
      <w:bookmarkStart w:id="121" w:name="_Toc1210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120"/>
      <w:bookmarkEnd w:id="121"/>
    </w:p>
    <w:p w14:paraId="2CEA2E13">
      <w:pPr>
        <w:pStyle w:val="4"/>
        <w:rPr>
          <w:rStyle w:val="25"/>
          <w:rFonts w:ascii="仿宋" w:hAnsi="仿宋" w:eastAsia="仿宋"/>
          <w:b w:val="0"/>
          <w:bCs w:val="0"/>
          <w:color w:val="auto"/>
          <w:highlight w:val="none"/>
        </w:rPr>
      </w:pPr>
      <w:bookmarkStart w:id="122" w:name="_Toc15396623"/>
      <w:bookmarkStart w:id="123" w:name="_Toc30967"/>
      <w:bookmarkStart w:id="124" w:name="_Toc27717"/>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122"/>
      <w:bookmarkEnd w:id="123"/>
      <w:bookmarkEnd w:id="124"/>
      <w:bookmarkStart w:id="125" w:name="_Toc15396624"/>
    </w:p>
    <w:p w14:paraId="6890827B">
      <w:pPr>
        <w:pStyle w:val="4"/>
        <w:rPr>
          <w:rFonts w:ascii="仿宋" w:hAnsi="仿宋" w:eastAsia="仿宋"/>
          <w:color w:val="auto"/>
          <w:highlight w:val="none"/>
        </w:rPr>
      </w:pPr>
      <w:bookmarkStart w:id="126" w:name="_Toc31858"/>
      <w:bookmarkStart w:id="127" w:name="_Toc8229"/>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125"/>
      <w:bookmarkEnd w:id="126"/>
      <w:bookmarkEnd w:id="127"/>
    </w:p>
    <w:p w14:paraId="7C1819BE">
      <w:pPr>
        <w:pStyle w:val="4"/>
        <w:rPr>
          <w:rFonts w:ascii="仿宋" w:hAnsi="仿宋" w:eastAsia="仿宋"/>
          <w:color w:val="auto"/>
          <w:highlight w:val="none"/>
        </w:rPr>
      </w:pPr>
      <w:bookmarkStart w:id="128" w:name="_Toc1668"/>
      <w:bookmarkStart w:id="129" w:name="_Toc15396625"/>
      <w:bookmarkStart w:id="130" w:name="_Toc200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128"/>
      <w:bookmarkEnd w:id="129"/>
      <w:bookmarkEnd w:id="130"/>
    </w:p>
    <w:p w14:paraId="79694670">
      <w:pPr>
        <w:pStyle w:val="4"/>
        <w:rPr>
          <w:rFonts w:ascii="仿宋" w:hAnsi="仿宋" w:eastAsia="仿宋"/>
          <w:color w:val="auto"/>
          <w:highlight w:val="none"/>
        </w:rPr>
      </w:pPr>
      <w:bookmarkStart w:id="131" w:name="_Toc23276"/>
      <w:bookmarkStart w:id="132" w:name="_Toc17822"/>
      <w:bookmarkStart w:id="133"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131"/>
      <w:bookmarkEnd w:id="132"/>
      <w:bookmarkEnd w:id="133"/>
    </w:p>
    <w:p w14:paraId="3AFA301F">
      <w:pPr>
        <w:pStyle w:val="4"/>
        <w:rPr>
          <w:rFonts w:ascii="仿宋" w:hAnsi="仿宋" w:eastAsia="仿宋"/>
          <w:color w:val="auto"/>
          <w:highlight w:val="none"/>
        </w:rPr>
      </w:pPr>
      <w:bookmarkStart w:id="134" w:name="_Toc15396627"/>
      <w:bookmarkStart w:id="135" w:name="_Toc24543"/>
      <w:bookmarkStart w:id="136" w:name="_Toc21485"/>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134"/>
      <w:bookmarkEnd w:id="135"/>
      <w:bookmarkEnd w:id="136"/>
    </w:p>
    <w:p w14:paraId="27EA3926">
      <w:pPr>
        <w:pStyle w:val="4"/>
        <w:rPr>
          <w:rFonts w:ascii="仿宋" w:hAnsi="仿宋" w:eastAsia="仿宋"/>
          <w:color w:val="auto"/>
          <w:highlight w:val="none"/>
        </w:rPr>
      </w:pPr>
      <w:bookmarkStart w:id="137" w:name="_Toc15396628"/>
      <w:bookmarkStart w:id="138" w:name="_Toc23566"/>
      <w:bookmarkStart w:id="139" w:name="_Toc16353"/>
      <w:r>
        <w:rPr>
          <w:rStyle w:val="25"/>
          <w:rFonts w:hint="eastAsia" w:ascii="仿宋" w:hAnsi="仿宋" w:eastAsia="仿宋"/>
          <w:b w:val="0"/>
          <w:bCs w:val="0"/>
          <w:color w:val="auto"/>
          <w:highlight w:val="none"/>
        </w:rPr>
        <w:t>十、</w:t>
      </w:r>
      <w:bookmarkEnd w:id="137"/>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bookmarkEnd w:id="138"/>
      <w:bookmarkEnd w:id="139"/>
    </w:p>
    <w:p w14:paraId="2A566706">
      <w:pPr>
        <w:pStyle w:val="4"/>
        <w:rPr>
          <w:rFonts w:ascii="仿宋" w:hAnsi="仿宋" w:eastAsia="仿宋"/>
          <w:color w:val="auto"/>
          <w:highlight w:val="none"/>
        </w:rPr>
      </w:pPr>
      <w:bookmarkStart w:id="140" w:name="_Toc15396629"/>
      <w:bookmarkStart w:id="141" w:name="_Toc14574"/>
      <w:bookmarkStart w:id="142" w:name="_Toc13118"/>
      <w:r>
        <w:rPr>
          <w:rStyle w:val="25"/>
          <w:rFonts w:hint="eastAsia" w:ascii="仿宋" w:hAnsi="仿宋" w:eastAsia="仿宋"/>
          <w:b w:val="0"/>
          <w:bCs w:val="0"/>
          <w:color w:val="auto"/>
          <w:highlight w:val="none"/>
        </w:rPr>
        <w:t>十一、</w:t>
      </w:r>
      <w:bookmarkEnd w:id="140"/>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bookmarkEnd w:id="141"/>
      <w:bookmarkEnd w:id="142"/>
    </w:p>
    <w:p w14:paraId="4A8C7C6A">
      <w:pPr>
        <w:pStyle w:val="4"/>
        <w:rPr>
          <w:rFonts w:ascii="仿宋" w:hAnsi="仿宋" w:eastAsia="仿宋"/>
          <w:color w:val="auto"/>
          <w:highlight w:val="none"/>
        </w:rPr>
      </w:pPr>
      <w:bookmarkStart w:id="143" w:name="_Toc15396630"/>
      <w:bookmarkStart w:id="144" w:name="_Toc32748"/>
      <w:bookmarkStart w:id="145" w:name="_Toc5747"/>
      <w:r>
        <w:rPr>
          <w:rStyle w:val="25"/>
          <w:rFonts w:hint="eastAsia" w:ascii="仿宋" w:hAnsi="仿宋" w:eastAsia="仿宋"/>
          <w:b w:val="0"/>
          <w:bCs w:val="0"/>
          <w:color w:val="auto"/>
          <w:highlight w:val="none"/>
        </w:rPr>
        <w:t>十二、</w:t>
      </w:r>
      <w:bookmarkEnd w:id="143"/>
      <w:r>
        <w:rPr>
          <w:rStyle w:val="25"/>
          <w:rFonts w:hint="eastAsia" w:ascii="仿宋" w:hAnsi="仿宋" w:eastAsia="仿宋"/>
          <w:b w:val="0"/>
          <w:bCs w:val="0"/>
          <w:color w:val="auto"/>
          <w:highlight w:val="none"/>
          <w:lang w:eastAsia="zh-CN"/>
        </w:rPr>
        <w:t>国有资本经营预算财政拨款支出决算表</w:t>
      </w:r>
      <w:bookmarkEnd w:id="144"/>
      <w:bookmarkEnd w:id="145"/>
    </w:p>
    <w:p w14:paraId="4485816B">
      <w:pPr>
        <w:pStyle w:val="4"/>
        <w:rPr>
          <w:rFonts w:hint="eastAsia" w:eastAsia="仿宋"/>
          <w:color w:val="auto"/>
          <w:highlight w:val="none"/>
          <w:lang w:eastAsia="zh-CN"/>
        </w:rPr>
      </w:pPr>
      <w:bookmarkStart w:id="146" w:name="_Toc15396631"/>
      <w:bookmarkStart w:id="147" w:name="_Toc26025"/>
      <w:bookmarkStart w:id="148" w:name="_Toc17088"/>
      <w:r>
        <w:rPr>
          <w:rStyle w:val="25"/>
          <w:rFonts w:hint="eastAsia" w:ascii="仿宋" w:hAnsi="仿宋" w:eastAsia="仿宋"/>
          <w:b w:val="0"/>
          <w:bCs w:val="0"/>
          <w:color w:val="auto"/>
          <w:highlight w:val="none"/>
        </w:rPr>
        <w:t>十三、</w:t>
      </w:r>
      <w:bookmarkEnd w:id="146"/>
      <w:r>
        <w:rPr>
          <w:rStyle w:val="25"/>
          <w:rFonts w:hint="eastAsia" w:ascii="仿宋" w:hAnsi="仿宋" w:eastAsia="仿宋"/>
          <w:b w:val="0"/>
          <w:bCs w:val="0"/>
          <w:color w:val="auto"/>
          <w:highlight w:val="none"/>
          <w:lang w:eastAsia="zh-CN"/>
        </w:rPr>
        <w:t>财政拨款“三公”经费支出决算表</w:t>
      </w:r>
      <w:bookmarkEnd w:id="147"/>
      <w:bookmarkEnd w:id="148"/>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Calibri">
    <w:panose1 w:val="020F0502020204030204"/>
    <w:charset w:val="86"/>
    <w:family w:val="auto"/>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D9DC0">
    <w:pPr>
      <w:pStyle w:val="8"/>
      <w:jc w:val="center"/>
    </w:pPr>
  </w:p>
  <w:p w14:paraId="53A24BCA">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7B308">
    <w:pPr>
      <w:pStyle w:val="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14:paraId="34011F3F">
                              <w:pPr>
                                <w:pStyle w:val="8"/>
                                <w:jc w:val="center"/>
                              </w:pPr>
                              <w:r>
                                <w:fldChar w:fldCharType="begin"/>
                              </w:r>
                              <w:r>
                                <w:instrText xml:space="preserve">PAGE   \* MERGEFORMAT</w:instrText>
                              </w:r>
                              <w:r>
                                <w:fldChar w:fldCharType="separate"/>
                              </w:r>
                              <w:r>
                                <w:rPr>
                                  <w:lang w:val="zh-CN"/>
                                </w:rPr>
                                <w:t>8</w:t>
                              </w:r>
                              <w:r>
                                <w:fldChar w:fldCharType="end"/>
                              </w:r>
                            </w:p>
                          </w:sdtContent>
                        </w:sdt>
                        <w:p w14:paraId="0ABE0F1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14:paraId="34011F3F">
                        <w:pPr>
                          <w:pStyle w:val="8"/>
                          <w:jc w:val="center"/>
                        </w:pPr>
                        <w:r>
                          <w:fldChar w:fldCharType="begin"/>
                        </w:r>
                        <w:r>
                          <w:instrText xml:space="preserve">PAGE   \* MERGEFORMAT</w:instrText>
                        </w:r>
                        <w:r>
                          <w:fldChar w:fldCharType="separate"/>
                        </w:r>
                        <w:r>
                          <w:rPr>
                            <w:lang w:val="zh-CN"/>
                          </w:rPr>
                          <w:t>8</w:t>
                        </w:r>
                        <w:r>
                          <w:fldChar w:fldCharType="end"/>
                        </w:r>
                      </w:p>
                    </w:sdtContent>
                  </w:sdt>
                  <w:p w14:paraId="0ABE0F17"/>
                </w:txbxContent>
              </v:textbox>
            </v:shape>
          </w:pict>
        </mc:Fallback>
      </mc:AlternateContent>
    </w:r>
  </w:p>
  <w:p w14:paraId="15163E20">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5608A">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07A8D">
                          <w:pPr>
                            <w:pStyle w:val="8"/>
                            <w:rPr>
                              <w:rFonts w:hint="eastAsia" w:eastAsia="宋体"/>
                              <w:lang w:val="en-US" w:eastAsia="zh-CN"/>
                            </w:rPr>
                          </w:pPr>
                          <w:r>
                            <w:fldChar w:fldCharType="begin"/>
                          </w:r>
                          <w:r>
                            <w:instrText xml:space="preserve"> PAGE  \* MERGEFORMAT </w:instrText>
                          </w:r>
                          <w:r>
                            <w:fldChar w:fldCharType="separate"/>
                          </w:r>
                          <w:r>
                            <w:t>1</w:t>
                          </w:r>
                          <w:r>
                            <w:fldChar w:fldCharType="end"/>
                          </w:r>
                          <w:r>
                            <w:rPr>
                              <w:rFonts w:hint="eastAsia"/>
                              <w:lang w:val="en-US" w:eastAsia="zh-CN"/>
                            </w:rPr>
                            <w:t>7</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D107A8D">
                    <w:pPr>
                      <w:pStyle w:val="8"/>
                      <w:rPr>
                        <w:rFonts w:hint="eastAsia" w:eastAsia="宋体"/>
                        <w:lang w:val="en-US" w:eastAsia="zh-CN"/>
                      </w:rPr>
                    </w:pPr>
                    <w:r>
                      <w:fldChar w:fldCharType="begin"/>
                    </w:r>
                    <w:r>
                      <w:instrText xml:space="preserve"> PAGE  \* MERGEFORMAT </w:instrText>
                    </w:r>
                    <w:r>
                      <w:fldChar w:fldCharType="separate"/>
                    </w:r>
                    <w:r>
                      <w:t>1</w:t>
                    </w:r>
                    <w:r>
                      <w:fldChar w:fldCharType="end"/>
                    </w:r>
                    <w:r>
                      <w:rPr>
                        <w:rFonts w:hint="eastAsia"/>
                        <w:lang w:val="en-US" w:eastAsia="zh-CN"/>
                      </w:rPr>
                      <w:t>7</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012F">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4112"/>
                          </w:sdtPr>
                          <w:sdtContent>
                            <w:p w14:paraId="6E3003DB">
                              <w:pPr>
                                <w:pStyle w:val="8"/>
                                <w:jc w:val="center"/>
                              </w:pPr>
                              <w:r>
                                <w:fldChar w:fldCharType="begin"/>
                              </w:r>
                              <w:r>
                                <w:instrText xml:space="preserve">PAGE   \* MERGEFORMAT</w:instrText>
                              </w:r>
                              <w:r>
                                <w:fldChar w:fldCharType="separate"/>
                              </w:r>
                              <w:r>
                                <w:rPr>
                                  <w:lang w:val="zh-CN"/>
                                </w:rPr>
                                <w:t>8</w:t>
                              </w:r>
                              <w:r>
                                <w:fldChar w:fldCharType="end"/>
                              </w:r>
                            </w:p>
                          </w:sdtContent>
                        </w:sdt>
                        <w:p w14:paraId="38F56B4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sdt>
                    <w:sdtPr>
                      <w:id w:val="147464112"/>
                    </w:sdtPr>
                    <w:sdtContent>
                      <w:p w14:paraId="6E3003DB">
                        <w:pPr>
                          <w:pStyle w:val="8"/>
                          <w:jc w:val="center"/>
                        </w:pPr>
                        <w:r>
                          <w:fldChar w:fldCharType="begin"/>
                        </w:r>
                        <w:r>
                          <w:instrText xml:space="preserve">PAGE   \* MERGEFORMAT</w:instrText>
                        </w:r>
                        <w:r>
                          <w:fldChar w:fldCharType="separate"/>
                        </w:r>
                        <w:r>
                          <w:rPr>
                            <w:lang w:val="zh-CN"/>
                          </w:rPr>
                          <w:t>8</w:t>
                        </w:r>
                        <w:r>
                          <w:fldChar w:fldCharType="end"/>
                        </w:r>
                      </w:p>
                    </w:sdtContent>
                  </w:sdt>
                  <w:p w14:paraId="38F56B42"/>
                </w:txbxContent>
              </v:textbox>
            </v:shape>
          </w:pict>
        </mc:Fallback>
      </mc:AlternateContent>
    </w:r>
  </w:p>
  <w:p w14:paraId="71B85285">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07E0D">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816E4">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80816E4">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E5938">
                          <w:pPr>
                            <w:pStyle w:val="8"/>
                            <w:rPr>
                              <w:rFonts w:hint="eastAsia"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60E5938">
                    <w:pPr>
                      <w:pStyle w:val="8"/>
                      <w:rPr>
                        <w:rFonts w:hint="eastAsia"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ADECA">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YjZhNGU5YmJkYTNiYzYzNTJhNGMwZDk3NGFhOG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34A"/>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3E41"/>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F12408"/>
    <w:rsid w:val="03AD58A1"/>
    <w:rsid w:val="052C1CE3"/>
    <w:rsid w:val="053A62B5"/>
    <w:rsid w:val="0A2032A3"/>
    <w:rsid w:val="0B8A37D8"/>
    <w:rsid w:val="0DFC545B"/>
    <w:rsid w:val="10C055FF"/>
    <w:rsid w:val="118107EC"/>
    <w:rsid w:val="11DD6519"/>
    <w:rsid w:val="121F7871"/>
    <w:rsid w:val="16BB723D"/>
    <w:rsid w:val="18015F3F"/>
    <w:rsid w:val="19E03944"/>
    <w:rsid w:val="1A4C65B4"/>
    <w:rsid w:val="1BE8440E"/>
    <w:rsid w:val="1C7E30FC"/>
    <w:rsid w:val="1D155CEE"/>
    <w:rsid w:val="20F57F95"/>
    <w:rsid w:val="212F13E4"/>
    <w:rsid w:val="218E2416"/>
    <w:rsid w:val="22907E93"/>
    <w:rsid w:val="240371BF"/>
    <w:rsid w:val="24B35DAE"/>
    <w:rsid w:val="256634D8"/>
    <w:rsid w:val="25711CC6"/>
    <w:rsid w:val="25C741E6"/>
    <w:rsid w:val="27842671"/>
    <w:rsid w:val="29080D00"/>
    <w:rsid w:val="29A25DCA"/>
    <w:rsid w:val="29FD04D3"/>
    <w:rsid w:val="2A88093B"/>
    <w:rsid w:val="2A8D54AD"/>
    <w:rsid w:val="2ABE7A3E"/>
    <w:rsid w:val="2CA234A8"/>
    <w:rsid w:val="2CB65EC1"/>
    <w:rsid w:val="2EFA178C"/>
    <w:rsid w:val="2F080E87"/>
    <w:rsid w:val="2FDC6BEC"/>
    <w:rsid w:val="30B46D73"/>
    <w:rsid w:val="319F7F4E"/>
    <w:rsid w:val="348C0A37"/>
    <w:rsid w:val="35C366DA"/>
    <w:rsid w:val="36AD2EE7"/>
    <w:rsid w:val="383D272C"/>
    <w:rsid w:val="39AE70AB"/>
    <w:rsid w:val="3B74725A"/>
    <w:rsid w:val="3C0C0783"/>
    <w:rsid w:val="3D2707CD"/>
    <w:rsid w:val="3E66054B"/>
    <w:rsid w:val="3F9F3A96"/>
    <w:rsid w:val="4478171C"/>
    <w:rsid w:val="45AD696E"/>
    <w:rsid w:val="45C7444D"/>
    <w:rsid w:val="462849CE"/>
    <w:rsid w:val="48BF60AB"/>
    <w:rsid w:val="493C27E9"/>
    <w:rsid w:val="496F39ED"/>
    <w:rsid w:val="49FF41D3"/>
    <w:rsid w:val="4A1B668D"/>
    <w:rsid w:val="4BE068DB"/>
    <w:rsid w:val="4BF6002B"/>
    <w:rsid w:val="4D153868"/>
    <w:rsid w:val="4ECE2238"/>
    <w:rsid w:val="511136DF"/>
    <w:rsid w:val="51DB4B86"/>
    <w:rsid w:val="53011DB0"/>
    <w:rsid w:val="55333C3E"/>
    <w:rsid w:val="56B7773E"/>
    <w:rsid w:val="594A6647"/>
    <w:rsid w:val="5A266F99"/>
    <w:rsid w:val="64AA08E2"/>
    <w:rsid w:val="64CA39A1"/>
    <w:rsid w:val="69630ADE"/>
    <w:rsid w:val="6B0D15D1"/>
    <w:rsid w:val="6C191899"/>
    <w:rsid w:val="6C4A05C8"/>
    <w:rsid w:val="6D3B1A89"/>
    <w:rsid w:val="6E7F496E"/>
    <w:rsid w:val="71BF4EC2"/>
    <w:rsid w:val="72734D90"/>
    <w:rsid w:val="7412278C"/>
    <w:rsid w:val="77DE7769"/>
    <w:rsid w:val="79E7B28D"/>
    <w:rsid w:val="7AFF36F5"/>
    <w:rsid w:val="7B890DF9"/>
    <w:rsid w:val="7E5D520A"/>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paragraph" w:customStyle="1" w:styleId="3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esktop\&#20915;&#31639;&#20844;&#24320;&#22270;23&#24180;&#24230;\2023&#24180;&#25910;&#25903;&#32467;&#31639;&#24635;&#35745;&#21464;&#21160;&#24773;&#20917;&#34920;&#2227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Desktop\2023&#24180;&#20915;&#31639;&#20844;&#24320;\&#20915;&#31639;&#20844;&#24320;&#22270;23&#24180;&#24230;\2023&#25910;&#20837;&#32467;&#31639;&#32467;&#26500;&#22270;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SUS\Desktop\2023&#24180;&#20915;&#31639;&#20844;&#24320;\&#20915;&#31639;&#20844;&#24320;&#22270;23&#24180;&#24230;\2023&#25903;&#20986;&#32467;&#31639;&#32467;&#26500;&#22270;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SUS\Desktop\&#20915;&#31639;&#20844;&#24320;&#22270;23&#24180;&#24230;\2023&#36130;&#25919;&#25320;&#27454;&#25910;&#12289;&#25903;&#20915;&#31639;&#24635;&#35745;&#21464;&#21160;&#24773;&#20917;&#22270;4.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SUS\Desktop\2023&#24180;&#20915;&#31639;&#20844;&#24320;\&#20915;&#31639;&#20844;&#24320;&#22270;23&#24180;&#24230;\23&#19968;&#33324;&#20844;&#20849;&#39044;&#31639;&#36130;&#25919;&#25320;&#27454;&#25903;&#20986;&#20915;&#31639;&#21464;&#21160;&#24773;&#20917;&#22270;5.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SUS\Desktop\&#20915;&#31639;&#20844;&#24320;&#22270;23&#24180;&#24230;\23&#24180;&#19968;&#33324;&#20844;&#20849;&#39044;&#31639;&#36130;&#25919;&#25320;&#27454;&#25903;&#20986;&#20915;&#31639;&#32467;&#26500;&#22270;6.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2020\2020&#24180;&#20915;&#31639;\2019&#24180;&#20915;&#31639;&#20844;&#24320;\2019&#24180;&#20915;&#31639;&#20844;&#24320;&#39292;&#29366;&#22270;&#21442;&#327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收、支结算总计变动情况表</a:t>
            </a:r>
            <a:endParaRPr lang="zh-CN" altLang="en-US" sz="18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barChart>
        <c:barDir val="col"/>
        <c:grouping val="clustered"/>
        <c:varyColors val="0"/>
        <c:ser>
          <c:idx val="0"/>
          <c:order val="0"/>
          <c:tx>
            <c:strRef>
              <c:f>[2023年收支结算总计变动情况表图1.xls]Sheet1!$A$2</c:f>
              <c:strCache>
                <c:ptCount val="1"/>
                <c:pt idx="0">
                  <c:v>2022年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[2023年收支结算总计变动情况表图1.xls]Sheet1!$B$1:$C$1</c:f>
              <c:strCache>
                <c:ptCount val="2"/>
                <c:pt idx="0">
                  <c:v>收入（万元）</c:v>
                </c:pt>
                <c:pt idx="1">
                  <c:v>支出（万元）</c:v>
                </c:pt>
              </c:strCache>
            </c:strRef>
          </c:cat>
          <c:val>
            <c:numRef>
              <c:f>[2023年收支结算总计变动情况表图1.xls]Sheet1!$B$2:$C$2</c:f>
              <c:numCache>
                <c:formatCode>0.00_ </c:formatCode>
                <c:ptCount val="2"/>
                <c:pt idx="0">
                  <c:v>649.64</c:v>
                </c:pt>
                <c:pt idx="1">
                  <c:v>649.64</c:v>
                </c:pt>
              </c:numCache>
            </c:numRef>
          </c:val>
        </c:ser>
        <c:ser>
          <c:idx val="1"/>
          <c:order val="1"/>
          <c:tx>
            <c:strRef>
              <c:f>[2023年收支结算总计变动情况表图1.xls]Sheet1!$A$3</c:f>
              <c:strCache>
                <c:ptCount val="1"/>
                <c:pt idx="0">
                  <c:v>2023年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[2023年收支结算总计变动情况表图1.xls]Sheet1!$B$1:$C$1</c:f>
              <c:strCache>
                <c:ptCount val="2"/>
                <c:pt idx="0">
                  <c:v>收入（万元）</c:v>
                </c:pt>
                <c:pt idx="1">
                  <c:v>支出（万元）</c:v>
                </c:pt>
              </c:strCache>
            </c:strRef>
          </c:cat>
          <c:val>
            <c:numRef>
              <c:f>[2023年收支结算总计变动情况表图1.xls]Sheet1!$B$3:$C$3</c:f>
              <c:numCache>
                <c:formatCode>General</c:formatCode>
                <c:ptCount val="2"/>
                <c:pt idx="0">
                  <c:v>605.71</c:v>
                </c:pt>
                <c:pt idx="1">
                  <c:v>605.71</c:v>
                </c:pt>
              </c:numCache>
            </c:numRef>
          </c:val>
        </c:ser>
        <c:dLbls>
          <c:showLegendKey val="0"/>
          <c:showVal val="0"/>
          <c:showCatName val="0"/>
          <c:showSerName val="0"/>
          <c:showPercent val="0"/>
          <c:showBubbleSize val="0"/>
        </c:dLbls>
        <c:gapWidth val="150"/>
        <c:overlap val="0"/>
        <c:axId val="978535982"/>
        <c:axId val="305017349"/>
      </c:barChart>
      <c:catAx>
        <c:axId val="97853598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5017349"/>
        <c:crosses val="autoZero"/>
        <c:auto val="1"/>
        <c:lblAlgn val="ctr"/>
        <c:lblOffset val="100"/>
        <c:noMultiLvlLbl val="0"/>
      </c:catAx>
      <c:valAx>
        <c:axId val="305017349"/>
        <c:scaling>
          <c:orientation val="minMax"/>
        </c:scaling>
        <c:delete val="0"/>
        <c:axPos val="l"/>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8535982"/>
        <c:crosses val="autoZero"/>
        <c:crossBetween val="between"/>
      </c:valAx>
      <c:spPr>
        <a:solidFill>
          <a:schemeClr val="bg1"/>
        </a:solidFill>
        <a:ln>
          <a:noFill/>
        </a:ln>
        <a:effectLst/>
      </c:spPr>
    </c:plotArea>
    <c:legend>
      <c:legendPos val="r"/>
      <c:layout>
        <c:manualLayout>
          <c:xMode val="edge"/>
          <c:yMode val="edge"/>
          <c:x val="0.85375"/>
          <c:y val="0.4775"/>
          <c:w val="0.125"/>
          <c:h val="0.15277777777777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b050155c-219b-49fb-9a8b-95ae26dfc498}"/>
      </c:ext>
    </c:extLst>
  </c:chart>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alpha val="100000"/>
                  </a:srgbClr>
                </a:solidFill>
                <a:latin typeface="Calibri" panose="020F0502020204030204" pitchFamily="2" charset="0"/>
                <a:ea typeface="Calibri" panose="020F0502020204030204" pitchFamily="2" charset="0"/>
                <a:cs typeface="Calibri" panose="020F0502020204030204" pitchFamily="2" charset="0"/>
              </a:defRPr>
            </a:pPr>
            <a:r>
              <a:rPr lang="zh-CN" altLang="en-US" sz="1800" b="1" i="0" baseline="0"/>
              <a:t>收入决算结构图</a:t>
            </a:r>
            <a:endParaRPr lang="zh-CN" altLang="en-US" sz="1800" b="1" i="0" u="none" strike="noStrike" baseline="0">
              <a:solidFill>
                <a:srgbClr val="000000">
                  <a:alpha val="100000"/>
                </a:srgbClr>
              </a:solidFill>
              <a:latin typeface="Calibri" panose="020F0502020204030204" pitchFamily="2" charset="0"/>
              <a:ea typeface="Calibri" panose="020F0502020204030204" pitchFamily="2" charset="0"/>
              <a:cs typeface="Calibri" panose="020F0502020204030204" pitchFamily="2" charset="0"/>
            </a:endParaRPr>
          </a:p>
        </c:rich>
      </c:tx>
      <c:layout>
        <c:manualLayout>
          <c:xMode val="edge"/>
          <c:yMode val="edge"/>
          <c:x val="0.33453580686428"/>
          <c:y val="0.0376631367596101"/>
        </c:manualLayout>
      </c:layout>
      <c:overlay val="0"/>
    </c:title>
    <c:autoTitleDeleted val="0"/>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0225962379702537"/>
          <c:y val="0.224537037037037"/>
          <c:w val="0.514968285214348"/>
          <c:h val="0.773148148148148"/>
        </c:manualLayout>
      </c:layout>
      <c:pie3DChart>
        <c:varyColors val="0"/>
        <c:ser>
          <c:idx val="0"/>
          <c:order val="0"/>
          <c:explosion val="0"/>
          <c:dLbls>
            <c:dLbl>
              <c:idx val="0"/>
              <c:layout>
                <c:manualLayout>
                  <c:x val="0.0201161417322834"/>
                  <c:y val="-0.267513982057985"/>
                </c:manualLayout>
              </c:layout>
              <c:tx>
                <c:rich>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000" b="0" i="0" u="none" strike="noStrike" baseline="0">
                        <a:solidFill>
                          <a:srgbClr val="000000"/>
                        </a:solidFill>
                        <a:latin typeface="Calibri" panose="020F0502020204030204" charset="-122"/>
                        <a:ea typeface="Calibri" panose="020F0502020204030204" charset="-122"/>
                        <a:cs typeface="Calibri" panose="020F0502020204030204" charset="-122"/>
                      </a:rPr>
                      <a:t>一般公共预算财政拨款收入</a:t>
                    </a:r>
                    <a:endParaRPr lang="zh-CN" altLang="en-US" sz="1000" b="0" i="0" u="none" strike="noStrike" baseline="0">
                      <a:solidFill>
                        <a:srgbClr val="000000"/>
                      </a:solidFill>
                      <a:latin typeface="Calibri" panose="020F0502020204030204" charset="-122"/>
                      <a:ea typeface="Calibri" panose="020F0502020204030204" charset="-122"/>
                      <a:cs typeface="Calibri" panose="020F0502020204030204" charset="-122"/>
                    </a:endParaRPr>
                  </a:p>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en-US" altLang="zh-CN" sz="10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540.26</a:t>
                    </a:r>
                    <a:r>
                      <a:rPr lang="zh-CN" altLang="en-US" sz="1000" b="0" i="0" u="none" strike="noStrike" baseline="0">
                        <a:solidFill>
                          <a:srgbClr val="000000"/>
                        </a:solidFill>
                        <a:latin typeface="Calibri" panose="020F0502020204030204" charset="-122"/>
                        <a:ea typeface="Calibri" panose="020F0502020204030204" charset="-122"/>
                        <a:cs typeface="Calibri" panose="020F0502020204030204" charset="-122"/>
                      </a:rPr>
                      <a:t>元</a:t>
                    </a:r>
                    <a:r>
                      <a:rPr lang="en-US" altLang="zh-CN" sz="10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100%</a:t>
                    </a:r>
                    <a:endParaRPr lang="en-US" altLang="zh-CN"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1"/>
              <c:showSerName val="0"/>
              <c:showPercent val="0"/>
              <c:showBubbleSize val="0"/>
              <c:extLst>
                <c:ext xmlns:c15="http://schemas.microsoft.com/office/drawing/2012/chart" uri="{CE6537A1-D6FC-4f65-9D91-7224C49458BB}">
                  <c15:layout/>
                </c:ext>
              </c:extLst>
            </c:dLbl>
            <c:dLbl>
              <c:idx val="1"/>
              <c:layout>
                <c:manualLayout>
                  <c:x val="-0.155578302712161"/>
                  <c:y val="0.2006399731948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168078302712161"/>
                  <c:y val="-0.013308017348895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0902550306211723"/>
                  <c:y val="-0.041666759740138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00314785651793526"/>
                  <c:y val="-0.14483274697045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5"/>
              <c:layout>
                <c:manualLayout>
                  <c:x val="0.155185695538058"/>
                  <c:y val="-0.081347703877440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6"/>
              <c:layout>
                <c:manualLayout>
                  <c:x val="0.221505030621172"/>
                  <c:y val="0.10419128460006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[2023收入结算结构图2.xls]Sheet1!$A$2:$A$9</c:f>
              <c:strCache>
                <c:ptCount val="8"/>
                <c:pt idx="0">
                  <c:v>一般公共预算财政拨款收入</c:v>
                </c:pt>
              </c:strCache>
            </c:strRef>
          </c:cat>
          <c:val>
            <c:numRef>
              <c:f>[2023收入结算结构图2.xls]Sheet1!$B$2:$B$9</c:f>
              <c:numCache>
                <c:formatCode>General</c:formatCode>
                <c:ptCount val="8"/>
                <c:pt idx="0">
                  <c:v>540.26</c:v>
                </c:pt>
              </c:numCache>
            </c:numRef>
          </c:val>
        </c:ser>
        <c:dLbls>
          <c:showLegendKey val="0"/>
          <c:showVal val="0"/>
          <c:showCatName val="0"/>
          <c:showSerName val="0"/>
          <c:showPercent val="0"/>
          <c:showBubbleSize val="0"/>
        </c:dLbls>
      </c:pie3DChart>
      <c:spPr>
        <a:noFill/>
        <a:ln w="3175">
          <a:noFill/>
        </a:ln>
      </c:spPr>
    </c:plotArea>
    <c:legend>
      <c:legendPos val="r"/>
      <c:legendEntry>
        <c:idx val="1"/>
        <c:delete val="1"/>
      </c:legendEntry>
      <c:legendEntry>
        <c:idx val="2"/>
        <c:delete val="1"/>
      </c:legendEntry>
      <c:legendEntry>
        <c:idx val="3"/>
        <c:delete val="1"/>
      </c:legendEntry>
      <c:legendEntry>
        <c:idx val="4"/>
        <c:delete val="1"/>
      </c:legendEntry>
      <c:legendEntry>
        <c:idx val="5"/>
        <c:delete val="1"/>
      </c:legendEntry>
      <c:legendEntry>
        <c:idx val="6"/>
        <c:delete val="1"/>
      </c:legendEntry>
      <c:legendEntry>
        <c:idx val="7"/>
        <c:delete val="1"/>
      </c:legendEntry>
      <c:layout>
        <c:manualLayout>
          <c:xMode val="edge"/>
          <c:yMode val="edge"/>
          <c:x val="0.663029843963036"/>
          <c:y val="0.158183789954338"/>
          <c:w val="0.319400094150609"/>
          <c:h val="0.78486997635933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3fc62ccf-9a94-4793-9ce9-2d9ad3310814}"/>
      </c:ext>
    </c:extLst>
  </c:chart>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alpha val="100000"/>
                  </a:srgbClr>
                </a:solidFill>
                <a:latin typeface="Calibri" panose="020F0502020204030204" pitchFamily="2" charset="0"/>
                <a:ea typeface="Calibri" panose="020F0502020204030204" pitchFamily="2" charset="0"/>
                <a:cs typeface="Calibri" panose="020F0502020204030204" pitchFamily="2" charset="0"/>
              </a:defRPr>
            </a:pPr>
            <a:r>
              <a:rPr lang="zh-CN" altLang="en-US" sz="1800"/>
              <a:t>支出决算结构图</a:t>
            </a:r>
            <a:endParaRPr lang="zh-CN" altLang="en-US" sz="1800" b="1" i="0" u="none" strike="noStrike" baseline="0">
              <a:solidFill>
                <a:srgbClr val="000000">
                  <a:alpha val="100000"/>
                </a:srgbClr>
              </a:solidFill>
              <a:latin typeface="Calibri" panose="020F0502020204030204" pitchFamily="2" charset="0"/>
              <a:ea typeface="Calibri" panose="020F0502020204030204" pitchFamily="2" charset="0"/>
              <a:cs typeface="Calibri" panose="020F0502020204030204" pitchFamily="2" charset="0"/>
            </a:endParaRPr>
          </a:p>
        </c:rich>
      </c:tx>
      <c:layout>
        <c:manualLayout>
          <c:xMode val="edge"/>
          <c:yMode val="edge"/>
          <c:x val="0.548638888888889"/>
          <c:y val="0.037037037037037"/>
        </c:manualLayout>
      </c:layout>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explosion val="0"/>
          <c:dPt>
            <c:idx val="0"/>
            <c:bubble3D val="0"/>
            <c:explosion val="0"/>
          </c:dPt>
          <c:dPt>
            <c:idx val="1"/>
            <c:bubble3D val="0"/>
            <c:explosion val="0"/>
          </c:dPt>
          <c:dPt>
            <c:idx val="2"/>
            <c:bubble3D val="0"/>
            <c:explosion val="0"/>
          </c:dPt>
          <c:dPt>
            <c:idx val="3"/>
            <c:bubble3D val="0"/>
            <c:explosion val="0"/>
          </c:dPt>
          <c:dPt>
            <c:idx val="4"/>
            <c:bubble3D val="0"/>
            <c:explosion val="0"/>
          </c:dPt>
          <c:dLbls>
            <c:dLbl>
              <c:idx val="0"/>
              <c:layout>
                <c:manualLayout>
                  <c:x val="-0.0958385409433875"/>
                  <c:y val="-0.271970346861158"/>
                </c:manualLayout>
              </c:layout>
              <c:tx>
                <c:rich>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000" b="0" i="0" u="none" strike="noStrike" baseline="0">
                        <a:solidFill>
                          <a:srgbClr val="000000"/>
                        </a:solidFill>
                        <a:latin typeface="Calibri" panose="020F0502020204030204" charset="-122"/>
                        <a:ea typeface="Calibri" panose="020F0502020204030204" charset="-122"/>
                        <a:cs typeface="Calibri" panose="020F0502020204030204" charset="-122"/>
                      </a:rPr>
                      <a:t>基本支出</a:t>
                    </a:r>
                    <a:endParaRPr lang="zh-CN" altLang="en-US" sz="1000" b="0" i="0" u="none" strike="noStrike" baseline="0">
                      <a:solidFill>
                        <a:srgbClr val="000000"/>
                      </a:solidFill>
                      <a:latin typeface="Calibri" panose="020F0502020204030204" charset="-122"/>
                      <a:ea typeface="Calibri" panose="020F0502020204030204" charset="-122"/>
                      <a:cs typeface="Calibri" panose="020F0502020204030204" charset="-122"/>
                    </a:endParaRPr>
                  </a:p>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en-US" altLang="zh-CN" sz="10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536.75</a:t>
                    </a:r>
                    <a:r>
                      <a:rPr lang="zh-CN" altLang="en-US" sz="1000" b="0" i="0" u="none" strike="noStrike" baseline="0">
                        <a:solidFill>
                          <a:srgbClr val="000000"/>
                        </a:solidFill>
                        <a:latin typeface="Calibri" panose="020F0502020204030204" charset="-122"/>
                        <a:ea typeface="Calibri" panose="020F0502020204030204" charset="-122"/>
                        <a:cs typeface="Calibri" panose="020F0502020204030204" charset="-122"/>
                      </a:rPr>
                      <a:t>万元</a:t>
                    </a:r>
                    <a:r>
                      <a:rPr lang="en-US" altLang="zh-CN" sz="10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88.62%</a:t>
                    </a:r>
                    <a:endParaRPr lang="zh-CN" altLang="en-US"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1"/>
              <c:showSerName val="0"/>
              <c:showPercent val="0"/>
              <c:showBubbleSize val="0"/>
              <c:extLst>
                <c:ext xmlns:c15="http://schemas.microsoft.com/office/drawing/2012/chart" uri="{CE6537A1-D6FC-4f65-9D91-7224C49458BB}">
                  <c15:layout/>
                </c:ext>
              </c:extLst>
            </c:dLbl>
            <c:dLbl>
              <c:idx val="1"/>
              <c:layout>
                <c:manualLayout>
                  <c:x val="-0.0780198878101947"/>
                  <c:y val="0.03837555477996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sz="1000" b="0" i="0" u="none" strike="noStrike" baseline="0">
                        <a:solidFill>
                          <a:srgbClr val="000000"/>
                        </a:solidFill>
                        <a:latin typeface="宋体" panose="02010600030101010101" charset="-122"/>
                        <a:ea typeface="宋体" panose="02010600030101010101" charset="-122"/>
                        <a:cs typeface="宋体" panose="02010600030101010101" charset="-122"/>
                      </a:rPr>
                      <a:t>项目支出, </a:t>
                    </a:r>
                    <a:r>
                      <a:rPr lang="en-US" altLang="zh-CN" sz="1000" b="0" i="0" u="none" strike="noStrike" baseline="0">
                        <a:solidFill>
                          <a:srgbClr val="000000"/>
                        </a:solidFill>
                        <a:latin typeface="宋体" panose="02010600030101010101" charset="-122"/>
                        <a:ea typeface="宋体" panose="02010600030101010101" charset="-122"/>
                        <a:cs typeface="宋体" panose="02010600030101010101" charset="-122"/>
                      </a:rPr>
                      <a:t>68.97</a:t>
                    </a:r>
                    <a:r>
                      <a:rPr sz="1000" b="0" i="0" u="none" strike="noStrike" baseline="0">
                        <a:solidFill>
                          <a:srgbClr val="000000"/>
                        </a:solidFill>
                        <a:latin typeface="宋体" panose="02010600030101010101" charset="-122"/>
                        <a:ea typeface="宋体" panose="02010600030101010101" charset="-122"/>
                        <a:cs typeface="宋体" panose="02010600030101010101" charset="-122"/>
                      </a:rPr>
                      <a:t>万元, </a:t>
                    </a:r>
                    <a:r>
                      <a:rPr lang="en-US" altLang="zh-CN" sz="1000" b="0" i="0" u="none" strike="noStrike" baseline="0">
                        <a:solidFill>
                          <a:srgbClr val="000000"/>
                        </a:solidFill>
                        <a:latin typeface="宋体" panose="02010600030101010101" charset="-122"/>
                        <a:ea typeface="宋体" panose="02010600030101010101" charset="-122"/>
                        <a:cs typeface="宋体" panose="02010600030101010101" charset="-122"/>
                      </a:rPr>
                      <a:t>11.38</a:t>
                    </a:r>
                    <a:r>
                      <a:rPr sz="1000" b="0" i="0" u="none" strike="noStrike" baseline="0">
                        <a:solidFill>
                          <a:srgbClr val="000000"/>
                        </a:solidFill>
                        <a:latin typeface="宋体" panose="02010600030101010101" charset="-122"/>
                        <a:ea typeface="宋体" panose="02010600030101010101" charset="-122"/>
                        <a:cs typeface="宋体" panose="02010600030101010101" charset="-122"/>
                      </a:rPr>
                      <a:t>%</a:t>
                    </a:r>
                    <a:endParaRPr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206041265675124"/>
                  <c:y val="-0.13957680245955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0190042286380869"/>
                  <c:y val="-0.14904798138495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114357605654936"/>
                  <c:y val="-0.093836845761926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[2023支出结算结构图3.xls]Sheet1!$A$2:$A$6</c:f>
              <c:strCache>
                <c:ptCount val="5"/>
                <c:pt idx="0">
                  <c:v>基本支出</c:v>
                </c:pt>
                <c:pt idx="1">
                  <c:v>项目支出</c:v>
                </c:pt>
              </c:strCache>
            </c:strRef>
          </c:cat>
          <c:val>
            <c:numRef>
              <c:f>[2023支出结算结构图3.xls]Sheet1!$B$2:$B$6</c:f>
              <c:numCache>
                <c:formatCode>General</c:formatCode>
                <c:ptCount val="5"/>
                <c:pt idx="0">
                  <c:v>536.75</c:v>
                </c:pt>
                <c:pt idx="1">
                  <c:v>68.97</c:v>
                </c:pt>
              </c:numCache>
            </c:numRef>
          </c:val>
        </c:ser>
        <c:dLbls>
          <c:showLegendKey val="0"/>
          <c:showVal val="0"/>
          <c:showCatName val="0"/>
          <c:showSerName val="0"/>
          <c:showPercent val="0"/>
          <c:showBubbleSize val="0"/>
        </c:dLbls>
      </c:pie3DChart>
      <c:spPr>
        <a:noFill/>
        <a:ln w="3175">
          <a:noFill/>
        </a:ln>
      </c:spPr>
    </c:plotArea>
    <c:legend>
      <c:legendPos val="r"/>
      <c:legendEntry>
        <c:idx val="2"/>
        <c:delete val="1"/>
      </c:legendEntry>
      <c:legendEntry>
        <c:idx val="3"/>
        <c:delete val="1"/>
      </c:legendEntry>
      <c:legendEntry>
        <c:idx val="4"/>
        <c:delete val="1"/>
      </c:legendEntry>
      <c:layout>
        <c:manualLayout>
          <c:xMode val="edge"/>
          <c:yMode val="edge"/>
          <c:x val="0.698234848484848"/>
          <c:y val="0.21053937007874"/>
          <c:w val="0.2915"/>
          <c:h val="0.5602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cfb168c7-3429-42de-a179-52f7d32644c0}"/>
      </c:ext>
    </c:extLst>
  </c:chart>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alpha val="100000"/>
                  </a:srgbClr>
                </a:solidFill>
                <a:latin typeface="Calibri" panose="020F0502020204030204" pitchFamily="2" charset="0"/>
                <a:ea typeface="Calibri" panose="020F0502020204030204" pitchFamily="2" charset="0"/>
                <a:cs typeface="Calibri" panose="020F0502020204030204" pitchFamily="2" charset="0"/>
              </a:defRPr>
            </a:pPr>
            <a:r>
              <a:rPr lang="zh-CN" altLang="en-US" sz="1600" baseline="0">
                <a:solidFill>
                  <a:srgbClr val="000000">
                    <a:alpha val="100000"/>
                  </a:srgbClr>
                </a:solidFill>
                <a:uFillTx/>
              </a:rPr>
              <a:t>财政拨款收、支决算总计变动情况</a:t>
            </a:r>
            <a:endParaRPr lang="zh-CN" altLang="en-US" sz="1600" b="1" i="0" u="none" strike="noStrike" baseline="0">
              <a:solidFill>
                <a:srgbClr val="000000">
                  <a:alpha val="100000"/>
                </a:srgbClr>
              </a:solidFill>
              <a:uFillTx/>
              <a:latin typeface="Calibri" panose="020F0502020204030204" charset="-122"/>
              <a:ea typeface="Calibri" panose="020F0502020204030204" pitchFamily="2" charset="0"/>
              <a:cs typeface="Calibri" panose="020F0502020204030204" pitchFamily="2" charset="0"/>
            </a:endParaRPr>
          </a:p>
        </c:rich>
      </c:tx>
      <c:layout>
        <c:manualLayout>
          <c:xMode val="edge"/>
          <c:yMode val="edge"/>
          <c:x val="0.148279586483567"/>
          <c:y val="0.909754224270353"/>
        </c:manualLayout>
      </c:layout>
      <c:overlay val="0"/>
    </c:title>
    <c:autoTitleDeleted val="0"/>
    <c:plotArea>
      <c:layout>
        <c:manualLayout>
          <c:layoutTarget val="inner"/>
          <c:xMode val="edge"/>
          <c:yMode val="edge"/>
          <c:x val="0.0846828521434821"/>
          <c:y val="0.0282524059492563"/>
          <c:w val="0.640360236220472"/>
          <c:h val="0.794544692330125"/>
        </c:manualLayout>
      </c:layout>
      <c:barChart>
        <c:barDir val="col"/>
        <c:grouping val="clustered"/>
        <c:varyColors val="0"/>
        <c:ser>
          <c:idx val="0"/>
          <c:order val="0"/>
          <c:tx>
            <c:strRef>
              <c:f>[2023财政拨款收、支决算总计变动情况图4.xls]Sheet1!$A$3</c:f>
              <c:strCache>
                <c:ptCount val="1"/>
                <c:pt idx="0">
                  <c:v>财政拨款收入</c:v>
                </c:pt>
              </c:strCache>
            </c:strRef>
          </c:tx>
          <c:invertIfNegative val="0"/>
          <c:dLbls>
            <c:delete val="1"/>
          </c:dLbls>
          <c:cat>
            <c:strRef>
              <c:f>[2023财政拨款收、支决算总计变动情况图4.xls]Sheet1!$B$2:$C$2</c:f>
              <c:strCache>
                <c:ptCount val="2"/>
                <c:pt idx="0">
                  <c:v>2022年</c:v>
                </c:pt>
                <c:pt idx="1">
                  <c:v>2023年</c:v>
                </c:pt>
              </c:strCache>
            </c:strRef>
          </c:cat>
          <c:val>
            <c:numRef>
              <c:f>[2023财政拨款收、支决算总计变动情况图4.xls]Sheet1!$B$3:$C$3</c:f>
              <c:numCache>
                <c:formatCode>General</c:formatCode>
                <c:ptCount val="2"/>
                <c:pt idx="0">
                  <c:v>649.64</c:v>
                </c:pt>
                <c:pt idx="1">
                  <c:v>605.71</c:v>
                </c:pt>
              </c:numCache>
            </c:numRef>
          </c:val>
        </c:ser>
        <c:ser>
          <c:idx val="1"/>
          <c:order val="1"/>
          <c:tx>
            <c:strRef>
              <c:f>[2023财政拨款收、支决算总计变动情况图4.xls]Sheet1!$A$4</c:f>
              <c:strCache>
                <c:ptCount val="1"/>
                <c:pt idx="0">
                  <c:v>财政拨款支出</c:v>
                </c:pt>
              </c:strCache>
            </c:strRef>
          </c:tx>
          <c:invertIfNegative val="0"/>
          <c:dLbls>
            <c:dLbl>
              <c:idx val="0"/>
              <c:layout>
                <c:manualLayout>
                  <c:x val="-0.0207073002407043"/>
                  <c:y val="0.00394944707740916"/>
                </c:manualLayout>
              </c:layout>
              <c:tx>
                <c:rich>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en-US" altLang="zh-CN" sz="12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649.64</a:t>
                    </a:r>
                    <a:r>
                      <a:rPr lang="zh-CN" altLang="en-US" sz="1200" b="1" i="0" u="none" strike="noStrike" baseline="0">
                        <a:solidFill>
                          <a:srgbClr val="000000"/>
                        </a:solidFill>
                        <a:latin typeface="Calibri" panose="020F0502020204030204" charset="-122"/>
                        <a:ea typeface="Calibri" panose="020F0502020204030204" charset="-122"/>
                        <a:cs typeface="Calibri" panose="020F0502020204030204" charset="-122"/>
                      </a:rPr>
                      <a:t>万元</a:t>
                    </a:r>
                    <a:endParaRPr lang="en-US" altLang="en-US"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0"/>
              <c:showCatName val="1"/>
              <c:showSerName val="0"/>
              <c:showPercent val="0"/>
              <c:showBubbleSize val="0"/>
              <c:extLst>
                <c:ext xmlns:c15="http://schemas.microsoft.com/office/drawing/2012/chart" uri="{CE6537A1-D6FC-4f65-9D91-7224C49458BB}">
                  <c15:layout/>
                </c:ext>
              </c:extLst>
            </c:dLbl>
            <c:dLbl>
              <c:idx val="1"/>
              <c:layout>
                <c:manualLayout>
                  <c:x val="-0.0111111111111111"/>
                  <c:y val="-0.0159489633173844"/>
                </c:manualLayout>
              </c:layout>
              <c:tx>
                <c:rich>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en-US" altLang="zh-CN" sz="1200" b="1" i="0" u="none" strike="noStrike" baseline="0">
                        <a:solidFill>
                          <a:srgbClr val="000000"/>
                        </a:solidFill>
                        <a:latin typeface="Calibri" panose="020F0502020204030204" charset="-122"/>
                        <a:ea typeface="Calibri" panose="020F0502020204030204" charset="-122"/>
                        <a:cs typeface="Calibri" panose="020F0502020204030204" charset="-122"/>
                      </a:rPr>
                      <a:t>605.71</a:t>
                    </a:r>
                    <a:r>
                      <a:rPr lang="zh-CN" altLang="en-US" sz="1200" b="1" i="0" u="none" strike="noStrike" baseline="0">
                        <a:solidFill>
                          <a:srgbClr val="000000"/>
                        </a:solidFill>
                        <a:latin typeface="Calibri" panose="020F0502020204030204" charset="-122"/>
                        <a:ea typeface="Calibri" panose="020F0502020204030204" charset="-122"/>
                        <a:cs typeface="Calibri" panose="020F0502020204030204" charset="-122"/>
                      </a:rPr>
                      <a:t>万元</a:t>
                    </a:r>
                    <a:endParaRPr lang="en-US" altLang="en-US"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0"/>
              <c:showCatName val="1"/>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[2023财政拨款收、支决算总计变动情况图4.xls]Sheet1!$B$2:$C$2</c:f>
              <c:strCache>
                <c:ptCount val="2"/>
                <c:pt idx="0">
                  <c:v>2022年</c:v>
                </c:pt>
                <c:pt idx="1">
                  <c:v>2023年</c:v>
                </c:pt>
              </c:strCache>
            </c:strRef>
          </c:cat>
          <c:val>
            <c:numRef>
              <c:f>[2023财政拨款收、支决算总计变动情况图4.xls]Sheet1!$B$4:$C$4</c:f>
              <c:numCache>
                <c:formatCode>General</c:formatCode>
                <c:ptCount val="2"/>
                <c:pt idx="0">
                  <c:v>649.64</c:v>
                </c:pt>
                <c:pt idx="1">
                  <c:v>605.71</c:v>
                </c:pt>
              </c:numCache>
            </c:numRef>
          </c:val>
        </c:ser>
        <c:dLbls>
          <c:showLegendKey val="0"/>
          <c:showVal val="0"/>
          <c:showCatName val="0"/>
          <c:showSerName val="0"/>
          <c:showPercent val="0"/>
          <c:showBubbleSize val="0"/>
        </c:dLbls>
        <c:gapWidth val="150"/>
        <c:overlap val="0"/>
        <c:axId val="353882854"/>
        <c:axId val="787464743"/>
      </c:barChart>
      <c:catAx>
        <c:axId val="35388285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87464743"/>
        <c:crosses val="autoZero"/>
        <c:auto val="1"/>
        <c:lblAlgn val="ctr"/>
        <c:lblOffset val="100"/>
        <c:noMultiLvlLbl val="0"/>
      </c:catAx>
      <c:valAx>
        <c:axId val="787464743"/>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53882854"/>
        <c:crosses val="autoZero"/>
        <c:crossBetween val="between"/>
      </c:valAx>
      <c:spPr>
        <a:solidFill>
          <a:srgbClr val="FFFFFF">
            <a:alpha val="100000"/>
          </a:srgbClr>
        </a:solidFill>
        <a:ln w="3175">
          <a:noFill/>
        </a:ln>
      </c:spPr>
    </c:plotArea>
    <c:legend>
      <c:legendPos val="r"/>
      <c:layout>
        <c:manualLayout>
          <c:xMode val="edge"/>
          <c:yMode val="edge"/>
          <c:x val="0.771"/>
          <c:y val="0.4795"/>
          <c:w val="0.208304409228658"/>
          <c:h val="0.14332514511627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ecbba33a-26fd-4408-bf1e-522acc43bd2d}"/>
      </c:ext>
    </c:extLst>
  </c:chart>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500" b="1" i="0" u="none" strike="noStrike" kern="1200" baseline="0">
                <a:solidFill>
                  <a:srgbClr val="000000">
                    <a:alpha val="100000"/>
                  </a:srgbClr>
                </a:solidFill>
                <a:latin typeface="Calibri" panose="020F0502020204030204" pitchFamily="2" charset="0"/>
                <a:ea typeface="Calibri" panose="020F0502020204030204" pitchFamily="2" charset="0"/>
                <a:cs typeface="Calibri" panose="020F0502020204030204" pitchFamily="2" charset="0"/>
              </a:defRPr>
            </a:pPr>
            <a:r>
              <a:rPr lang="zh-CN" altLang="en-US" sz="1500" b="1" i="0" u="none" strike="noStrike" baseline="0">
                <a:solidFill>
                  <a:srgbClr val="000000"/>
                </a:solidFill>
                <a:latin typeface="Calibri" panose="020F0502020204030204" charset="-122"/>
                <a:ea typeface="Calibri" panose="020F0502020204030204" charset="-122"/>
                <a:cs typeface="Calibri" panose="020F0502020204030204" charset="-122"/>
              </a:rPr>
              <a:t>一般公共预算财政拨款支出结算变动情况</a:t>
            </a:r>
            <a:endParaRPr lang="en-US" altLang="zh-CN" sz="1500" b="1" i="0" u="none" strike="noStrike" baseline="0">
              <a:solidFill>
                <a:srgbClr val="000000"/>
              </a:solidFill>
              <a:latin typeface="Calibri" panose="020F0502020204030204" charset="-122"/>
              <a:ea typeface="Calibri" panose="020F0502020204030204" charset="-122"/>
              <a:cs typeface="Calibri" panose="020F0502020204030204" charset="-122"/>
            </a:endParaRPr>
          </a:p>
        </c:rich>
      </c:tx>
      <c:layout>
        <c:manualLayout>
          <c:xMode val="edge"/>
          <c:yMode val="edge"/>
          <c:x val="0.0886144014525209"/>
          <c:y val="0.0245535714285714"/>
        </c:manualLayout>
      </c:layout>
      <c:overlay val="0"/>
    </c:title>
    <c:autoTitleDeleted val="0"/>
    <c:plotArea>
      <c:layout>
        <c:manualLayout>
          <c:layoutTarget val="inner"/>
          <c:xMode val="edge"/>
          <c:yMode val="edge"/>
          <c:x val="0.0844067282921655"/>
          <c:y val="0.256026785714286"/>
          <c:w val="0.537051068343688"/>
          <c:h val="0.6265625"/>
        </c:manualLayout>
      </c:layout>
      <c:barChart>
        <c:barDir val="col"/>
        <c:grouping val="clustered"/>
        <c:varyColors val="0"/>
        <c:ser>
          <c:idx val="0"/>
          <c:order val="0"/>
          <c:tx>
            <c:strRef>
              <c:f>[23一般公共预算财政拨款支出决算变动情况图5.xls]Sheet1!$B$1</c:f>
              <c:strCache>
                <c:ptCount val="1"/>
                <c:pt idx="0">
                  <c:v>一般公共预算财政拨款支出</c:v>
                </c:pt>
              </c:strCache>
            </c:strRef>
          </c:tx>
          <c:invertIfNegative val="0"/>
          <c:dLbls>
            <c:dLbl>
              <c:idx val="0"/>
              <c:layout>
                <c:manualLayout>
                  <c:x val="0.0106076678284589"/>
                  <c:y val="-0.03125"/>
                </c:manualLayout>
              </c:layout>
              <c:tx>
                <c:rich>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en-US" altLang="zh-CN" sz="12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630.12</a:t>
                    </a:r>
                    <a:r>
                      <a:rPr lang="zh-CN" altLang="en-US" sz="1200" b="1" i="0" u="none" strike="noStrike" baseline="0">
                        <a:solidFill>
                          <a:srgbClr val="000000"/>
                        </a:solidFill>
                        <a:latin typeface="Calibri" panose="020F0502020204030204" charset="-122"/>
                        <a:ea typeface="Calibri" panose="020F0502020204030204" charset="-122"/>
                        <a:cs typeface="Calibri" panose="020F0502020204030204" charset="-122"/>
                      </a:rPr>
                      <a:t>万元</a:t>
                    </a:r>
                    <a:endParaRPr lang="en-US" altLang="en-US"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0"/>
              <c:showCatName val="1"/>
              <c:showSerName val="0"/>
              <c:showPercent val="0"/>
              <c:showBubbleSize val="0"/>
              <c:extLst>
                <c:ext xmlns:c15="http://schemas.microsoft.com/office/drawing/2012/chart" uri="{CE6537A1-D6FC-4f65-9D91-7224C49458BB}">
                  <c15:layout/>
                </c:ext>
              </c:extLst>
            </c:dLbl>
            <c:dLbl>
              <c:idx val="1"/>
              <c:layout>
                <c:manualLayout>
                  <c:x val="0.00336723297020311"/>
                  <c:y val="0.00520833333333332"/>
                </c:manualLayout>
              </c:layout>
              <c:tx>
                <c:rich>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en-US" altLang="zh-CN" sz="12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605.71</a:t>
                    </a:r>
                    <a:r>
                      <a:rPr lang="zh-CN" altLang="en-US" sz="1200" b="1" i="0" u="none" strike="noStrike" baseline="0">
                        <a:solidFill>
                          <a:srgbClr val="000000"/>
                        </a:solidFill>
                        <a:latin typeface="Calibri" panose="020F0502020204030204" charset="-122"/>
                        <a:ea typeface="Calibri" panose="020F0502020204030204" charset="-122"/>
                        <a:cs typeface="Calibri" panose="020F0502020204030204" charset="-122"/>
                      </a:rPr>
                      <a:t>万元</a:t>
                    </a:r>
                    <a:endParaRPr lang="en-US" altLang="en-US"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0"/>
              <c:showCatName val="1"/>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[23一般公共预算财政拨款支出决算变动情况图5.xls]Sheet1!$A$2:$A$3</c:f>
              <c:strCache>
                <c:ptCount val="2"/>
                <c:pt idx="0">
                  <c:v>2022年</c:v>
                </c:pt>
                <c:pt idx="1">
                  <c:v>2023年</c:v>
                </c:pt>
              </c:strCache>
            </c:strRef>
          </c:cat>
          <c:val>
            <c:numRef>
              <c:f>[23一般公共预算财政拨款支出决算变动情况图5.xls]Sheet1!$B$2:$B$3</c:f>
              <c:numCache>
                <c:formatCode>General</c:formatCode>
                <c:ptCount val="2"/>
                <c:pt idx="0">
                  <c:v>630.12</c:v>
                </c:pt>
                <c:pt idx="1">
                  <c:v>605.71</c:v>
                </c:pt>
              </c:numCache>
            </c:numRef>
          </c:val>
        </c:ser>
        <c:dLbls>
          <c:showLegendKey val="0"/>
          <c:showVal val="0"/>
          <c:showCatName val="0"/>
          <c:showSerName val="0"/>
          <c:showPercent val="0"/>
          <c:showBubbleSize val="0"/>
        </c:dLbls>
        <c:gapWidth val="150"/>
        <c:overlap val="0"/>
        <c:axId val="893733954"/>
        <c:axId val="942538922"/>
      </c:barChart>
      <c:catAx>
        <c:axId val="89373395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42538922"/>
        <c:crosses val="autoZero"/>
        <c:auto val="1"/>
        <c:lblAlgn val="ctr"/>
        <c:lblOffset val="100"/>
        <c:noMultiLvlLbl val="0"/>
      </c:catAx>
      <c:valAx>
        <c:axId val="94253892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93733954"/>
        <c:crosses val="autoZero"/>
        <c:crossBetween val="between"/>
      </c:valAx>
      <c:spPr>
        <a:solidFill>
          <a:srgbClr val="FFFFFF">
            <a:alpha val="100000"/>
          </a:srgbClr>
        </a:solidFill>
        <a:ln w="3175">
          <a:noFill/>
        </a:ln>
      </c:spPr>
    </c:plotArea>
    <c:legend>
      <c:legendPos val="r"/>
      <c:layout>
        <c:manualLayout>
          <c:xMode val="edge"/>
          <c:yMode val="edge"/>
          <c:x val="0.66"/>
          <c:y val="0.47725"/>
          <c:w val="0.31925"/>
          <c:h val="0.1342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e7460929-6094-4f52-9cdb-991ebe5f60a5}"/>
      </c:ext>
    </c:extLst>
  </c:chart>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rgbClr val="000000">
                    <a:alpha val="100000"/>
                  </a:srgbClr>
                </a:solidFill>
                <a:latin typeface="Calibri" panose="020F0502020204030204" pitchFamily="2" charset="0"/>
                <a:ea typeface="Calibri" panose="020F0502020204030204" pitchFamily="2" charset="0"/>
                <a:cs typeface="Calibri" panose="020F0502020204030204" pitchFamily="2" charset="0"/>
              </a:defRPr>
            </a:pPr>
            <a:r>
              <a:rPr lang="zh-CN" altLang="en-US" sz="1600" baseline="0"/>
              <a:t>一般公共预算财政拨款支出决算结构</a:t>
            </a:r>
            <a:endParaRPr lang="zh-CN" altLang="en-US" sz="1600" b="1" i="0" u="none" strike="noStrike" baseline="0">
              <a:solidFill>
                <a:srgbClr val="000000">
                  <a:alpha val="100000"/>
                </a:srgbClr>
              </a:solidFill>
              <a:latin typeface="Calibri" panose="020F0502020204030204" pitchFamily="2" charset="0"/>
              <a:ea typeface="Calibri" panose="020F0502020204030204" pitchFamily="2" charset="0"/>
              <a:cs typeface="Calibri" panose="020F0502020204030204" pitchFamily="2" charset="0"/>
            </a:endParaRPr>
          </a:p>
        </c:rich>
      </c:tx>
      <c:layout>
        <c:manualLayout>
          <c:xMode val="edge"/>
          <c:yMode val="edge"/>
          <c:x val="0.10687489063867"/>
          <c:y val="0.891203703703704"/>
        </c:manualLayout>
      </c:layout>
      <c:overlay val="0"/>
    </c:title>
    <c:autoTitleDeleted val="0"/>
    <c:plotArea>
      <c:layout/>
      <c:pieChart>
        <c:varyColors val="1"/>
        <c:ser>
          <c:idx val="0"/>
          <c:order val="0"/>
          <c:explosion val="0"/>
          <c:dPt>
            <c:idx val="0"/>
            <c:bubble3D val="0"/>
            <c:explosion val="0"/>
          </c:dPt>
          <c:dPt>
            <c:idx val="1"/>
            <c:bubble3D val="0"/>
            <c:explosion val="0"/>
          </c:dPt>
          <c:dPt>
            <c:idx val="2"/>
            <c:bubble3D val="0"/>
            <c:explosion val="0"/>
          </c:dPt>
          <c:dPt>
            <c:idx val="3"/>
            <c:bubble3D val="0"/>
            <c:explosion val="0"/>
          </c:dPt>
          <c:dPt>
            <c:idx val="4"/>
            <c:bubble3D val="0"/>
            <c:explosion val="0"/>
          </c:dPt>
          <c:dLbls>
            <c:dLbl>
              <c:idx val="0"/>
              <c:delete val="1"/>
            </c:dLbl>
            <c:dLbl>
              <c:idx val="1"/>
              <c:layout>
                <c:manualLayout>
                  <c:x val="-0.133333333333333"/>
                  <c:y val="-0.15625"/>
                </c:manualLayout>
              </c:layout>
              <c:tx>
                <c:rich>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000" b="0" i="0" u="none" strike="noStrike" baseline="0">
                        <a:solidFill>
                          <a:srgbClr val="000000"/>
                        </a:solidFill>
                        <a:latin typeface="Calibri" panose="020F0502020204030204" charset="-122"/>
                        <a:ea typeface="Calibri" panose="020F0502020204030204" charset="-122"/>
                        <a:cs typeface="Calibri" panose="020F0502020204030204" charset="-122"/>
                      </a:rPr>
                      <a:t>教育支出</a:t>
                    </a:r>
                    <a:endParaRPr lang="zh-CN" altLang="en-US" sz="1000" b="0" i="0" u="none" strike="noStrike" baseline="0">
                      <a:solidFill>
                        <a:srgbClr val="000000"/>
                      </a:solidFill>
                      <a:latin typeface="Calibri" panose="020F0502020204030204" charset="-122"/>
                      <a:ea typeface="Calibri" panose="020F0502020204030204" charset="-122"/>
                      <a:cs typeface="Calibri" panose="020F0502020204030204" charset="-122"/>
                    </a:endParaRPr>
                  </a:p>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en-US" altLang="zh-CN" sz="1000" b="0" i="0" u="none" strike="noStrike" baseline="0">
                        <a:solidFill>
                          <a:srgbClr val="000000"/>
                        </a:solidFill>
                        <a:latin typeface="Calibri" panose="020F0502020204030204" charset="-122"/>
                        <a:ea typeface="Calibri" panose="020F0502020204030204" charset="-122"/>
                        <a:cs typeface="Calibri" panose="020F0502020204030204" charset="-122"/>
                      </a:rPr>
                      <a:t>474.09</a:t>
                    </a:r>
                    <a:r>
                      <a:rPr lang="zh-CN" altLang="en-US" sz="1000" b="0" i="0" u="none" strike="noStrike" baseline="0">
                        <a:solidFill>
                          <a:srgbClr val="000000"/>
                        </a:solidFill>
                        <a:latin typeface="Calibri" panose="020F0502020204030204" charset="-122"/>
                        <a:ea typeface="Calibri" panose="020F0502020204030204" charset="-122"/>
                        <a:cs typeface="Calibri" panose="020F0502020204030204" charset="-122"/>
                      </a:rPr>
                      <a:t>万元</a:t>
                    </a:r>
                    <a:r>
                      <a:rPr lang="en-US" altLang="zh-CN" sz="10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87.75%</a:t>
                    </a:r>
                    <a:endParaRPr lang="en-US" altLang="zh-CN"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1"/>
              <c:showSerName val="0"/>
              <c:showPercent val="0"/>
              <c:showBubbleSize val="0"/>
              <c:extLst>
                <c:ext xmlns:c15="http://schemas.microsoft.com/office/drawing/2012/chart" uri="{CE6537A1-D6FC-4f65-9D91-7224C49458BB}">
                  <c15:layout/>
                </c:ext>
              </c:extLst>
            </c:dLbl>
            <c:dLbl>
              <c:idx val="2"/>
              <c:layout>
                <c:manualLayout>
                  <c:x val="-0.0831018518518519"/>
                  <c:y val="-0.011667916155548"/>
                </c:manualLayout>
              </c:layout>
              <c:tx>
                <c:rich>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000" b="0" i="0" u="none" strike="noStrike" baseline="0">
                        <a:solidFill>
                          <a:srgbClr val="000000"/>
                        </a:solidFill>
                        <a:latin typeface="Calibri" panose="020F0502020204030204" charset="-122"/>
                        <a:ea typeface="Calibri" panose="020F0502020204030204" charset="-122"/>
                        <a:cs typeface="Calibri" panose="020F0502020204030204" charset="-122"/>
                      </a:rPr>
                      <a:t>社会保障和就业（类）支出</a:t>
                    </a:r>
                    <a:endParaRPr lang="zh-CN" altLang="en-US" sz="1000" b="0" i="0" u="none" strike="noStrike" baseline="0">
                      <a:solidFill>
                        <a:srgbClr val="000000"/>
                      </a:solidFill>
                      <a:latin typeface="Calibri" panose="020F0502020204030204" charset="-122"/>
                      <a:ea typeface="Calibri" panose="020F0502020204030204" charset="-122"/>
                      <a:cs typeface="Calibri" panose="020F0502020204030204" charset="-122"/>
                    </a:endParaRPr>
                  </a:p>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en-US" altLang="zh-CN" sz="1000" b="0" i="0" u="none" strike="noStrike" baseline="0">
                        <a:solidFill>
                          <a:srgbClr val="000000"/>
                        </a:solidFill>
                        <a:latin typeface="Calibri" panose="020F0502020204030204" charset="-122"/>
                        <a:ea typeface="Calibri" panose="020F0502020204030204" charset="-122"/>
                        <a:cs typeface="Calibri" panose="020F0502020204030204" charset="-122"/>
                      </a:rPr>
                      <a:t>96.12</a:t>
                    </a:r>
                    <a:r>
                      <a:rPr lang="zh-CN" altLang="en-US" sz="1000" b="0" i="0" u="none" strike="noStrike" baseline="0">
                        <a:solidFill>
                          <a:srgbClr val="000000"/>
                        </a:solidFill>
                        <a:latin typeface="Calibri" panose="020F0502020204030204" charset="-122"/>
                        <a:ea typeface="Calibri" panose="020F0502020204030204" charset="-122"/>
                        <a:cs typeface="Calibri" panose="020F0502020204030204" charset="-122"/>
                      </a:rPr>
                      <a:t>万元</a:t>
                    </a:r>
                    <a:r>
                      <a:rPr lang="en-US" altLang="zh-CN" sz="10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 17.79%</a:t>
                    </a:r>
                    <a:endParaRPr lang="en-US" altLang="zh-CN"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1"/>
              <c:showSerName val="0"/>
              <c:showPercent val="0"/>
              <c:showBubbleSize val="0"/>
              <c:extLst>
                <c:ext xmlns:c15="http://schemas.microsoft.com/office/drawing/2012/chart" uri="{CE6537A1-D6FC-4f65-9D91-7224C49458BB}">
                  <c15:layout/>
                </c:ext>
              </c:extLst>
            </c:dLbl>
            <c:dLbl>
              <c:idx val="3"/>
              <c:layout>
                <c:manualLayout>
                  <c:x val="0.0564017206182561"/>
                  <c:y val="-0.0570692145248497"/>
                </c:manualLayout>
              </c:layout>
              <c:tx>
                <c:rich>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000" b="0" i="0" u="none" strike="noStrike" baseline="0">
                        <a:solidFill>
                          <a:srgbClr val="000000"/>
                        </a:solidFill>
                        <a:latin typeface="Calibri" panose="020F0502020204030204" charset="-122"/>
                        <a:ea typeface="Calibri" panose="020F0502020204030204" charset="-122"/>
                        <a:cs typeface="Calibri" panose="020F0502020204030204" charset="-122"/>
                      </a:rPr>
                      <a:t>卫生健康支出</a:t>
                    </a:r>
                    <a:endParaRPr lang="zh-CN" altLang="en-US" sz="1000" b="0" i="0" u="none" strike="noStrike" baseline="0">
                      <a:solidFill>
                        <a:srgbClr val="000000"/>
                      </a:solidFill>
                      <a:latin typeface="Calibri" panose="020F0502020204030204" charset="-122"/>
                      <a:ea typeface="Calibri" panose="020F0502020204030204" charset="-122"/>
                      <a:cs typeface="Calibri" panose="020F0502020204030204" charset="-122"/>
                    </a:endParaRPr>
                  </a:p>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en-US" altLang="zh-CN" sz="1000" b="0" i="0" u="none" strike="noStrike" baseline="0">
                        <a:solidFill>
                          <a:srgbClr val="000000"/>
                        </a:solidFill>
                        <a:latin typeface="Calibri" panose="020F0502020204030204" charset="-122"/>
                        <a:ea typeface="Calibri" panose="020F0502020204030204" charset="-122"/>
                        <a:cs typeface="Calibri" panose="020F0502020204030204" charset="-122"/>
                      </a:rPr>
                      <a:t>12.29</a:t>
                    </a:r>
                    <a:r>
                      <a:rPr lang="zh-CN" altLang="en-US" sz="1000" b="0" i="0" u="none" strike="noStrike" baseline="0">
                        <a:solidFill>
                          <a:srgbClr val="000000"/>
                        </a:solidFill>
                        <a:latin typeface="Calibri" panose="020F0502020204030204" charset="-122"/>
                        <a:ea typeface="Calibri" panose="020F0502020204030204" charset="-122"/>
                        <a:cs typeface="Calibri" panose="020F0502020204030204" charset="-122"/>
                      </a:rPr>
                      <a:t>万元</a:t>
                    </a:r>
                    <a:r>
                      <a:rPr lang="en-US" altLang="zh-CN" sz="10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2.27%</a:t>
                    </a:r>
                    <a:endParaRPr lang="en-US" altLang="zh-CN"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1"/>
              <c:showSerName val="0"/>
              <c:showPercent val="0"/>
              <c:showBubbleSize val="0"/>
              <c:extLst>
                <c:ext xmlns:c15="http://schemas.microsoft.com/office/drawing/2012/chart" uri="{CE6537A1-D6FC-4f65-9D91-7224C49458BB}">
                  <c15:layout/>
                </c:ext>
              </c:extLst>
            </c:dLbl>
            <c:dLbl>
              <c:idx val="4"/>
              <c:layout>
                <c:manualLayout>
                  <c:x val="0.319609798775153"/>
                  <c:y val="-0.0121480387868183"/>
                </c:manualLayout>
              </c:layout>
              <c:tx>
                <c:rich>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000" b="0" i="0" u="none" strike="noStrike" baseline="0">
                        <a:solidFill>
                          <a:srgbClr val="000000"/>
                        </a:solidFill>
                        <a:latin typeface="Calibri" panose="020F0502020204030204" charset="-122"/>
                        <a:ea typeface="Calibri" panose="020F0502020204030204" charset="-122"/>
                        <a:cs typeface="Calibri" panose="020F0502020204030204" charset="-122"/>
                      </a:rPr>
                      <a:t>住房保障支出</a:t>
                    </a:r>
                    <a:endParaRPr lang="zh-CN" altLang="en-US" sz="1000" b="0" i="0" u="none" strike="noStrike" baseline="0">
                      <a:solidFill>
                        <a:srgbClr val="000000"/>
                      </a:solidFill>
                      <a:latin typeface="Calibri" panose="020F0502020204030204" charset="-122"/>
                      <a:ea typeface="Calibri" panose="020F0502020204030204" charset="-122"/>
                      <a:cs typeface="Calibri" panose="020F0502020204030204" charset="-122"/>
                    </a:endParaRPr>
                  </a:p>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en-US" altLang="zh-CN" sz="1000" b="0" i="0" u="none" strike="noStrike" baseline="0">
                        <a:solidFill>
                          <a:srgbClr val="000000"/>
                        </a:solidFill>
                        <a:latin typeface="Calibri" panose="020F0502020204030204" charset="-122"/>
                        <a:ea typeface="Calibri" panose="020F0502020204030204" charset="-122"/>
                        <a:cs typeface="Calibri" panose="020F0502020204030204" charset="-122"/>
                      </a:rPr>
                      <a:t>23.21</a:t>
                    </a:r>
                    <a:r>
                      <a:rPr lang="zh-CN" altLang="en-US" sz="1000" b="0" i="0" u="none" strike="noStrike" baseline="0">
                        <a:solidFill>
                          <a:srgbClr val="000000"/>
                        </a:solidFill>
                        <a:latin typeface="Calibri" panose="020F0502020204030204" charset="-122"/>
                        <a:ea typeface="Calibri" panose="020F0502020204030204" charset="-122"/>
                        <a:cs typeface="Calibri" panose="020F0502020204030204" charset="-122"/>
                      </a:rPr>
                      <a:t>万元</a:t>
                    </a:r>
                    <a:r>
                      <a:rPr lang="en-US" altLang="zh-CN" sz="10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 4.3%</a:t>
                    </a:r>
                    <a:endParaRPr lang="en-US" altLang="zh-CN"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0.0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1"/>
              <c:showSerName val="0"/>
              <c:showPercent val="0"/>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[23年一般公共预算财政拨款支出决算结构图6.xls]Sheet1!$A$2:$A$6</c:f>
              <c:strCache>
                <c:ptCount val="5"/>
                <c:pt idx="0">
                  <c:v> </c:v>
                </c:pt>
                <c:pt idx="1">
                  <c:v>教育支出</c:v>
                </c:pt>
                <c:pt idx="2">
                  <c:v>社会保障和就业（类）支出</c:v>
                </c:pt>
                <c:pt idx="3">
                  <c:v>卫生健康支出</c:v>
                </c:pt>
                <c:pt idx="4">
                  <c:v>住房保障支出</c:v>
                </c:pt>
              </c:strCache>
            </c:strRef>
          </c:cat>
          <c:val>
            <c:numRef>
              <c:f>[23年一般公共预算财政拨款支出决算结构图6.xls]Sheet1!$B$2:$B$6</c:f>
              <c:numCache>
                <c:formatCode>General</c:formatCode>
                <c:ptCount val="5"/>
                <c:pt idx="0">
                  <c:v>0</c:v>
                </c:pt>
                <c:pt idx="1">
                  <c:v>474.09</c:v>
                </c:pt>
                <c:pt idx="2">
                  <c:v>96.12</c:v>
                </c:pt>
                <c:pt idx="3">
                  <c:v>12.29</c:v>
                </c:pt>
                <c:pt idx="4">
                  <c:v>23.21</c:v>
                </c:pt>
              </c:numCache>
            </c:numRef>
          </c:val>
        </c:ser>
        <c:ser>
          <c:idx val="1"/>
          <c:order val="1"/>
          <c:explosion val="0"/>
          <c:dPt>
            <c:idx val="0"/>
            <c:bubble3D val="0"/>
            <c:explosion val="0"/>
          </c:dPt>
          <c:dPt>
            <c:idx val="1"/>
            <c:bubble3D val="0"/>
            <c:explosion val="0"/>
          </c:dPt>
          <c:dPt>
            <c:idx val="2"/>
            <c:bubble3D val="0"/>
            <c:explosion val="0"/>
          </c:dPt>
          <c:dPt>
            <c:idx val="3"/>
            <c:bubble3D val="0"/>
            <c:explosion val="0"/>
          </c:dPt>
          <c:dPt>
            <c:idx val="4"/>
            <c:bubble3D val="0"/>
            <c:explosion val="0"/>
          </c:dPt>
          <c:dLbls>
            <c:delete val="1"/>
          </c:dLbls>
          <c:cat>
            <c:strRef>
              <c:f>[23年一般公共预算财政拨款支出决算结构图6.xls]Sheet1!$A$2:$A$6</c:f>
              <c:strCache>
                <c:ptCount val="5"/>
                <c:pt idx="0">
                  <c:v> </c:v>
                </c:pt>
                <c:pt idx="1">
                  <c:v>教育支出</c:v>
                </c:pt>
                <c:pt idx="2">
                  <c:v>社会保障和就业（类）支出</c:v>
                </c:pt>
                <c:pt idx="3">
                  <c:v>卫生健康支出</c:v>
                </c:pt>
                <c:pt idx="4">
                  <c:v>住房保障支出</c:v>
                </c:pt>
              </c:strCache>
            </c:strRef>
          </c:cat>
          <c:val>
            <c:numRef>
              <c:f>[23年一般公共预算财政拨款支出决算结构图6.xls]Sheet1!$C$2:$C$6</c:f>
              <c:numCache>
                <c:formatCode>General</c:formatCode>
                <c:ptCount val="5"/>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egendEntry>
        <c:idx val="0"/>
        <c:delete val="1"/>
      </c:legendEntry>
      <c:layout>
        <c:manualLayout>
          <c:xMode val="edge"/>
          <c:yMode val="edge"/>
          <c:x val="0.648"/>
          <c:y val="0.34525"/>
          <c:w val="0.330555555555556"/>
          <c:h val="0.48611111111111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b5492f98-3d47-4bab-89e1-3dd39cac6d19}"/>
      </c:ext>
    </c:extLst>
  </c:chart>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[2019年决算公开饼状图参考.xlsx]Sheet1!$A$131</c:f>
              <c:strCache>
                <c:ptCount val="1"/>
                <c:pt idx="0">
                  <c:v>三公经费支出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0208441075328235"/>
                  <c:y val="-0.209833145856768"/>
                </c:manualLayout>
              </c:layout>
              <c:dLblPos val="bestFit"/>
              <c:showLegendKey val="0"/>
              <c:showVal val="1"/>
              <c:showCatName val="0"/>
              <c:showSerName val="0"/>
              <c:showPercent val="1"/>
              <c:showBubbleSize val="0"/>
              <c:separator>万元  </c:separator>
              <c:extLst>
                <c:ext xmlns:c15="http://schemas.microsoft.com/office/drawing/2012/chart" uri="{CE6537A1-D6FC-4f65-9D91-7224C49458BB}">
                  <c15:layout/>
                </c:ext>
              </c:extLst>
            </c:dLbl>
            <c:dLbl>
              <c:idx val="2"/>
              <c:layout>
                <c:manualLayout>
                  <c:x val="-0.111111111111111"/>
                  <c:y val="0.0837962962962963"/>
                </c:manualLayout>
              </c:layout>
              <c:dLblPos val="bestFit"/>
              <c:showLegendKey val="0"/>
              <c:showVal val="1"/>
              <c:showCatName val="0"/>
              <c:showSerName val="0"/>
              <c:showPercent val="1"/>
              <c:showBubbleSize val="0"/>
              <c:separator>万元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eparator>万元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[2019年决算公开饼状图参考.xlsx]Sheet1!$B$130:$D$130</c:f>
              <c:strCache>
                <c:ptCount val="3"/>
                <c:pt idx="0">
                  <c:v>公务接待费</c:v>
                </c:pt>
                <c:pt idx="1">
                  <c:v>公务用车购置及运行维护费</c:v>
                </c:pt>
                <c:pt idx="2">
                  <c:v>因公出国（境）费</c:v>
                </c:pt>
              </c:strCache>
            </c:strRef>
          </c:cat>
          <c:val>
            <c:numRef>
              <c:f>[2019年决算公开饼状图参考.xlsx]Sheet1!$B$131:$D$131</c:f>
              <c:numCache>
                <c:formatCode>General</c:formatCode>
                <c:ptCount val="3"/>
                <c:pt idx="0">
                  <c:v>0</c:v>
                </c:pt>
                <c:pt idx="1">
                  <c:v>0</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80555555555556"/>
          <c:y val="0.370252989209682"/>
          <c:w val="0.402777777777778"/>
          <c:h val="0.38541994750656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8ae24bd-79ec-4ea0-86c8-d24bec8fd59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6693</Words>
  <Characters>7575</Characters>
  <Lines>61</Lines>
  <Paragraphs>17</Paragraphs>
  <TotalTime>15</TotalTime>
  <ScaleCrop>false</ScaleCrop>
  <LinksUpToDate>false</LinksUpToDate>
  <CharactersWithSpaces>7645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Nancy</cp:lastModifiedBy>
  <cp:lastPrinted>2023-07-31T02:35:00Z</cp:lastPrinted>
  <dcterms:modified xsi:type="dcterms:W3CDTF">2024-10-29T01:18:26Z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A3B4692B2D034323BA9F5A676B0339D5_13</vt:lpwstr>
  </property>
</Properties>
</file>