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96475"/>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598"/>
      <w:bookmarkStart w:id="8" w:name="_Toc15378442"/>
      <w:bookmarkStart w:id="9" w:name="_Toc15377194"/>
      <w:bookmarkStart w:id="10" w:name="_Toc1539647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宋体" w:eastAsia="方正小标宋简体"/>
          <w:color w:val="000000"/>
          <w:sz w:val="72"/>
          <w:szCs w:val="72"/>
        </w:rPr>
        <w:t>大竹县殡葬改革管理所</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(单位公开范本)</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公开时间：2023年9月6日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2"/>
        <w:adjustRightInd w:val="0"/>
        <w:snapToGrid w:val="0"/>
        <w:spacing w:line="440" w:lineRule="exact"/>
        <w:jc w:val="left"/>
        <w:rPr>
          <w:sz w:val="24"/>
        </w:rPr>
      </w:pPr>
      <w:r>
        <w:rPr>
          <w:rFonts w:hint="eastAsia"/>
          <w:sz w:val="24"/>
        </w:rPr>
        <w:t>一、主要职责</w:t>
      </w:r>
    </w:p>
    <w:p>
      <w:pPr>
        <w:pStyle w:val="12"/>
        <w:adjustRightInd w:val="0"/>
        <w:snapToGrid w:val="0"/>
        <w:spacing w:line="440" w:lineRule="exact"/>
        <w:jc w:val="left"/>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pPr>
        <w:pStyle w:val="2"/>
        <w:adjustRightInd w:val="0"/>
        <w:snapToGrid w:val="0"/>
        <w:spacing w:beforeLines="0" w:line="578" w:lineRule="exact"/>
        <w:ind w:firstLine="672" w:firstLineChars="210"/>
        <w:outlineLvl w:val="2"/>
        <w:rPr>
          <w:rFonts w:ascii="仿宋" w:hAnsi="仿宋" w:eastAsia="仿宋"/>
          <w:bCs/>
          <w:color w:val="FF0000"/>
          <w:sz w:val="32"/>
          <w:szCs w:val="32"/>
        </w:rPr>
      </w:pPr>
      <w:r>
        <w:rPr>
          <w:rFonts w:hint="eastAsia"/>
          <w:sz w:val="32"/>
          <w:szCs w:val="32"/>
          <w:lang w:eastAsia="zh-CN"/>
        </w:rPr>
        <w:t>大竹县殡葬改革管理所主要职责是</w:t>
      </w:r>
      <w:r>
        <w:rPr>
          <w:rFonts w:hint="eastAsia"/>
          <w:sz w:val="32"/>
          <w:szCs w:val="32"/>
        </w:rPr>
        <w:t>贯彻执行国家、省、市、区殡葬管理的政策法规</w:t>
      </w:r>
      <w:r>
        <w:rPr>
          <w:rFonts w:hint="eastAsia"/>
          <w:sz w:val="32"/>
          <w:szCs w:val="32"/>
          <w:lang w:eastAsia="zh-CN"/>
        </w:rPr>
        <w:t>，</w:t>
      </w:r>
      <w:r>
        <w:rPr>
          <w:rFonts w:hint="eastAsia"/>
          <w:sz w:val="32"/>
          <w:szCs w:val="32"/>
        </w:rPr>
        <w:t>掌握全县殡葬改革情况，提出建议，制订规章拟定殡葬改革规划</w:t>
      </w:r>
      <w:r>
        <w:rPr>
          <w:rFonts w:hint="eastAsia"/>
          <w:sz w:val="32"/>
          <w:szCs w:val="32"/>
          <w:lang w:eastAsia="zh-CN"/>
        </w:rPr>
        <w:t>，</w:t>
      </w:r>
      <w:r>
        <w:rPr>
          <w:rFonts w:hint="eastAsia"/>
          <w:sz w:val="32"/>
          <w:szCs w:val="32"/>
        </w:rPr>
        <w:t>监督检查全县殡葬改革和殡葬法规的执行情况，对违反殡葬法规的行为作出行政处罚</w:t>
      </w:r>
      <w:r>
        <w:rPr>
          <w:rFonts w:hint="eastAsia"/>
          <w:sz w:val="32"/>
          <w:szCs w:val="32"/>
          <w:lang w:eastAsia="zh-CN"/>
        </w:rPr>
        <w:t>，</w:t>
      </w:r>
      <w:r>
        <w:rPr>
          <w:rFonts w:hint="eastAsia"/>
          <w:spacing w:val="20"/>
          <w:sz w:val="32"/>
          <w:szCs w:val="32"/>
        </w:rPr>
        <w:t>协助殡葬服务机构搞好殡仪服务，拓展殡仪项目，以适应社会发展的需求</w:t>
      </w:r>
      <w:r>
        <w:rPr>
          <w:rFonts w:hint="eastAsia"/>
          <w:spacing w:val="20"/>
          <w:sz w:val="32"/>
          <w:szCs w:val="32"/>
          <w:lang w:eastAsia="zh-CN"/>
        </w:rPr>
        <w:t>。</w:t>
      </w:r>
    </w:p>
    <w:p>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pPr>
        <w:pStyle w:val="2"/>
        <w:adjustRightInd w:val="0"/>
        <w:snapToGrid w:val="0"/>
        <w:spacing w:beforeLines="0" w:line="578" w:lineRule="exact"/>
        <w:ind w:firstLine="640" w:firstLineChars="200"/>
        <w:rPr>
          <w:rFonts w:ascii="仿宋" w:hAnsi="仿宋" w:eastAsia="仿宋"/>
          <w:color w:val="000000"/>
          <w:sz w:val="32"/>
          <w:szCs w:val="32"/>
        </w:rPr>
      </w:pPr>
      <w:r>
        <w:rPr>
          <w:rFonts w:hint="eastAsia" w:ascii="仿宋" w:hAnsi="仿宋" w:eastAsia="仿宋"/>
          <w:sz w:val="32"/>
          <w:szCs w:val="32"/>
        </w:rPr>
        <w:t>大竹县殡葬改革管理所</w:t>
      </w:r>
      <w:r>
        <w:rPr>
          <w:rFonts w:hint="eastAsia" w:ascii="仿宋" w:hAnsi="仿宋" w:eastAsia="仿宋"/>
          <w:sz w:val="32"/>
          <w:szCs w:val="32"/>
          <w:lang w:eastAsia="zh-CN"/>
        </w:rPr>
        <w:t>系民政局</w:t>
      </w:r>
      <w:r>
        <w:rPr>
          <w:rFonts w:hint="eastAsia" w:ascii="仿宋" w:hAnsi="仿宋" w:eastAsia="仿宋"/>
          <w:sz w:val="32"/>
          <w:szCs w:val="32"/>
        </w:rPr>
        <w:t>下属</w:t>
      </w:r>
      <w:r>
        <w:rPr>
          <w:rFonts w:hint="eastAsia" w:ascii="仿宋" w:hAnsi="仿宋" w:eastAsia="仿宋"/>
          <w:sz w:val="32"/>
          <w:szCs w:val="32"/>
          <w:lang w:eastAsia="zh-CN"/>
        </w:rPr>
        <w:t>单位，为差额拨款一级预算事业单位，无下属二级预算单位。</w:t>
      </w:r>
    </w:p>
    <w:p>
      <w:pPr>
        <w:numPr>
          <w:ilvl w:val="0"/>
          <w:numId w:val="0"/>
        </w:numPr>
        <w:ind w:leftChars="0"/>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502.27</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74.62</w:t>
      </w:r>
      <w:r>
        <w:rPr>
          <w:rFonts w:hint="eastAsia" w:ascii="仿宋" w:hAnsi="仿宋" w:eastAsia="仿宋"/>
          <w:sz w:val="32"/>
          <w:szCs w:val="32"/>
        </w:rPr>
        <w:t>万元，增长</w:t>
      </w:r>
      <w:r>
        <w:rPr>
          <w:rFonts w:hint="eastAsia" w:ascii="仿宋" w:hAnsi="仿宋" w:eastAsia="仿宋"/>
          <w:sz w:val="32"/>
          <w:szCs w:val="32"/>
          <w:lang w:val="en-US" w:eastAsia="zh-CN"/>
        </w:rPr>
        <w:t>17.45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成本增加，财政资金增加，支出加大</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497.56</w:t>
      </w:r>
      <w:r>
        <w:rPr>
          <w:rFonts w:hint="eastAsia" w:ascii="仿宋" w:hAnsi="仿宋" w:eastAsia="仿宋"/>
          <w:sz w:val="32"/>
          <w:szCs w:val="32"/>
        </w:rPr>
        <w:t>万元，其中：一般公共预算财政拨款收入</w:t>
      </w:r>
      <w:r>
        <w:rPr>
          <w:rFonts w:ascii="仿宋" w:hAnsi="仿宋" w:eastAsia="仿宋"/>
          <w:b/>
          <w:sz w:val="32"/>
          <w:szCs w:val="32"/>
        </w:rPr>
        <w:t>482.56</w:t>
      </w:r>
      <w:r>
        <w:rPr>
          <w:rFonts w:hint="eastAsia" w:ascii="仿宋" w:hAnsi="仿宋" w:eastAsia="仿宋"/>
          <w:sz w:val="32"/>
          <w:szCs w:val="32"/>
        </w:rPr>
        <w:t>万元，占</w:t>
      </w:r>
      <w:r>
        <w:rPr>
          <w:rFonts w:ascii="仿宋" w:hAnsi="仿宋" w:eastAsia="仿宋"/>
          <w:b/>
          <w:sz w:val="32"/>
          <w:szCs w:val="32"/>
        </w:rPr>
        <w:t>96.98%</w:t>
      </w:r>
      <w:r>
        <w:rPr>
          <w:rFonts w:hint="eastAsia" w:ascii="仿宋" w:hAnsi="仿宋" w:eastAsia="仿宋"/>
          <w:sz w:val="32"/>
          <w:szCs w:val="32"/>
        </w:rPr>
        <w:t>；政府性基金预算财政拨款收入</w:t>
      </w:r>
      <w:r>
        <w:rPr>
          <w:rFonts w:ascii="仿宋" w:hAnsi="仿宋" w:eastAsia="仿宋"/>
          <w:b/>
          <w:sz w:val="32"/>
          <w:szCs w:val="32"/>
        </w:rPr>
        <w:t>15</w:t>
      </w:r>
      <w:r>
        <w:rPr>
          <w:rFonts w:hint="eastAsia" w:ascii="仿宋" w:hAnsi="仿宋" w:eastAsia="仿宋"/>
          <w:sz w:val="32"/>
          <w:szCs w:val="32"/>
        </w:rPr>
        <w:t>万元，占</w:t>
      </w:r>
      <w:r>
        <w:rPr>
          <w:rFonts w:ascii="仿宋" w:hAnsi="仿宋" w:eastAsia="仿宋"/>
          <w:b/>
          <w:sz w:val="32"/>
          <w:szCs w:val="32"/>
        </w:rPr>
        <w:t>3.01</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502.27</w:t>
      </w:r>
      <w:r>
        <w:rPr>
          <w:rFonts w:hint="eastAsia" w:ascii="仿宋" w:hAnsi="仿宋" w:eastAsia="仿宋"/>
          <w:sz w:val="32"/>
          <w:szCs w:val="32"/>
        </w:rPr>
        <w:t>万元，其中：基本支出</w:t>
      </w:r>
      <w:r>
        <w:rPr>
          <w:rFonts w:ascii="仿宋" w:hAnsi="仿宋" w:eastAsia="仿宋"/>
          <w:b/>
          <w:sz w:val="32"/>
          <w:szCs w:val="32"/>
        </w:rPr>
        <w:t>456.45</w:t>
      </w:r>
      <w:r>
        <w:rPr>
          <w:rFonts w:hint="eastAsia" w:ascii="仿宋" w:hAnsi="仿宋" w:eastAsia="仿宋"/>
          <w:sz w:val="32"/>
          <w:szCs w:val="32"/>
        </w:rPr>
        <w:t>万元，占</w:t>
      </w:r>
      <w:r>
        <w:rPr>
          <w:rFonts w:ascii="仿宋" w:hAnsi="仿宋" w:eastAsia="仿宋"/>
          <w:b/>
          <w:sz w:val="32"/>
          <w:szCs w:val="32"/>
        </w:rPr>
        <w:t>90.87</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45.83</w:t>
      </w:r>
      <w:r>
        <w:rPr>
          <w:rFonts w:hint="eastAsia" w:ascii="仿宋" w:hAnsi="仿宋" w:eastAsia="仿宋"/>
          <w:sz w:val="32"/>
          <w:szCs w:val="32"/>
        </w:rPr>
        <w:t>万元，占</w:t>
      </w:r>
      <w:r>
        <w:rPr>
          <w:rFonts w:ascii="仿宋" w:hAnsi="仿宋" w:eastAsia="仿宋"/>
          <w:b/>
          <w:sz w:val="32"/>
          <w:szCs w:val="32"/>
        </w:rPr>
        <w:t>9.12</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hint="eastAsia" w:ascii="仿宋" w:hAnsi="仿宋" w:eastAsia="仿宋"/>
          <w:sz w:val="32"/>
          <w:szCs w:val="32"/>
        </w:rPr>
        <w:t>2023年度财政拨款收、支总计均为</w:t>
      </w:r>
      <w:r>
        <w:rPr>
          <w:rFonts w:ascii="仿宋" w:hAnsi="仿宋" w:eastAsia="仿宋"/>
          <w:b/>
          <w:sz w:val="32"/>
          <w:szCs w:val="32"/>
        </w:rPr>
        <w:t>502.27</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74.62</w:t>
      </w:r>
      <w:r>
        <w:rPr>
          <w:rFonts w:hint="eastAsia" w:ascii="仿宋" w:hAnsi="仿宋" w:eastAsia="仿宋"/>
          <w:sz w:val="32"/>
          <w:szCs w:val="32"/>
        </w:rPr>
        <w:t>万元，增长</w:t>
      </w:r>
      <w:r>
        <w:rPr>
          <w:rFonts w:hint="eastAsia" w:ascii="仿宋" w:hAnsi="仿宋" w:eastAsia="仿宋"/>
          <w:sz w:val="32"/>
          <w:szCs w:val="32"/>
          <w:lang w:val="en-US" w:eastAsia="zh-CN"/>
        </w:rPr>
        <w:t>17.45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成本增加，财政资金增加，支出加大</w:t>
      </w:r>
      <w:r>
        <w:rPr>
          <w:rFonts w:hint="eastAsia" w:ascii="仿宋" w:hAnsi="仿宋" w:eastAsia="仿宋"/>
          <w:sz w:val="32"/>
          <w:szCs w:val="32"/>
        </w:rPr>
        <w:t>。</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487.27</w:t>
      </w:r>
      <w:r>
        <w:rPr>
          <w:rFonts w:hint="eastAsia" w:ascii="仿宋" w:hAnsi="仿宋" w:eastAsia="仿宋"/>
          <w:sz w:val="32"/>
          <w:szCs w:val="32"/>
        </w:rPr>
        <w:t>万元，占本年支出合计的</w:t>
      </w:r>
      <w:r>
        <w:rPr>
          <w:rFonts w:ascii="仿宋" w:hAnsi="仿宋" w:eastAsia="仿宋"/>
          <w:b/>
          <w:sz w:val="32"/>
          <w:szCs w:val="32"/>
        </w:rPr>
        <w:t>97.01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59.62</w:t>
      </w:r>
      <w:r>
        <w:rPr>
          <w:rFonts w:hint="eastAsia" w:ascii="仿宋" w:hAnsi="仿宋" w:eastAsia="仿宋"/>
          <w:sz w:val="32"/>
          <w:szCs w:val="32"/>
        </w:rPr>
        <w:t>万元，增长</w:t>
      </w:r>
      <w:r>
        <w:rPr>
          <w:rFonts w:hint="eastAsia" w:ascii="仿宋" w:hAnsi="仿宋" w:eastAsia="仿宋"/>
          <w:sz w:val="32"/>
          <w:szCs w:val="32"/>
          <w:lang w:val="en-US" w:eastAsia="zh-CN"/>
        </w:rPr>
        <w:t>13.94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成本增加，财政资金增加，支出加大</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487.27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443.22</w:t>
      </w:r>
      <w:r>
        <w:rPr>
          <w:rFonts w:hint="eastAsia" w:ascii="仿宋" w:hAnsi="仿宋" w:eastAsia="仿宋"/>
          <w:sz w:val="32"/>
          <w:szCs w:val="32"/>
        </w:rPr>
        <w:t>万元，占</w:t>
      </w:r>
      <w:r>
        <w:rPr>
          <w:rFonts w:hint="eastAsia" w:ascii="仿宋" w:hAnsi="仿宋" w:eastAsia="仿宋"/>
          <w:sz w:val="32"/>
          <w:szCs w:val="32"/>
          <w:lang w:val="en-US" w:eastAsia="zh-CN"/>
        </w:rPr>
        <w:t>90.96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13.11</w:t>
      </w:r>
      <w:r>
        <w:rPr>
          <w:rFonts w:hint="eastAsia" w:ascii="仿宋" w:hAnsi="仿宋" w:eastAsia="仿宋"/>
          <w:sz w:val="32"/>
          <w:szCs w:val="32"/>
        </w:rPr>
        <w:t>万元，占</w:t>
      </w:r>
      <w:r>
        <w:rPr>
          <w:rFonts w:hint="eastAsia" w:ascii="仿宋" w:hAnsi="仿宋" w:eastAsia="仿宋"/>
          <w:sz w:val="32"/>
          <w:szCs w:val="32"/>
          <w:lang w:val="en-US" w:eastAsia="zh-CN"/>
        </w:rPr>
        <w:t>2.69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30.94</w:t>
      </w:r>
      <w:r>
        <w:rPr>
          <w:rFonts w:hint="eastAsia" w:ascii="仿宋" w:hAnsi="仿宋" w:eastAsia="仿宋"/>
          <w:sz w:val="32"/>
          <w:szCs w:val="32"/>
        </w:rPr>
        <w:t>万元，占</w:t>
      </w:r>
      <w:r>
        <w:rPr>
          <w:rFonts w:hint="eastAsia" w:ascii="仿宋" w:hAnsi="仿宋" w:eastAsia="仿宋"/>
          <w:sz w:val="32"/>
          <w:szCs w:val="32"/>
          <w:lang w:val="en-US" w:eastAsia="zh-CN"/>
        </w:rPr>
        <w:t>6.35</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487.27</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教育（类）</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科学技术（类）</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文化旅游体育与传媒（类）</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numPr>
          <w:ilvl w:val="0"/>
          <w:numId w:val="3"/>
        </w:numPr>
        <w:spacing w:line="578" w:lineRule="exact"/>
        <w:ind w:firstLine="643"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社会保障和就业（类）</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443.22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hAnsi="仿宋_GB2312" w:eastAsia="仿宋_GB2312" w:cs="仿宋_GB2312"/>
          <w:sz w:val="32"/>
          <w:szCs w:val="32"/>
        </w:rPr>
        <w:t>决算数等于预算数。</w:t>
      </w:r>
    </w:p>
    <w:p>
      <w:pPr>
        <w:numPr>
          <w:ilvl w:val="0"/>
          <w:numId w:val="3"/>
        </w:numPr>
        <w:spacing w:line="578" w:lineRule="exact"/>
        <w:ind w:firstLine="643" w:firstLineChars="200"/>
        <w:rPr>
          <w:rFonts w:hint="eastAsia" w:ascii="仿宋_GB2312" w:hAnsi="仿宋_GB2312" w:eastAsia="仿宋_GB2312" w:cs="仿宋_GB2312"/>
          <w:sz w:val="32"/>
          <w:szCs w:val="32"/>
        </w:rPr>
      </w:pPr>
      <w:r>
        <w:rPr>
          <w:rStyle w:val="16"/>
          <w:rFonts w:ascii="仿宋" w:hAnsi="仿宋" w:eastAsia="仿宋"/>
          <w:bCs/>
          <w:sz w:val="32"/>
          <w:szCs w:val="32"/>
        </w:rPr>
        <w:t>6.</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13.11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hAnsi="仿宋_GB2312" w:eastAsia="仿宋_GB2312" w:cs="仿宋_GB2312"/>
          <w:sz w:val="32"/>
          <w:szCs w:val="32"/>
        </w:rPr>
        <w:t>决算数等于预算数。</w:t>
      </w:r>
    </w:p>
    <w:p>
      <w:pPr>
        <w:numPr>
          <w:ilvl w:val="0"/>
          <w:numId w:val="3"/>
        </w:numPr>
        <w:spacing w:line="578" w:lineRule="exact"/>
        <w:ind w:firstLine="640" w:firstLineChars="200"/>
        <w:rPr>
          <w:rFonts w:ascii="仿宋" w:hAnsi="仿宋" w:eastAsia="仿宋"/>
          <w:b/>
          <w:sz w:val="32"/>
          <w:szCs w:val="32"/>
        </w:rPr>
      </w:pPr>
      <w:r>
        <w:rPr>
          <w:rFonts w:hint="eastAsia" w:ascii="仿宋" w:hAnsi="仿宋" w:eastAsia="仿宋"/>
          <w:sz w:val="32"/>
          <w:szCs w:val="32"/>
          <w:lang w:val="en-US" w:eastAsia="zh-CN"/>
        </w:rPr>
        <w:t>7</w:t>
      </w:r>
      <w:r>
        <w:rPr>
          <w:rStyle w:val="16"/>
          <w:rFonts w:ascii="仿宋" w:hAnsi="仿宋" w:eastAsia="仿宋"/>
          <w:bCs/>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30.94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lang w:eastAsia="zh-CN"/>
        </w:rPr>
        <w:t>，</w:t>
      </w:r>
      <w:r>
        <w:rPr>
          <w:rFonts w:hint="eastAsia" w:ascii="仿宋_GB2312" w:hAnsi="仿宋_GB2312" w:eastAsia="仿宋_GB2312" w:cs="仿宋_GB2312"/>
          <w:sz w:val="32"/>
          <w:szCs w:val="32"/>
        </w:rPr>
        <w:t>决算数等于预算数。</w:t>
      </w: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pStyle w:val="2"/>
      </w:pP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456.45</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296.9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159.55</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6.14</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4.56</w:t>
      </w:r>
      <w:r>
        <w:rPr>
          <w:rFonts w:hint="eastAsia" w:ascii="仿宋" w:hAnsi="仿宋" w:eastAsia="仿宋"/>
          <w:sz w:val="32"/>
          <w:szCs w:val="32"/>
        </w:rPr>
        <w:t>万元，下降</w:t>
      </w:r>
      <w:r>
        <w:rPr>
          <w:rFonts w:hint="eastAsia" w:ascii="仿宋" w:hAnsi="仿宋" w:eastAsia="仿宋"/>
          <w:sz w:val="32"/>
          <w:szCs w:val="32"/>
          <w:lang w:val="en-US" w:eastAsia="zh-CN"/>
        </w:rPr>
        <w:t>42.62</w:t>
      </w:r>
      <w:r>
        <w:rPr>
          <w:rFonts w:hint="eastAsia" w:ascii="仿宋" w:hAnsi="仿宋" w:eastAsia="仿宋"/>
          <w:sz w:val="32"/>
          <w:szCs w:val="32"/>
        </w:rPr>
        <w:t>%。决算数与预算数持平。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6.14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6.14</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 w:hAnsi="仿宋" w:eastAsia="仿宋"/>
          <w:sz w:val="32"/>
          <w:szCs w:val="32"/>
        </w:rPr>
        <w:t>减少</w:t>
      </w:r>
      <w:r>
        <w:rPr>
          <w:rFonts w:hint="eastAsia" w:ascii="仿宋_GB2312" w:eastAsia="仿宋_GB2312"/>
          <w:sz w:val="32"/>
          <w:szCs w:val="32"/>
          <w:lang w:val="en-US" w:eastAsia="zh-CN"/>
        </w:rPr>
        <w:t>2.86</w:t>
      </w:r>
      <w:r>
        <w:rPr>
          <w:rFonts w:hint="eastAsia" w:ascii="仿宋_GB2312" w:eastAsia="仿宋_GB2312"/>
          <w:sz w:val="32"/>
          <w:szCs w:val="32"/>
        </w:rPr>
        <w:t>万元，下降</w:t>
      </w:r>
      <w:r>
        <w:rPr>
          <w:rFonts w:hint="eastAsia" w:ascii="仿宋_GB2312" w:eastAsia="仿宋_GB2312"/>
          <w:sz w:val="32"/>
          <w:szCs w:val="32"/>
          <w:lang w:val="en-US" w:eastAsia="zh-CN"/>
        </w:rPr>
        <w:t>31.77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接运遗体数量减少</w:t>
      </w:r>
      <w:bookmarkStart w:id="67" w:name="_GoBack"/>
      <w:bookmarkEnd w:id="67"/>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6.14</w:t>
      </w:r>
      <w:r>
        <w:rPr>
          <w:rFonts w:hint="eastAsia" w:ascii="仿宋_GB2312" w:eastAsia="仿宋_GB2312"/>
          <w:sz w:val="32"/>
          <w:szCs w:val="32"/>
        </w:rPr>
        <w:t>万元。主要用于</w:t>
      </w:r>
      <w:r>
        <w:rPr>
          <w:rFonts w:hint="eastAsia" w:ascii="仿宋_GB2312" w:eastAsia="仿宋_GB2312"/>
          <w:sz w:val="32"/>
          <w:szCs w:val="32"/>
          <w:lang w:val="en-US" w:eastAsia="zh-CN"/>
        </w:rPr>
        <w:t>接运遗体</w:t>
      </w:r>
      <w:r>
        <w:rPr>
          <w:rFonts w:hint="eastAsia" w:ascii="仿宋_GB2312" w:eastAsia="仿宋_GB2312"/>
          <w:sz w:val="32"/>
          <w:szCs w:val="32"/>
        </w:rPr>
        <w:t>等所需的公务用车燃料费、维修费、过路过桥费、保险费等支出。</w:t>
      </w:r>
    </w:p>
    <w:p>
      <w:pPr>
        <w:spacing w:line="600" w:lineRule="exact"/>
        <w:ind w:firstLine="640"/>
        <w:rPr>
          <w:rFonts w:hint="eastAsia" w:ascii="仿宋_GB2312" w:eastAsia="仿宋_GB2312"/>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1.7</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15</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578" w:lineRule="exact"/>
        <w:ind w:firstLine="640"/>
        <w:rPr>
          <w:rFonts w:ascii="仿宋_GB2312" w:eastAsia="仿宋_GB2312"/>
          <w:sz w:val="32"/>
          <w:szCs w:val="32"/>
        </w:rPr>
      </w:pPr>
      <w:r>
        <w:rPr>
          <w:rFonts w:hint="eastAsia" w:ascii="仿宋_GB2312" w:eastAsia="仿宋_GB2312"/>
          <w:sz w:val="32"/>
          <w:szCs w:val="32"/>
        </w:rPr>
        <w:t>2023年度，</w:t>
      </w:r>
      <w:r>
        <w:rPr>
          <w:rFonts w:hint="eastAsia" w:ascii="仿宋_GB2312" w:hAnsi="仿宋_GB2312" w:eastAsia="仿宋_GB2312" w:cs="仿宋_GB2312"/>
          <w:sz w:val="32"/>
          <w:szCs w:val="32"/>
        </w:rPr>
        <w:t>大竹县殡葬改革管理所执行事业单位会计制度，无机关运行经费。</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大竹县殡葬改革管理所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大竹县殡葬改革管理所</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辆，主要用于</w:t>
      </w:r>
      <w:r>
        <w:rPr>
          <w:rFonts w:hint="eastAsia" w:ascii="仿宋_GB2312" w:eastAsia="仿宋_GB2312"/>
          <w:sz w:val="32"/>
          <w:szCs w:val="32"/>
          <w:lang w:eastAsia="zh-CN"/>
        </w:rPr>
        <w:t>遗体接运等</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项目（项目名称）等</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0</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0</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0</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5"/>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3"/>
        <w:spacing w:line="560" w:lineRule="exact"/>
        <w:ind w:left="0" w:leftChars="0" w:firstLine="640"/>
        <w:rPr>
          <w:sz w:val="32"/>
        </w:rPr>
      </w:pPr>
    </w:p>
    <w:p>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5FA36C6C"/>
    <w:multiLevelType w:val="singleLevel"/>
    <w:tmpl w:val="5FA36C6C"/>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84945E6"/>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D714D9E"/>
    <w:rsid w:val="2EFA178C"/>
    <w:rsid w:val="2EFDF86C"/>
    <w:rsid w:val="2F9D17E1"/>
    <w:rsid w:val="30B46D73"/>
    <w:rsid w:val="319F7F4E"/>
    <w:rsid w:val="330B0924"/>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774306"/>
    <w:rsid w:val="4ECE2238"/>
    <w:rsid w:val="51DB4B86"/>
    <w:rsid w:val="51F64DB0"/>
    <w:rsid w:val="520A3AE0"/>
    <w:rsid w:val="55333C3E"/>
    <w:rsid w:val="57F2228D"/>
    <w:rsid w:val="5F67802D"/>
    <w:rsid w:val="5F7DC4F2"/>
    <w:rsid w:val="5FB36814"/>
    <w:rsid w:val="5FBB8E56"/>
    <w:rsid w:val="5FFB5535"/>
    <w:rsid w:val="64445D90"/>
    <w:rsid w:val="64CA39A1"/>
    <w:rsid w:val="68F11A09"/>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2</TotalTime>
  <ScaleCrop>false</ScaleCrop>
  <LinksUpToDate>false</LinksUpToDate>
  <CharactersWithSpaces>7641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cp:lastModifiedBy>
  <cp:lastPrinted>2023-08-03T02:35:00Z</cp:lastPrinted>
  <dcterms:modified xsi:type="dcterms:W3CDTF">2024-10-24T02:14:57Z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