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6538F">
      <w:pPr>
        <w:spacing w:line="600" w:lineRule="exact"/>
        <w:jc w:val="left"/>
        <w:outlineLvl w:val="9"/>
        <w:rPr>
          <w:rFonts w:ascii="方正小标宋简体" w:hAnsi="宋体" w:eastAsia="方正小标宋简体"/>
          <w:szCs w:val="21"/>
        </w:rPr>
      </w:pPr>
      <w:bookmarkStart w:id="0" w:name="_Toc15306267"/>
    </w:p>
    <w:p w14:paraId="2BBF7A24">
      <w:pPr>
        <w:pStyle w:val="2"/>
        <w:spacing w:before="93"/>
      </w:pPr>
    </w:p>
    <w:p w14:paraId="5A6EC28A">
      <w:pPr>
        <w:spacing w:line="600" w:lineRule="exact"/>
        <w:jc w:val="center"/>
        <w:outlineLvl w:val="9"/>
        <w:rPr>
          <w:rFonts w:ascii="方正小标宋简体" w:hAnsi="宋体" w:eastAsia="方正小标宋简体"/>
          <w:sz w:val="72"/>
          <w:szCs w:val="72"/>
        </w:rPr>
      </w:pPr>
    </w:p>
    <w:p w14:paraId="071838AB">
      <w:pPr>
        <w:spacing w:line="600" w:lineRule="exact"/>
        <w:jc w:val="center"/>
        <w:outlineLvl w:val="9"/>
        <w:rPr>
          <w:rFonts w:ascii="方正小标宋简体" w:hAnsi="宋体" w:eastAsia="方正小标宋简体"/>
          <w:sz w:val="72"/>
          <w:szCs w:val="72"/>
        </w:rPr>
      </w:pPr>
    </w:p>
    <w:p w14:paraId="04E6B86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78441"/>
      <w:bookmarkStart w:id="4" w:name="_Toc15396475"/>
      <w:bookmarkStart w:id="5" w:name="_Toc15377193"/>
      <w:bookmarkStart w:id="6" w:name="_Toc908"/>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3F454AAB">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22937"/>
      <w:bookmarkStart w:id="8" w:name="_Toc15377426"/>
      <w:bookmarkStart w:id="9" w:name="_Toc15396598"/>
      <w:bookmarkStart w:id="10" w:name="_Toc15377194"/>
      <w:bookmarkStart w:id="11" w:name="_Toc15396476"/>
      <w:bookmarkStart w:id="12" w:name="_Toc15378442"/>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val="en-US" w:eastAsia="zh-CN"/>
        </w:rPr>
        <w:t>大竹县高明中学</w:t>
      </w:r>
      <w:bookmarkEnd w:id="7"/>
    </w:p>
    <w:p w14:paraId="6AA04EC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3138"/>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p>
    <w:p w14:paraId="4AD88CA3">
      <w:pPr>
        <w:widowControl/>
        <w:jc w:val="center"/>
        <w:rPr>
          <w:rFonts w:hint="eastAsia" w:ascii="黑体" w:hAnsi="黑体" w:eastAsia="黑体"/>
          <w:sz w:val="48"/>
          <w:szCs w:val="48"/>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14:paraId="2942A546">
      <w:pPr>
        <w:widowControl/>
        <w:jc w:val="center"/>
        <w:rPr>
          <w:rFonts w:hint="eastAsia" w:ascii="宋体" w:hAnsi="宋体" w:eastAsia="宋体" w:cs="宋体"/>
          <w:b w:val="0"/>
          <w:bCs w:val="0"/>
          <w:sz w:val="48"/>
          <w:szCs w:val="48"/>
        </w:rPr>
      </w:pPr>
      <w:r>
        <w:rPr>
          <w:rFonts w:hint="eastAsia" w:ascii="宋体" w:hAnsi="宋体" w:eastAsia="宋体" w:cs="宋体"/>
          <w:b w:val="0"/>
          <w:bCs w:val="0"/>
          <w:sz w:val="48"/>
          <w:szCs w:val="48"/>
        </w:rPr>
        <w:t>目录</w:t>
      </w:r>
    </w:p>
    <w:p w14:paraId="666F1ADA">
      <w:pPr>
        <w:widowControl/>
        <w:jc w:val="center"/>
        <w:rPr>
          <w:rFonts w:hint="eastAsia" w:ascii="宋体" w:hAnsi="宋体" w:eastAsia="宋体" w:cs="宋体"/>
          <w:b w:val="0"/>
          <w:bCs w:val="0"/>
          <w:sz w:val="28"/>
          <w:szCs w:val="28"/>
        </w:rPr>
      </w:pPr>
    </w:p>
    <w:p w14:paraId="176E1561">
      <w:pPr>
        <w:pStyle w:val="11"/>
        <w:rPr>
          <w:rFonts w:hint="eastAsia" w:ascii="宋体" w:hAnsi="宋体" w:eastAsia="宋体" w:cs="宋体"/>
          <w:b w:val="0"/>
          <w:bCs w:val="0"/>
        </w:rPr>
      </w:pPr>
      <w:r>
        <w:rPr>
          <w:rFonts w:hint="eastAsia" w:ascii="宋体" w:hAnsi="宋体" w:eastAsia="宋体" w:cs="宋体"/>
          <w:b w:val="0"/>
          <w:bCs w:val="0"/>
        </w:rPr>
        <w:t>公开时间：202</w:t>
      </w:r>
      <w:r>
        <w:rPr>
          <w:rFonts w:hint="eastAsia" w:ascii="宋体" w:hAnsi="宋体" w:eastAsia="宋体" w:cs="宋体"/>
          <w:b w:val="0"/>
          <w:bCs w:val="0"/>
          <w:lang w:val="en-US" w:eastAsia="zh-CN"/>
        </w:rPr>
        <w:t>4</w:t>
      </w:r>
      <w:r>
        <w:rPr>
          <w:rFonts w:hint="eastAsia" w:ascii="宋体" w:hAnsi="宋体" w:eastAsia="宋体" w:cs="宋体"/>
          <w:b w:val="0"/>
          <w:bCs w:val="0"/>
        </w:rPr>
        <w:t>年</w:t>
      </w:r>
      <w:r>
        <w:rPr>
          <w:rFonts w:hint="eastAsia" w:ascii="宋体" w:hAnsi="宋体" w:eastAsia="宋体" w:cs="宋体"/>
          <w:b w:val="0"/>
          <w:bCs w:val="0"/>
          <w:lang w:val="en-US" w:eastAsia="zh-CN"/>
        </w:rPr>
        <w:t>10</w:t>
      </w:r>
      <w:r>
        <w:rPr>
          <w:rFonts w:hint="eastAsia" w:ascii="宋体" w:hAnsi="宋体" w:eastAsia="宋体" w:cs="宋体"/>
          <w:b w:val="0"/>
          <w:bCs w:val="0"/>
        </w:rPr>
        <w:t>月</w:t>
      </w:r>
      <w:r>
        <w:rPr>
          <w:rFonts w:hint="eastAsia" w:ascii="宋体" w:hAnsi="宋体" w:eastAsia="宋体" w:cs="宋体"/>
          <w:b w:val="0"/>
          <w:bCs w:val="0"/>
          <w:lang w:val="en-US" w:eastAsia="zh-CN"/>
        </w:rPr>
        <w:t>18</w:t>
      </w:r>
      <w:r>
        <w:rPr>
          <w:rFonts w:hint="eastAsia" w:ascii="宋体" w:hAnsi="宋体" w:eastAsia="宋体" w:cs="宋体"/>
          <w:b w:val="0"/>
          <w:bCs w:val="0"/>
        </w:rPr>
        <w:t>日</w:t>
      </w:r>
    </w:p>
    <w:sdt>
      <w:sdtPr>
        <w:rPr>
          <w:rFonts w:ascii="宋体" w:hAnsi="宋体" w:eastAsia="宋体" w:cs="Times New Roman"/>
          <w:kern w:val="2"/>
          <w:sz w:val="21"/>
          <w:szCs w:val="24"/>
          <w:lang w:val="en-US" w:eastAsia="zh-CN" w:bidi="ar-SA"/>
        </w:rPr>
        <w:id w:val="147453633"/>
        <w15:color w:val="DBDBDB"/>
        <w:docPartObj>
          <w:docPartGallery w:val="Table of Contents"/>
          <w:docPartUnique/>
        </w:docPartObj>
      </w:sdtPr>
      <w:sdtEndPr>
        <w:rPr>
          <w:rFonts w:hint="eastAsia" w:ascii="Times New Roman" w:hAnsi="Times New Roman" w:eastAsia="宋体" w:cs="Times New Roman"/>
          <w:kern w:val="2"/>
          <w:sz w:val="30"/>
          <w:szCs w:val="30"/>
          <w:lang w:val="en-US" w:eastAsia="zh-CN" w:bidi="ar-SA"/>
        </w:rPr>
      </w:sdtEndPr>
      <w:sdtContent>
        <w:p w14:paraId="22865DB8">
          <w:pPr>
            <w:spacing w:before="0" w:beforeLines="0" w:after="0" w:afterLines="0" w:line="240" w:lineRule="auto"/>
            <w:ind w:left="0" w:leftChars="0" w:right="0" w:rightChars="0" w:firstLine="0" w:firstLineChars="0"/>
            <w:jc w:val="center"/>
            <w:rPr>
              <w:sz w:val="30"/>
              <w:szCs w:val="30"/>
            </w:rPr>
          </w:pPr>
          <w:r>
            <w:rPr>
              <w:rFonts w:hint="eastAsia"/>
              <w:sz w:val="30"/>
              <w:szCs w:val="30"/>
            </w:rPr>
            <w:fldChar w:fldCharType="begin"/>
          </w:r>
          <w:r>
            <w:rPr>
              <w:rFonts w:hint="eastAsia"/>
              <w:sz w:val="30"/>
              <w:szCs w:val="30"/>
            </w:rPr>
            <w:instrText xml:space="preserve">TOC \o "1-3" \h \u </w:instrText>
          </w:r>
          <w:r>
            <w:rPr>
              <w:rFonts w:hint="eastAsia"/>
              <w:sz w:val="30"/>
              <w:szCs w:val="30"/>
            </w:rPr>
            <w:fldChar w:fldCharType="separate"/>
          </w:r>
        </w:p>
        <w:p w14:paraId="72EB0C64">
          <w:pPr>
            <w:pStyle w:val="11"/>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_Toc1400 </w:instrText>
          </w:r>
          <w:r>
            <w:rPr>
              <w:rFonts w:hint="eastAsia"/>
              <w:sz w:val="30"/>
              <w:szCs w:val="30"/>
            </w:rPr>
            <w:fldChar w:fldCharType="separate"/>
          </w:r>
          <w:r>
            <w:rPr>
              <w:rFonts w:hint="eastAsia" w:ascii="宋体" w:hAnsi="宋体" w:eastAsia="宋体" w:cs="宋体"/>
              <w:bCs/>
              <w:sz w:val="18"/>
              <w:szCs w:val="18"/>
            </w:rPr>
            <w:t>第</w:t>
          </w:r>
          <w:r>
            <w:rPr>
              <w:rFonts w:hint="eastAsia"/>
              <w:bCs/>
              <w:sz w:val="30"/>
              <w:szCs w:val="30"/>
            </w:rPr>
            <w:t>一部分 单位概况</w:t>
          </w:r>
          <w:r>
            <w:rPr>
              <w:sz w:val="30"/>
              <w:szCs w:val="30"/>
            </w:rPr>
            <w:tab/>
          </w:r>
          <w:r>
            <w:rPr>
              <w:sz w:val="30"/>
              <w:szCs w:val="30"/>
            </w:rPr>
            <w:fldChar w:fldCharType="begin"/>
          </w:r>
          <w:r>
            <w:rPr>
              <w:sz w:val="30"/>
              <w:szCs w:val="30"/>
            </w:rPr>
            <w:instrText xml:space="preserve"> PAGEREF _Toc1400 \h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14:paraId="43DEB334">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_Toc22597 </w:instrText>
          </w:r>
          <w:r>
            <w:rPr>
              <w:rFonts w:hint="eastAsia"/>
              <w:sz w:val="30"/>
              <w:szCs w:val="30"/>
            </w:rPr>
            <w:fldChar w:fldCharType="separate"/>
          </w:r>
          <w:r>
            <w:rPr>
              <w:rFonts w:hint="eastAsia"/>
              <w:sz w:val="30"/>
              <w:szCs w:val="30"/>
              <w:lang w:eastAsia="zh-CN"/>
            </w:rPr>
            <w:t>一、</w:t>
          </w:r>
          <w:r>
            <w:rPr>
              <w:rFonts w:hint="eastAsia"/>
              <w:sz w:val="30"/>
              <w:szCs w:val="30"/>
            </w:rPr>
            <w:t>主要职责</w:t>
          </w:r>
          <w:r>
            <w:rPr>
              <w:sz w:val="30"/>
              <w:szCs w:val="30"/>
            </w:rPr>
            <w:tab/>
          </w:r>
          <w:r>
            <w:rPr>
              <w:sz w:val="30"/>
              <w:szCs w:val="30"/>
            </w:rPr>
            <w:fldChar w:fldCharType="begin"/>
          </w:r>
          <w:r>
            <w:rPr>
              <w:sz w:val="30"/>
              <w:szCs w:val="30"/>
            </w:rPr>
            <w:instrText xml:space="preserve"> PAGEREF _Toc22597 \h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14:paraId="2F84081C">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_Toc83 </w:instrText>
          </w:r>
          <w:r>
            <w:rPr>
              <w:rFonts w:hint="eastAsia"/>
              <w:sz w:val="30"/>
              <w:szCs w:val="30"/>
            </w:rPr>
            <w:fldChar w:fldCharType="separate"/>
          </w:r>
          <w:r>
            <w:rPr>
              <w:rFonts w:hint="eastAsia"/>
              <w:sz w:val="30"/>
              <w:szCs w:val="30"/>
              <w:lang w:eastAsia="zh-CN"/>
            </w:rPr>
            <w:t>二、</w:t>
          </w:r>
          <w:r>
            <w:rPr>
              <w:rFonts w:hint="eastAsia"/>
              <w:sz w:val="30"/>
              <w:szCs w:val="30"/>
            </w:rPr>
            <w:t>机构设置</w:t>
          </w:r>
          <w:r>
            <w:rPr>
              <w:sz w:val="30"/>
              <w:szCs w:val="30"/>
            </w:rPr>
            <w:tab/>
          </w:r>
          <w:r>
            <w:rPr>
              <w:sz w:val="30"/>
              <w:szCs w:val="30"/>
            </w:rPr>
            <w:fldChar w:fldCharType="begin"/>
          </w:r>
          <w:r>
            <w:rPr>
              <w:sz w:val="30"/>
              <w:szCs w:val="30"/>
            </w:rPr>
            <w:instrText xml:space="preserve"> PAGEREF _Toc83 \h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14:paraId="4B30AB37">
          <w:pPr>
            <w:pStyle w:val="11"/>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_Toc19225 </w:instrText>
          </w:r>
          <w:r>
            <w:rPr>
              <w:rFonts w:hint="eastAsia"/>
              <w:sz w:val="30"/>
              <w:szCs w:val="30"/>
            </w:rPr>
            <w:fldChar w:fldCharType="separate"/>
          </w:r>
          <w:r>
            <w:rPr>
              <w:rFonts w:hint="eastAsia"/>
              <w:sz w:val="30"/>
              <w:szCs w:val="30"/>
            </w:rPr>
            <w:t>第二部分 2023年度单位决算情况说明</w:t>
          </w:r>
          <w:r>
            <w:rPr>
              <w:sz w:val="30"/>
              <w:szCs w:val="30"/>
            </w:rPr>
            <w:tab/>
          </w:r>
          <w:r>
            <w:rPr>
              <w:sz w:val="30"/>
              <w:szCs w:val="30"/>
            </w:rPr>
            <w:fldChar w:fldCharType="begin"/>
          </w:r>
          <w:r>
            <w:rPr>
              <w:sz w:val="30"/>
              <w:szCs w:val="30"/>
            </w:rPr>
            <w:instrText xml:space="preserve"> PAGEREF _Toc19225 \h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14:paraId="0A4B07D5">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_Toc12474 </w:instrText>
          </w:r>
          <w:r>
            <w:rPr>
              <w:rFonts w:hint="eastAsia"/>
              <w:sz w:val="30"/>
              <w:szCs w:val="30"/>
            </w:rPr>
            <w:fldChar w:fldCharType="separate"/>
          </w:r>
          <w:r>
            <w:rPr>
              <w:rFonts w:hint="eastAsia"/>
              <w:sz w:val="30"/>
              <w:szCs w:val="30"/>
              <w:lang w:eastAsia="zh-CN"/>
            </w:rPr>
            <w:t>一、</w:t>
          </w:r>
          <w:r>
            <w:rPr>
              <w:rFonts w:hint="eastAsia"/>
              <w:sz w:val="30"/>
              <w:szCs w:val="30"/>
            </w:rPr>
            <w:t>收入支出决算总体情况说明</w:t>
          </w:r>
          <w:r>
            <w:rPr>
              <w:sz w:val="30"/>
              <w:szCs w:val="30"/>
            </w:rPr>
            <w:tab/>
          </w:r>
          <w:r>
            <w:rPr>
              <w:sz w:val="30"/>
              <w:szCs w:val="30"/>
            </w:rPr>
            <w:fldChar w:fldCharType="begin"/>
          </w:r>
          <w:r>
            <w:rPr>
              <w:sz w:val="30"/>
              <w:szCs w:val="30"/>
            </w:rPr>
            <w:instrText xml:space="preserve"> PAGEREF _Toc12474 \h </w:instrText>
          </w:r>
          <w:r>
            <w:rPr>
              <w:sz w:val="30"/>
              <w:szCs w:val="30"/>
            </w:rPr>
            <w:fldChar w:fldCharType="separate"/>
          </w:r>
          <w:r>
            <w:rPr>
              <w:sz w:val="30"/>
              <w:szCs w:val="30"/>
            </w:rPr>
            <w:t>3</w:t>
          </w:r>
          <w:r>
            <w:rPr>
              <w:sz w:val="30"/>
              <w:szCs w:val="30"/>
            </w:rPr>
            <w:fldChar w:fldCharType="end"/>
          </w:r>
          <w:r>
            <w:rPr>
              <w:rFonts w:hint="eastAsia"/>
              <w:sz w:val="30"/>
              <w:szCs w:val="30"/>
            </w:rPr>
            <w:fldChar w:fldCharType="end"/>
          </w:r>
        </w:p>
        <w:p w14:paraId="5F307DBD">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_Toc31592 </w:instrText>
          </w:r>
          <w:r>
            <w:rPr>
              <w:rFonts w:hint="eastAsia"/>
              <w:sz w:val="30"/>
              <w:szCs w:val="30"/>
            </w:rPr>
            <w:fldChar w:fldCharType="separate"/>
          </w:r>
          <w:r>
            <w:rPr>
              <w:rFonts w:hint="eastAsia"/>
              <w:sz w:val="30"/>
              <w:szCs w:val="30"/>
              <w:lang w:eastAsia="zh-CN"/>
            </w:rPr>
            <w:t>二、</w:t>
          </w:r>
          <w:r>
            <w:rPr>
              <w:rFonts w:hint="eastAsia"/>
              <w:sz w:val="30"/>
              <w:szCs w:val="30"/>
            </w:rPr>
            <w:t>收入决算情况说明</w:t>
          </w:r>
          <w:r>
            <w:rPr>
              <w:sz w:val="30"/>
              <w:szCs w:val="30"/>
            </w:rPr>
            <w:tab/>
          </w:r>
          <w:r>
            <w:rPr>
              <w:sz w:val="30"/>
              <w:szCs w:val="30"/>
            </w:rPr>
            <w:fldChar w:fldCharType="begin"/>
          </w:r>
          <w:r>
            <w:rPr>
              <w:sz w:val="30"/>
              <w:szCs w:val="30"/>
            </w:rPr>
            <w:instrText xml:space="preserve"> PAGEREF _Toc31592 \h </w:instrText>
          </w:r>
          <w:r>
            <w:rPr>
              <w:sz w:val="30"/>
              <w:szCs w:val="30"/>
            </w:rPr>
            <w:fldChar w:fldCharType="separate"/>
          </w:r>
          <w:r>
            <w:rPr>
              <w:sz w:val="30"/>
              <w:szCs w:val="30"/>
            </w:rPr>
            <w:t>4</w:t>
          </w:r>
          <w:r>
            <w:rPr>
              <w:sz w:val="30"/>
              <w:szCs w:val="30"/>
            </w:rPr>
            <w:fldChar w:fldCharType="end"/>
          </w:r>
          <w:r>
            <w:rPr>
              <w:rFonts w:hint="eastAsia"/>
              <w:sz w:val="30"/>
              <w:szCs w:val="30"/>
            </w:rPr>
            <w:fldChar w:fldCharType="end"/>
          </w:r>
        </w:p>
        <w:p w14:paraId="5584ECB3">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_Toc31626 </w:instrText>
          </w:r>
          <w:r>
            <w:rPr>
              <w:rFonts w:hint="eastAsia"/>
              <w:sz w:val="30"/>
              <w:szCs w:val="30"/>
            </w:rPr>
            <w:fldChar w:fldCharType="separate"/>
          </w:r>
          <w:r>
            <w:rPr>
              <w:rFonts w:hint="eastAsia"/>
              <w:sz w:val="30"/>
              <w:szCs w:val="30"/>
              <w:lang w:eastAsia="zh-CN"/>
            </w:rPr>
            <w:t>三、</w:t>
          </w:r>
          <w:r>
            <w:rPr>
              <w:rFonts w:hint="eastAsia"/>
              <w:sz w:val="30"/>
              <w:szCs w:val="30"/>
            </w:rPr>
            <w:t>支出决算情况说明</w:t>
          </w:r>
          <w:r>
            <w:rPr>
              <w:sz w:val="30"/>
              <w:szCs w:val="30"/>
            </w:rPr>
            <w:tab/>
          </w:r>
          <w:r>
            <w:rPr>
              <w:sz w:val="30"/>
              <w:szCs w:val="30"/>
            </w:rPr>
            <w:fldChar w:fldCharType="begin"/>
          </w:r>
          <w:r>
            <w:rPr>
              <w:sz w:val="30"/>
              <w:szCs w:val="30"/>
            </w:rPr>
            <w:instrText xml:space="preserve"> PAGEREF _Toc31626 \h </w:instrText>
          </w:r>
          <w:r>
            <w:rPr>
              <w:sz w:val="30"/>
              <w:szCs w:val="30"/>
            </w:rPr>
            <w:fldChar w:fldCharType="separate"/>
          </w:r>
          <w:r>
            <w:rPr>
              <w:sz w:val="30"/>
              <w:szCs w:val="30"/>
            </w:rPr>
            <w:t>5</w:t>
          </w:r>
          <w:r>
            <w:rPr>
              <w:sz w:val="30"/>
              <w:szCs w:val="30"/>
            </w:rPr>
            <w:fldChar w:fldCharType="end"/>
          </w:r>
          <w:r>
            <w:rPr>
              <w:rFonts w:hint="eastAsia"/>
              <w:sz w:val="30"/>
              <w:szCs w:val="30"/>
            </w:rPr>
            <w:fldChar w:fldCharType="end"/>
          </w:r>
        </w:p>
        <w:p w14:paraId="7CBBE929">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_Toc2920 </w:instrText>
          </w:r>
          <w:r>
            <w:rPr>
              <w:rFonts w:hint="eastAsia"/>
              <w:sz w:val="30"/>
              <w:szCs w:val="30"/>
            </w:rPr>
            <w:fldChar w:fldCharType="separate"/>
          </w:r>
          <w:r>
            <w:rPr>
              <w:rFonts w:hint="eastAsia"/>
              <w:sz w:val="30"/>
              <w:szCs w:val="30"/>
            </w:rPr>
            <w:t>四、财政拨款收入支出决算总体情况说明</w:t>
          </w:r>
          <w:r>
            <w:rPr>
              <w:sz w:val="30"/>
              <w:szCs w:val="30"/>
            </w:rPr>
            <w:tab/>
          </w:r>
          <w:r>
            <w:rPr>
              <w:sz w:val="30"/>
              <w:szCs w:val="30"/>
            </w:rPr>
            <w:fldChar w:fldCharType="begin"/>
          </w:r>
          <w:r>
            <w:rPr>
              <w:sz w:val="30"/>
              <w:szCs w:val="30"/>
            </w:rPr>
            <w:instrText xml:space="preserve"> PAGEREF _Toc2920 \h </w:instrText>
          </w:r>
          <w:r>
            <w:rPr>
              <w:sz w:val="30"/>
              <w:szCs w:val="30"/>
            </w:rPr>
            <w:fldChar w:fldCharType="separate"/>
          </w:r>
          <w:r>
            <w:rPr>
              <w:sz w:val="30"/>
              <w:szCs w:val="30"/>
            </w:rPr>
            <w:t>6</w:t>
          </w:r>
          <w:r>
            <w:rPr>
              <w:sz w:val="30"/>
              <w:szCs w:val="30"/>
            </w:rPr>
            <w:fldChar w:fldCharType="end"/>
          </w:r>
          <w:r>
            <w:rPr>
              <w:rFonts w:hint="eastAsia"/>
              <w:sz w:val="30"/>
              <w:szCs w:val="30"/>
            </w:rPr>
            <w:fldChar w:fldCharType="end"/>
          </w:r>
        </w:p>
        <w:p w14:paraId="763CE7F4">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_Toc23090 </w:instrText>
          </w:r>
          <w:r>
            <w:rPr>
              <w:rFonts w:hint="eastAsia"/>
              <w:sz w:val="30"/>
              <w:szCs w:val="30"/>
            </w:rPr>
            <w:fldChar w:fldCharType="separate"/>
          </w:r>
          <w:r>
            <w:rPr>
              <w:rFonts w:hint="eastAsia"/>
              <w:sz w:val="30"/>
              <w:szCs w:val="30"/>
            </w:rPr>
            <w:t>五、一般公共预算财政拨款支出决算情况说明</w:t>
          </w:r>
          <w:r>
            <w:rPr>
              <w:sz w:val="30"/>
              <w:szCs w:val="30"/>
            </w:rPr>
            <w:tab/>
          </w:r>
          <w:r>
            <w:rPr>
              <w:sz w:val="30"/>
              <w:szCs w:val="30"/>
            </w:rPr>
            <w:fldChar w:fldCharType="begin"/>
          </w:r>
          <w:r>
            <w:rPr>
              <w:sz w:val="30"/>
              <w:szCs w:val="30"/>
            </w:rPr>
            <w:instrText xml:space="preserve"> PAGEREF _Toc23090 \h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14:paraId="57FD667B">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_Toc10420 </w:instrText>
          </w:r>
          <w:r>
            <w:rPr>
              <w:rFonts w:hint="eastAsia"/>
              <w:sz w:val="30"/>
              <w:szCs w:val="30"/>
            </w:rPr>
            <w:fldChar w:fldCharType="separate"/>
          </w:r>
          <w:r>
            <w:rPr>
              <w:rFonts w:hint="eastAsia"/>
              <w:sz w:val="30"/>
              <w:szCs w:val="30"/>
            </w:rPr>
            <w:t>（一）一般公共预算财政拨款支出决算总体情况</w:t>
          </w:r>
          <w:r>
            <w:rPr>
              <w:sz w:val="30"/>
              <w:szCs w:val="30"/>
            </w:rPr>
            <w:tab/>
          </w:r>
          <w:r>
            <w:rPr>
              <w:sz w:val="30"/>
              <w:szCs w:val="30"/>
            </w:rPr>
            <w:fldChar w:fldCharType="begin"/>
          </w:r>
          <w:r>
            <w:rPr>
              <w:sz w:val="30"/>
              <w:szCs w:val="30"/>
            </w:rPr>
            <w:instrText xml:space="preserve"> PAGEREF _Toc10420 \h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14:paraId="0EEBB2F4">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_Toc16576 </w:instrText>
          </w:r>
          <w:r>
            <w:rPr>
              <w:rFonts w:hint="eastAsia"/>
              <w:sz w:val="30"/>
              <w:szCs w:val="30"/>
            </w:rPr>
            <w:fldChar w:fldCharType="separate"/>
          </w:r>
          <w:r>
            <w:rPr>
              <w:rFonts w:hint="eastAsia"/>
              <w:sz w:val="30"/>
              <w:szCs w:val="30"/>
            </w:rPr>
            <w:t>（二）一般公共预算财政拨款支出决算结构情况</w:t>
          </w:r>
          <w:r>
            <w:rPr>
              <w:sz w:val="30"/>
              <w:szCs w:val="30"/>
            </w:rPr>
            <w:tab/>
          </w:r>
          <w:r>
            <w:rPr>
              <w:sz w:val="30"/>
              <w:szCs w:val="30"/>
            </w:rPr>
            <w:fldChar w:fldCharType="begin"/>
          </w:r>
          <w:r>
            <w:rPr>
              <w:sz w:val="30"/>
              <w:szCs w:val="30"/>
            </w:rPr>
            <w:instrText xml:space="preserve"> PAGEREF _Toc16576 \h </w:instrText>
          </w:r>
          <w:r>
            <w:rPr>
              <w:sz w:val="30"/>
              <w:szCs w:val="30"/>
            </w:rPr>
            <w:fldChar w:fldCharType="separate"/>
          </w:r>
          <w:r>
            <w:rPr>
              <w:sz w:val="30"/>
              <w:szCs w:val="30"/>
            </w:rPr>
            <w:t>7</w:t>
          </w:r>
          <w:r>
            <w:rPr>
              <w:sz w:val="30"/>
              <w:szCs w:val="30"/>
            </w:rPr>
            <w:fldChar w:fldCharType="end"/>
          </w:r>
          <w:r>
            <w:rPr>
              <w:rFonts w:hint="eastAsia"/>
              <w:sz w:val="30"/>
              <w:szCs w:val="30"/>
            </w:rPr>
            <w:fldChar w:fldCharType="end"/>
          </w:r>
        </w:p>
        <w:p w14:paraId="7FF5245E">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_Toc4438 </w:instrText>
          </w:r>
          <w:r>
            <w:rPr>
              <w:rFonts w:hint="eastAsia"/>
              <w:sz w:val="30"/>
              <w:szCs w:val="30"/>
            </w:rPr>
            <w:fldChar w:fldCharType="separate"/>
          </w:r>
          <w:r>
            <w:rPr>
              <w:rFonts w:hint="eastAsia"/>
              <w:sz w:val="30"/>
              <w:szCs w:val="30"/>
            </w:rPr>
            <w:t>（三）一般公共预算财政拨款支出决算具体情况</w:t>
          </w:r>
          <w:r>
            <w:rPr>
              <w:sz w:val="30"/>
              <w:szCs w:val="30"/>
            </w:rPr>
            <w:tab/>
          </w:r>
          <w:r>
            <w:rPr>
              <w:sz w:val="30"/>
              <w:szCs w:val="30"/>
            </w:rPr>
            <w:fldChar w:fldCharType="begin"/>
          </w:r>
          <w:r>
            <w:rPr>
              <w:sz w:val="30"/>
              <w:szCs w:val="30"/>
            </w:rPr>
            <w:instrText xml:space="preserve"> PAGEREF _Toc4438 \h </w:instrText>
          </w:r>
          <w:r>
            <w:rPr>
              <w:sz w:val="30"/>
              <w:szCs w:val="30"/>
            </w:rPr>
            <w:fldChar w:fldCharType="separate"/>
          </w:r>
          <w:r>
            <w:rPr>
              <w:sz w:val="30"/>
              <w:szCs w:val="30"/>
            </w:rPr>
            <w:t>8</w:t>
          </w:r>
          <w:r>
            <w:rPr>
              <w:sz w:val="30"/>
              <w:szCs w:val="30"/>
            </w:rPr>
            <w:fldChar w:fldCharType="end"/>
          </w:r>
          <w:r>
            <w:rPr>
              <w:rFonts w:hint="eastAsia"/>
              <w:sz w:val="30"/>
              <w:szCs w:val="30"/>
            </w:rPr>
            <w:fldChar w:fldCharType="end"/>
          </w:r>
        </w:p>
        <w:p w14:paraId="42CD9471">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_Toc31295 </w:instrText>
          </w:r>
          <w:r>
            <w:rPr>
              <w:rFonts w:hint="eastAsia"/>
              <w:sz w:val="30"/>
              <w:szCs w:val="30"/>
            </w:rPr>
            <w:fldChar w:fldCharType="separate"/>
          </w:r>
          <w:r>
            <w:rPr>
              <w:rFonts w:hint="eastAsia"/>
              <w:sz w:val="30"/>
              <w:szCs w:val="30"/>
            </w:rPr>
            <w:t>六、一般公共预算财政拨款基本支出决算情况说明</w:t>
          </w:r>
          <w:r>
            <w:rPr>
              <w:sz w:val="30"/>
              <w:szCs w:val="30"/>
            </w:rPr>
            <w:tab/>
          </w:r>
          <w:r>
            <w:rPr>
              <w:sz w:val="30"/>
              <w:szCs w:val="30"/>
            </w:rPr>
            <w:fldChar w:fldCharType="begin"/>
          </w:r>
          <w:r>
            <w:rPr>
              <w:sz w:val="30"/>
              <w:szCs w:val="30"/>
            </w:rPr>
            <w:instrText xml:space="preserve"> PAGEREF _Toc31295 \h </w:instrText>
          </w:r>
          <w:r>
            <w:rPr>
              <w:sz w:val="30"/>
              <w:szCs w:val="30"/>
            </w:rPr>
            <w:fldChar w:fldCharType="separate"/>
          </w:r>
          <w:r>
            <w:rPr>
              <w:sz w:val="30"/>
              <w:szCs w:val="30"/>
            </w:rPr>
            <w:t>9</w:t>
          </w:r>
          <w:r>
            <w:rPr>
              <w:sz w:val="30"/>
              <w:szCs w:val="30"/>
            </w:rPr>
            <w:fldChar w:fldCharType="end"/>
          </w:r>
          <w:r>
            <w:rPr>
              <w:rFonts w:hint="eastAsia"/>
              <w:sz w:val="30"/>
              <w:szCs w:val="30"/>
            </w:rPr>
            <w:fldChar w:fldCharType="end"/>
          </w:r>
        </w:p>
        <w:p w14:paraId="0A9BD968">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_Toc15036 </w:instrText>
          </w:r>
          <w:r>
            <w:rPr>
              <w:rFonts w:hint="eastAsia"/>
              <w:sz w:val="30"/>
              <w:szCs w:val="30"/>
            </w:rPr>
            <w:fldChar w:fldCharType="separate"/>
          </w:r>
          <w:r>
            <w:rPr>
              <w:rFonts w:hint="eastAsia"/>
              <w:sz w:val="30"/>
              <w:szCs w:val="30"/>
            </w:rPr>
            <w:t>七、财政拨款“三公”经费支出决算情况说明</w:t>
          </w:r>
          <w:r>
            <w:rPr>
              <w:sz w:val="30"/>
              <w:szCs w:val="30"/>
            </w:rPr>
            <w:tab/>
          </w:r>
          <w:r>
            <w:rPr>
              <w:sz w:val="30"/>
              <w:szCs w:val="30"/>
            </w:rPr>
            <w:fldChar w:fldCharType="begin"/>
          </w:r>
          <w:r>
            <w:rPr>
              <w:sz w:val="30"/>
              <w:szCs w:val="30"/>
            </w:rPr>
            <w:instrText xml:space="preserve"> PAGEREF _Toc15036 \h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14:paraId="44588B20">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_Toc9670 </w:instrText>
          </w:r>
          <w:r>
            <w:rPr>
              <w:rFonts w:hint="eastAsia"/>
              <w:sz w:val="30"/>
              <w:szCs w:val="30"/>
            </w:rPr>
            <w:fldChar w:fldCharType="separate"/>
          </w:r>
          <w:r>
            <w:rPr>
              <w:rFonts w:hint="eastAsia"/>
              <w:sz w:val="30"/>
              <w:szCs w:val="30"/>
            </w:rPr>
            <w:t>（一）“三公”经费财政拨款支出决算总体情况说明</w:t>
          </w:r>
          <w:r>
            <w:rPr>
              <w:sz w:val="30"/>
              <w:szCs w:val="30"/>
            </w:rPr>
            <w:tab/>
          </w:r>
          <w:r>
            <w:rPr>
              <w:sz w:val="30"/>
              <w:szCs w:val="30"/>
            </w:rPr>
            <w:fldChar w:fldCharType="begin"/>
          </w:r>
          <w:r>
            <w:rPr>
              <w:sz w:val="30"/>
              <w:szCs w:val="30"/>
            </w:rPr>
            <w:instrText xml:space="preserve"> PAGEREF _Toc9670 \h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14:paraId="7DCBF2AA">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_Toc31705 </w:instrText>
          </w:r>
          <w:r>
            <w:rPr>
              <w:rFonts w:hint="eastAsia"/>
              <w:sz w:val="30"/>
              <w:szCs w:val="30"/>
            </w:rPr>
            <w:fldChar w:fldCharType="separate"/>
          </w:r>
          <w:r>
            <w:rPr>
              <w:rFonts w:hint="eastAsia"/>
              <w:sz w:val="30"/>
              <w:szCs w:val="30"/>
            </w:rPr>
            <w:t>（二）“三公”经费财政拨款支出决算具体情况说明</w:t>
          </w:r>
          <w:r>
            <w:rPr>
              <w:sz w:val="30"/>
              <w:szCs w:val="30"/>
            </w:rPr>
            <w:tab/>
          </w:r>
          <w:r>
            <w:rPr>
              <w:sz w:val="30"/>
              <w:szCs w:val="30"/>
            </w:rPr>
            <w:fldChar w:fldCharType="begin"/>
          </w:r>
          <w:r>
            <w:rPr>
              <w:sz w:val="30"/>
              <w:szCs w:val="30"/>
            </w:rPr>
            <w:instrText xml:space="preserve"> PAGEREF _Toc31705 \h </w:instrText>
          </w:r>
          <w:r>
            <w:rPr>
              <w:sz w:val="30"/>
              <w:szCs w:val="30"/>
            </w:rPr>
            <w:fldChar w:fldCharType="separate"/>
          </w:r>
          <w:r>
            <w:rPr>
              <w:sz w:val="30"/>
              <w:szCs w:val="30"/>
            </w:rPr>
            <w:t>10</w:t>
          </w:r>
          <w:r>
            <w:rPr>
              <w:sz w:val="30"/>
              <w:szCs w:val="30"/>
            </w:rPr>
            <w:fldChar w:fldCharType="end"/>
          </w:r>
          <w:r>
            <w:rPr>
              <w:rFonts w:hint="eastAsia"/>
              <w:sz w:val="30"/>
              <w:szCs w:val="30"/>
            </w:rPr>
            <w:fldChar w:fldCharType="end"/>
          </w:r>
        </w:p>
        <w:p w14:paraId="029633F8">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_Toc7675 </w:instrText>
          </w:r>
          <w:r>
            <w:rPr>
              <w:rFonts w:hint="eastAsia"/>
              <w:sz w:val="30"/>
              <w:szCs w:val="30"/>
            </w:rPr>
            <w:fldChar w:fldCharType="separate"/>
          </w:r>
          <w:r>
            <w:rPr>
              <w:rFonts w:hint="eastAsia"/>
              <w:sz w:val="30"/>
              <w:szCs w:val="30"/>
            </w:rPr>
            <w:t>八、政府性基金预算支出决算情况说明</w:t>
          </w:r>
          <w:r>
            <w:rPr>
              <w:sz w:val="30"/>
              <w:szCs w:val="30"/>
            </w:rPr>
            <w:tab/>
          </w:r>
          <w:r>
            <w:rPr>
              <w:sz w:val="30"/>
              <w:szCs w:val="30"/>
            </w:rPr>
            <w:fldChar w:fldCharType="begin"/>
          </w:r>
          <w:r>
            <w:rPr>
              <w:sz w:val="30"/>
              <w:szCs w:val="30"/>
            </w:rPr>
            <w:instrText xml:space="preserve"> PAGEREF _Toc7675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7B174593">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_Toc19636 </w:instrText>
          </w:r>
          <w:r>
            <w:rPr>
              <w:rFonts w:hint="eastAsia"/>
              <w:sz w:val="30"/>
              <w:szCs w:val="30"/>
            </w:rPr>
            <w:fldChar w:fldCharType="separate"/>
          </w:r>
          <w:r>
            <w:rPr>
              <w:rFonts w:hint="eastAsia"/>
              <w:sz w:val="30"/>
              <w:szCs w:val="30"/>
              <w:lang w:eastAsia="zh-CN"/>
            </w:rPr>
            <w:t>九、</w:t>
          </w:r>
          <w:r>
            <w:rPr>
              <w:rFonts w:hint="eastAsia"/>
              <w:sz w:val="30"/>
              <w:szCs w:val="30"/>
            </w:rPr>
            <w:t>国有资本经营预算支出决算情况说明</w:t>
          </w:r>
          <w:r>
            <w:rPr>
              <w:sz w:val="30"/>
              <w:szCs w:val="30"/>
            </w:rPr>
            <w:tab/>
          </w:r>
          <w:r>
            <w:rPr>
              <w:sz w:val="30"/>
              <w:szCs w:val="30"/>
            </w:rPr>
            <w:fldChar w:fldCharType="begin"/>
          </w:r>
          <w:r>
            <w:rPr>
              <w:sz w:val="30"/>
              <w:szCs w:val="30"/>
            </w:rPr>
            <w:instrText xml:space="preserve"> PAGEREF _Toc19636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1470212E">
          <w:pPr>
            <w:pStyle w:val="12"/>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_Toc15002 </w:instrText>
          </w:r>
          <w:r>
            <w:rPr>
              <w:rFonts w:hint="eastAsia"/>
              <w:sz w:val="30"/>
              <w:szCs w:val="30"/>
            </w:rPr>
            <w:fldChar w:fldCharType="separate"/>
          </w:r>
          <w:r>
            <w:rPr>
              <w:rFonts w:hint="eastAsia"/>
              <w:sz w:val="30"/>
              <w:szCs w:val="30"/>
              <w:lang w:eastAsia="zh-CN"/>
            </w:rPr>
            <w:t>十、</w:t>
          </w:r>
          <w:r>
            <w:rPr>
              <w:rFonts w:hint="eastAsia"/>
              <w:sz w:val="30"/>
              <w:szCs w:val="30"/>
            </w:rPr>
            <w:t>其他重要事项的情况说明</w:t>
          </w:r>
          <w:r>
            <w:rPr>
              <w:sz w:val="30"/>
              <w:szCs w:val="30"/>
            </w:rPr>
            <w:tab/>
          </w:r>
          <w:r>
            <w:rPr>
              <w:sz w:val="30"/>
              <w:szCs w:val="30"/>
            </w:rPr>
            <w:fldChar w:fldCharType="begin"/>
          </w:r>
          <w:r>
            <w:rPr>
              <w:sz w:val="30"/>
              <w:szCs w:val="30"/>
            </w:rPr>
            <w:instrText xml:space="preserve"> PAGEREF _Toc15002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64B5FF66">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_Toc5733 </w:instrText>
          </w:r>
          <w:r>
            <w:rPr>
              <w:rFonts w:hint="eastAsia"/>
              <w:sz w:val="30"/>
              <w:szCs w:val="30"/>
            </w:rPr>
            <w:fldChar w:fldCharType="separate"/>
          </w:r>
          <w:r>
            <w:rPr>
              <w:rFonts w:hint="eastAsia"/>
              <w:sz w:val="30"/>
              <w:szCs w:val="30"/>
            </w:rPr>
            <w:t>（一）机关运行经费支出情况</w:t>
          </w:r>
          <w:r>
            <w:rPr>
              <w:sz w:val="30"/>
              <w:szCs w:val="30"/>
            </w:rPr>
            <w:tab/>
          </w:r>
          <w:r>
            <w:rPr>
              <w:sz w:val="30"/>
              <w:szCs w:val="30"/>
            </w:rPr>
            <w:fldChar w:fldCharType="begin"/>
          </w:r>
          <w:r>
            <w:rPr>
              <w:sz w:val="30"/>
              <w:szCs w:val="30"/>
            </w:rPr>
            <w:instrText xml:space="preserve"> PAGEREF _Toc5733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79A2448B">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_Toc6015 </w:instrText>
          </w:r>
          <w:r>
            <w:rPr>
              <w:rFonts w:hint="eastAsia"/>
              <w:sz w:val="30"/>
              <w:szCs w:val="30"/>
            </w:rPr>
            <w:fldChar w:fldCharType="separate"/>
          </w:r>
          <w:r>
            <w:rPr>
              <w:rFonts w:hint="eastAsia"/>
              <w:sz w:val="30"/>
              <w:szCs w:val="30"/>
            </w:rPr>
            <w:t>（二）政府采购支出情况</w:t>
          </w:r>
          <w:r>
            <w:rPr>
              <w:sz w:val="30"/>
              <w:szCs w:val="30"/>
            </w:rPr>
            <w:tab/>
          </w:r>
          <w:r>
            <w:rPr>
              <w:sz w:val="30"/>
              <w:szCs w:val="30"/>
            </w:rPr>
            <w:fldChar w:fldCharType="begin"/>
          </w:r>
          <w:r>
            <w:rPr>
              <w:sz w:val="30"/>
              <w:szCs w:val="30"/>
            </w:rPr>
            <w:instrText xml:space="preserve"> PAGEREF _Toc6015 \h </w:instrText>
          </w:r>
          <w:r>
            <w:rPr>
              <w:sz w:val="30"/>
              <w:szCs w:val="30"/>
            </w:rPr>
            <w:fldChar w:fldCharType="separate"/>
          </w:r>
          <w:r>
            <w:rPr>
              <w:sz w:val="30"/>
              <w:szCs w:val="30"/>
            </w:rPr>
            <w:t>11</w:t>
          </w:r>
          <w:r>
            <w:rPr>
              <w:sz w:val="30"/>
              <w:szCs w:val="30"/>
            </w:rPr>
            <w:fldChar w:fldCharType="end"/>
          </w:r>
          <w:r>
            <w:rPr>
              <w:rFonts w:hint="eastAsia"/>
              <w:sz w:val="30"/>
              <w:szCs w:val="30"/>
            </w:rPr>
            <w:fldChar w:fldCharType="end"/>
          </w:r>
        </w:p>
        <w:p w14:paraId="31E0C553">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_Toc2034 </w:instrText>
          </w:r>
          <w:r>
            <w:rPr>
              <w:rFonts w:hint="eastAsia"/>
              <w:sz w:val="30"/>
              <w:szCs w:val="30"/>
            </w:rPr>
            <w:fldChar w:fldCharType="separate"/>
          </w:r>
          <w:r>
            <w:rPr>
              <w:rFonts w:hint="eastAsia"/>
              <w:sz w:val="30"/>
              <w:szCs w:val="30"/>
            </w:rPr>
            <w:t>（三）国有资产占有使用情况</w:t>
          </w:r>
          <w:r>
            <w:rPr>
              <w:sz w:val="30"/>
              <w:szCs w:val="30"/>
            </w:rPr>
            <w:tab/>
          </w:r>
          <w:r>
            <w:rPr>
              <w:sz w:val="30"/>
              <w:szCs w:val="30"/>
            </w:rPr>
            <w:fldChar w:fldCharType="begin"/>
          </w:r>
          <w:r>
            <w:rPr>
              <w:sz w:val="30"/>
              <w:szCs w:val="30"/>
            </w:rPr>
            <w:instrText xml:space="preserve"> PAGEREF _Toc2034 \h </w:instrText>
          </w:r>
          <w:r>
            <w:rPr>
              <w:sz w:val="30"/>
              <w:szCs w:val="30"/>
            </w:rPr>
            <w:fldChar w:fldCharType="separate"/>
          </w:r>
          <w:r>
            <w:rPr>
              <w:sz w:val="30"/>
              <w:szCs w:val="30"/>
            </w:rPr>
            <w:t>12</w:t>
          </w:r>
          <w:r>
            <w:rPr>
              <w:sz w:val="30"/>
              <w:szCs w:val="30"/>
            </w:rPr>
            <w:fldChar w:fldCharType="end"/>
          </w:r>
          <w:r>
            <w:rPr>
              <w:rFonts w:hint="eastAsia"/>
              <w:sz w:val="30"/>
              <w:szCs w:val="30"/>
            </w:rPr>
            <w:fldChar w:fldCharType="end"/>
          </w:r>
        </w:p>
        <w:p w14:paraId="220A58FB">
          <w:pPr>
            <w:pStyle w:val="7"/>
            <w:tabs>
              <w:tab w:val="right" w:leader="dot" w:pos="8306"/>
              <w:tab w:val="clear" w:pos="8296"/>
            </w:tabs>
            <w:rPr>
              <w:sz w:val="30"/>
              <w:szCs w:val="30"/>
            </w:rPr>
          </w:pPr>
          <w:r>
            <w:rPr>
              <w:rFonts w:hint="eastAsia"/>
              <w:sz w:val="30"/>
              <w:szCs w:val="30"/>
            </w:rPr>
            <w:fldChar w:fldCharType="begin"/>
          </w:r>
          <w:r>
            <w:rPr>
              <w:rFonts w:hint="eastAsia"/>
              <w:sz w:val="30"/>
              <w:szCs w:val="30"/>
            </w:rPr>
            <w:instrText xml:space="preserve"> HYPERLINK \l _Toc1992 </w:instrText>
          </w:r>
          <w:r>
            <w:rPr>
              <w:rFonts w:hint="eastAsia"/>
              <w:sz w:val="30"/>
              <w:szCs w:val="30"/>
            </w:rPr>
            <w:fldChar w:fldCharType="separate"/>
          </w:r>
          <w:r>
            <w:rPr>
              <w:rFonts w:hint="eastAsia"/>
              <w:sz w:val="30"/>
              <w:szCs w:val="30"/>
            </w:rPr>
            <w:t>（四）预算绩效管理情况</w:t>
          </w:r>
          <w:r>
            <w:rPr>
              <w:sz w:val="30"/>
              <w:szCs w:val="30"/>
            </w:rPr>
            <w:tab/>
          </w:r>
          <w:r>
            <w:rPr>
              <w:sz w:val="30"/>
              <w:szCs w:val="30"/>
            </w:rPr>
            <w:fldChar w:fldCharType="begin"/>
          </w:r>
          <w:r>
            <w:rPr>
              <w:sz w:val="30"/>
              <w:szCs w:val="30"/>
            </w:rPr>
            <w:instrText xml:space="preserve"> PAGEREF _Toc1992 \h </w:instrText>
          </w:r>
          <w:r>
            <w:rPr>
              <w:sz w:val="30"/>
              <w:szCs w:val="30"/>
            </w:rPr>
            <w:fldChar w:fldCharType="separate"/>
          </w:r>
          <w:r>
            <w:rPr>
              <w:sz w:val="30"/>
              <w:szCs w:val="30"/>
            </w:rPr>
            <w:t>12</w:t>
          </w:r>
          <w:r>
            <w:rPr>
              <w:sz w:val="30"/>
              <w:szCs w:val="30"/>
            </w:rPr>
            <w:fldChar w:fldCharType="end"/>
          </w:r>
          <w:r>
            <w:rPr>
              <w:rFonts w:hint="eastAsia"/>
              <w:sz w:val="30"/>
              <w:szCs w:val="30"/>
            </w:rPr>
            <w:fldChar w:fldCharType="end"/>
          </w:r>
        </w:p>
        <w:p w14:paraId="1849A9F8">
          <w:pPr>
            <w:pStyle w:val="11"/>
            <w:tabs>
              <w:tab w:val="right" w:leader="dot" w:pos="8306"/>
              <w:tab w:val="clear" w:pos="8296"/>
            </w:tabs>
            <w:rPr>
              <w:b w:val="0"/>
              <w:bCs w:val="0"/>
              <w:sz w:val="30"/>
              <w:szCs w:val="30"/>
            </w:rPr>
          </w:pPr>
          <w:r>
            <w:rPr>
              <w:rFonts w:hint="eastAsia"/>
              <w:b w:val="0"/>
              <w:bCs w:val="0"/>
              <w:sz w:val="30"/>
              <w:szCs w:val="30"/>
            </w:rPr>
            <w:fldChar w:fldCharType="begin"/>
          </w:r>
          <w:r>
            <w:rPr>
              <w:rFonts w:hint="eastAsia"/>
              <w:b w:val="0"/>
              <w:bCs w:val="0"/>
              <w:sz w:val="30"/>
              <w:szCs w:val="30"/>
            </w:rPr>
            <w:instrText xml:space="preserve"> HYPERLINK \l _Toc20328 </w:instrText>
          </w:r>
          <w:r>
            <w:rPr>
              <w:rFonts w:hint="eastAsia"/>
              <w:b w:val="0"/>
              <w:bCs w:val="0"/>
              <w:sz w:val="30"/>
              <w:szCs w:val="30"/>
            </w:rPr>
            <w:fldChar w:fldCharType="separate"/>
          </w:r>
          <w:r>
            <w:rPr>
              <w:rFonts w:hint="eastAsia"/>
              <w:b w:val="0"/>
              <w:bCs w:val="0"/>
              <w:sz w:val="30"/>
              <w:szCs w:val="30"/>
              <w:lang w:eastAsia="zh-CN"/>
            </w:rPr>
            <w:t>第三部分</w:t>
          </w:r>
          <w:r>
            <w:rPr>
              <w:rFonts w:hint="eastAsia"/>
              <w:b w:val="0"/>
              <w:bCs w:val="0"/>
              <w:sz w:val="30"/>
              <w:szCs w:val="30"/>
              <w:lang w:val="en-US" w:eastAsia="zh-CN"/>
            </w:rPr>
            <w:t xml:space="preserve"> </w:t>
          </w:r>
          <w:r>
            <w:rPr>
              <w:rFonts w:hint="eastAsia"/>
              <w:b w:val="0"/>
              <w:bCs w:val="0"/>
              <w:sz w:val="30"/>
              <w:szCs w:val="30"/>
            </w:rPr>
            <w:t>名词解释</w:t>
          </w:r>
          <w:r>
            <w:rPr>
              <w:b w:val="0"/>
              <w:bCs w:val="0"/>
              <w:sz w:val="30"/>
              <w:szCs w:val="30"/>
            </w:rPr>
            <w:tab/>
          </w:r>
          <w:r>
            <w:rPr>
              <w:b w:val="0"/>
              <w:bCs w:val="0"/>
              <w:sz w:val="30"/>
              <w:szCs w:val="30"/>
            </w:rPr>
            <w:fldChar w:fldCharType="begin"/>
          </w:r>
          <w:r>
            <w:rPr>
              <w:b w:val="0"/>
              <w:bCs w:val="0"/>
              <w:sz w:val="30"/>
              <w:szCs w:val="30"/>
            </w:rPr>
            <w:instrText xml:space="preserve"> PAGEREF _Toc20328 \h </w:instrText>
          </w:r>
          <w:r>
            <w:rPr>
              <w:b w:val="0"/>
              <w:bCs w:val="0"/>
              <w:sz w:val="30"/>
              <w:szCs w:val="30"/>
            </w:rPr>
            <w:fldChar w:fldCharType="separate"/>
          </w:r>
          <w:r>
            <w:rPr>
              <w:b w:val="0"/>
              <w:bCs w:val="0"/>
              <w:sz w:val="30"/>
              <w:szCs w:val="30"/>
            </w:rPr>
            <w:t>12</w:t>
          </w:r>
          <w:r>
            <w:rPr>
              <w:b w:val="0"/>
              <w:bCs w:val="0"/>
              <w:sz w:val="30"/>
              <w:szCs w:val="30"/>
            </w:rPr>
            <w:fldChar w:fldCharType="end"/>
          </w:r>
          <w:r>
            <w:rPr>
              <w:rFonts w:hint="eastAsia"/>
              <w:b w:val="0"/>
              <w:bCs w:val="0"/>
              <w:sz w:val="30"/>
              <w:szCs w:val="30"/>
            </w:rPr>
            <w:fldChar w:fldCharType="end"/>
          </w:r>
        </w:p>
        <w:p w14:paraId="2B51E125">
          <w:pPr>
            <w:pStyle w:val="11"/>
            <w:tabs>
              <w:tab w:val="right" w:leader="dot" w:pos="8306"/>
              <w:tab w:val="clear" w:pos="8296"/>
            </w:tabs>
            <w:rPr>
              <w:b/>
              <w:bCs/>
              <w:sz w:val="30"/>
              <w:szCs w:val="30"/>
            </w:rPr>
          </w:pPr>
          <w:r>
            <w:rPr>
              <w:rFonts w:hint="eastAsia"/>
              <w:b w:val="0"/>
              <w:bCs w:val="0"/>
              <w:sz w:val="30"/>
              <w:szCs w:val="30"/>
            </w:rPr>
            <w:fldChar w:fldCharType="begin"/>
          </w:r>
          <w:r>
            <w:rPr>
              <w:rFonts w:hint="eastAsia"/>
              <w:b w:val="0"/>
              <w:bCs w:val="0"/>
              <w:sz w:val="30"/>
              <w:szCs w:val="30"/>
            </w:rPr>
            <w:instrText xml:space="preserve"> HYPERLINK \l _Toc26805 </w:instrText>
          </w:r>
          <w:r>
            <w:rPr>
              <w:rFonts w:hint="eastAsia"/>
              <w:b w:val="0"/>
              <w:bCs w:val="0"/>
              <w:sz w:val="30"/>
              <w:szCs w:val="30"/>
            </w:rPr>
            <w:fldChar w:fldCharType="separate"/>
          </w:r>
          <w:r>
            <w:rPr>
              <w:rFonts w:hint="eastAsia"/>
              <w:b w:val="0"/>
              <w:bCs w:val="0"/>
              <w:sz w:val="30"/>
              <w:szCs w:val="30"/>
            </w:rPr>
            <w:t>第四部分 附件</w:t>
          </w:r>
          <w:r>
            <w:rPr>
              <w:b w:val="0"/>
              <w:bCs w:val="0"/>
              <w:sz w:val="30"/>
              <w:szCs w:val="30"/>
            </w:rPr>
            <w:tab/>
          </w:r>
          <w:r>
            <w:rPr>
              <w:b w:val="0"/>
              <w:bCs w:val="0"/>
              <w:sz w:val="30"/>
              <w:szCs w:val="30"/>
            </w:rPr>
            <w:fldChar w:fldCharType="begin"/>
          </w:r>
          <w:r>
            <w:rPr>
              <w:b w:val="0"/>
              <w:bCs w:val="0"/>
              <w:sz w:val="30"/>
              <w:szCs w:val="30"/>
            </w:rPr>
            <w:instrText xml:space="preserve"> PAGEREF _Toc26805 \h </w:instrText>
          </w:r>
          <w:r>
            <w:rPr>
              <w:b w:val="0"/>
              <w:bCs w:val="0"/>
              <w:sz w:val="30"/>
              <w:szCs w:val="30"/>
            </w:rPr>
            <w:fldChar w:fldCharType="separate"/>
          </w:r>
          <w:r>
            <w:rPr>
              <w:b w:val="0"/>
              <w:bCs w:val="0"/>
              <w:sz w:val="30"/>
              <w:szCs w:val="30"/>
            </w:rPr>
            <w:t>15</w:t>
          </w:r>
          <w:r>
            <w:rPr>
              <w:b w:val="0"/>
              <w:bCs w:val="0"/>
              <w:sz w:val="30"/>
              <w:szCs w:val="30"/>
            </w:rPr>
            <w:fldChar w:fldCharType="end"/>
          </w:r>
          <w:r>
            <w:rPr>
              <w:rFonts w:hint="eastAsia"/>
              <w:b w:val="0"/>
              <w:bCs w:val="0"/>
              <w:sz w:val="30"/>
              <w:szCs w:val="30"/>
            </w:rPr>
            <w:fldChar w:fldCharType="end"/>
          </w:r>
        </w:p>
        <w:p w14:paraId="11447A01">
          <w:pPr>
            <w:pStyle w:val="12"/>
            <w:tabs>
              <w:tab w:val="right" w:leader="dot" w:pos="8306"/>
              <w:tab w:val="clear" w:pos="8296"/>
            </w:tabs>
            <w:ind w:left="0" w:leftChars="0" w:firstLine="0" w:firstLineChars="0"/>
            <w:rPr>
              <w:sz w:val="30"/>
              <w:szCs w:val="30"/>
            </w:rPr>
          </w:pPr>
          <w:r>
            <w:rPr>
              <w:rFonts w:hint="eastAsia"/>
              <w:b w:val="0"/>
              <w:bCs w:val="0"/>
              <w:sz w:val="30"/>
              <w:szCs w:val="30"/>
            </w:rPr>
            <w:fldChar w:fldCharType="begin"/>
          </w:r>
          <w:r>
            <w:rPr>
              <w:rFonts w:hint="eastAsia"/>
              <w:b w:val="0"/>
              <w:bCs w:val="0"/>
              <w:sz w:val="30"/>
              <w:szCs w:val="30"/>
            </w:rPr>
            <w:instrText xml:space="preserve"> HYPERLINK \l _Toc6218 </w:instrText>
          </w:r>
          <w:r>
            <w:rPr>
              <w:rFonts w:hint="eastAsia"/>
              <w:b w:val="0"/>
              <w:bCs w:val="0"/>
              <w:sz w:val="30"/>
              <w:szCs w:val="30"/>
            </w:rPr>
            <w:fldChar w:fldCharType="separate"/>
          </w:r>
          <w:r>
            <w:rPr>
              <w:rFonts w:hint="eastAsia"/>
              <w:b w:val="0"/>
              <w:bCs w:val="0"/>
              <w:sz w:val="30"/>
              <w:szCs w:val="30"/>
            </w:rPr>
            <w:t>第五部分 附表</w:t>
          </w:r>
          <w:r>
            <w:rPr>
              <w:b w:val="0"/>
              <w:bCs w:val="0"/>
              <w:sz w:val="30"/>
              <w:szCs w:val="30"/>
            </w:rPr>
            <w:tab/>
          </w:r>
          <w:r>
            <w:rPr>
              <w:b w:val="0"/>
              <w:bCs w:val="0"/>
              <w:sz w:val="30"/>
              <w:szCs w:val="30"/>
            </w:rPr>
            <w:fldChar w:fldCharType="begin"/>
          </w:r>
          <w:r>
            <w:rPr>
              <w:b w:val="0"/>
              <w:bCs w:val="0"/>
              <w:sz w:val="30"/>
              <w:szCs w:val="30"/>
            </w:rPr>
            <w:instrText xml:space="preserve"> PAGEREF _Toc6218 \h </w:instrText>
          </w:r>
          <w:r>
            <w:rPr>
              <w:b w:val="0"/>
              <w:bCs w:val="0"/>
              <w:sz w:val="30"/>
              <w:szCs w:val="30"/>
            </w:rPr>
            <w:fldChar w:fldCharType="separate"/>
          </w:r>
          <w:r>
            <w:rPr>
              <w:b w:val="0"/>
              <w:bCs w:val="0"/>
              <w:sz w:val="30"/>
              <w:szCs w:val="30"/>
            </w:rPr>
            <w:t>20</w:t>
          </w:r>
          <w:r>
            <w:rPr>
              <w:b w:val="0"/>
              <w:bCs w:val="0"/>
              <w:sz w:val="30"/>
              <w:szCs w:val="30"/>
            </w:rPr>
            <w:fldChar w:fldCharType="end"/>
          </w:r>
          <w:r>
            <w:rPr>
              <w:rFonts w:hint="eastAsia"/>
              <w:b w:val="0"/>
              <w:bCs w:val="0"/>
              <w:sz w:val="30"/>
              <w:szCs w:val="30"/>
            </w:rPr>
            <w:fldChar w:fldCharType="end"/>
          </w:r>
        </w:p>
        <w:p w14:paraId="3F8D16B6">
          <w:pPr>
            <w:rPr>
              <w:rFonts w:hint="eastAsia" w:ascii="Times New Roman" w:hAnsi="Times New Roman" w:eastAsia="宋体" w:cs="Times New Roman"/>
              <w:kern w:val="2"/>
              <w:sz w:val="30"/>
              <w:szCs w:val="30"/>
              <w:lang w:val="en-US" w:eastAsia="zh-CN" w:bidi="ar-SA"/>
            </w:rPr>
          </w:pPr>
          <w:r>
            <w:rPr>
              <w:rFonts w:hint="eastAsia"/>
              <w:sz w:val="30"/>
              <w:szCs w:val="30"/>
            </w:rPr>
            <w:fldChar w:fldCharType="end"/>
          </w:r>
        </w:p>
      </w:sdtContent>
    </w:sdt>
    <w:p w14:paraId="720D4341">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一、收入支出决算总表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 xml:space="preserve">  20</w:t>
      </w:r>
    </w:p>
    <w:p w14:paraId="6981DAD2">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二、收入决算表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6F5BD211">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169F4D1B">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四、财政拨款收入支出决算总表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7E997697">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五、财政拨款支出决算明细表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6BFAF5AC">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六、一般公共预算财政拨款支出决算表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54A4DB10">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七、一般公共预算财政拨款支出决算明细表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53A7026E">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八、一般公共预算财政拨款基本支出决算明细表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18E697C9">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九、一般公共预算财政拨款项目支出决算表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756D7B6C">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十、政府性基金预算财政拨款收入支出决算表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09A15D72">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十一、国有资本经营预算财政拨款收入支出决算表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1F0D9721">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十二、国有资本经营预算财政拨款支出决算表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45D67F3F">
      <w:pPr>
        <w:pStyle w:val="12"/>
        <w:keepNext w:val="0"/>
        <w:keepLines w:val="0"/>
        <w:pageBreakBefore w:val="0"/>
        <w:widowControl w:val="0"/>
        <w:tabs>
          <w:tab w:val="right" w:leader="dot" w:pos="7980"/>
          <w:tab w:val="clear" w:pos="8296"/>
        </w:tabs>
        <w:kinsoku/>
        <w:wordWrap/>
        <w:overflowPunct/>
        <w:topLinePunct w:val="0"/>
        <w:autoSpaceDE/>
        <w:autoSpaceDN/>
        <w:bidi w:val="0"/>
        <w:adjustRightInd w:val="0"/>
        <w:snapToGrid w:val="0"/>
        <w:spacing w:line="600" w:lineRule="exact"/>
        <w:ind w:right="325" w:rightChars="155"/>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十三、财政拨款“三公”经费支出决算表</w:t>
      </w:r>
      <w:r>
        <w:rPr>
          <w:rFonts w:hint="eastAsia" w:ascii="仿宋" w:hAnsi="仿宋" w:eastAsia="仿宋" w:cs="仿宋"/>
          <w:sz w:val="30"/>
          <w:szCs w:val="30"/>
          <w:lang w:val="en-US" w:eastAsia="zh-CN"/>
        </w:rPr>
        <w:tab/>
      </w:r>
      <w:r>
        <w:rPr>
          <w:rFonts w:hint="eastAsia" w:ascii="仿宋" w:hAnsi="仿宋" w:eastAsia="仿宋" w:cs="仿宋"/>
          <w:sz w:val="30"/>
          <w:szCs w:val="30"/>
          <w:lang w:val="en-US" w:eastAsia="zh-CN"/>
        </w:rPr>
        <w:t>20</w:t>
      </w:r>
    </w:p>
    <w:p w14:paraId="61B2DFAC">
      <w:pPr>
        <w:bidi w:val="0"/>
        <w:rPr>
          <w:rFonts w:hint="default" w:eastAsia="宋体"/>
          <w:lang w:val="en-US" w:eastAsia="zh-CN"/>
        </w:rPr>
      </w:pPr>
    </w:p>
    <w:p w14:paraId="6B9792FE">
      <w:pPr>
        <w:pStyle w:val="2"/>
        <w:rPr>
          <w:rFonts w:hint="eastAsia"/>
          <w:sz w:val="30"/>
          <w:szCs w:val="30"/>
        </w:rPr>
      </w:pPr>
    </w:p>
    <w:p w14:paraId="1D181BE7">
      <w:pPr>
        <w:rPr>
          <w:rFonts w:hint="eastAsia" w:ascii="宋体" w:hAnsi="宋体" w:eastAsia="宋体" w:cs="宋体"/>
          <w:b w:val="0"/>
          <w:bCs w:val="0"/>
          <w:sz w:val="30"/>
          <w:szCs w:val="30"/>
        </w:rPr>
      </w:pPr>
    </w:p>
    <w:p w14:paraId="0813BBA0">
      <w:pPr>
        <w:pStyle w:val="3"/>
        <w:bidi w:val="0"/>
        <w:jc w:val="center"/>
        <w:rPr>
          <w:rFonts w:hint="eastAsia"/>
          <w:b/>
          <w:bCs/>
        </w:rPr>
      </w:pPr>
      <w:bookmarkStart w:id="15" w:name="_Toc1400"/>
      <w:bookmarkStart w:id="16" w:name="_Toc15396599"/>
      <w:bookmarkStart w:id="17" w:name="_Toc15377196"/>
      <w:r>
        <w:rPr>
          <w:rFonts w:hint="eastAsia"/>
          <w:b/>
          <w:bCs/>
        </w:rPr>
        <w:t>第一部分 单位概况</w:t>
      </w:r>
      <w:bookmarkEnd w:id="15"/>
      <w:bookmarkEnd w:id="16"/>
      <w:bookmarkEnd w:id="17"/>
    </w:p>
    <w:p w14:paraId="2D8690CF">
      <w:pPr>
        <w:pStyle w:val="4"/>
        <w:bidi w:val="0"/>
        <w:rPr>
          <w:rFonts w:hint="eastAsia"/>
        </w:rPr>
      </w:pPr>
      <w:bookmarkStart w:id="18" w:name="_Toc22597"/>
      <w:bookmarkStart w:id="19" w:name="_Toc15396600"/>
      <w:bookmarkStart w:id="20" w:name="_Toc15377197"/>
      <w:r>
        <w:rPr>
          <w:rFonts w:hint="eastAsia"/>
          <w:lang w:eastAsia="zh-CN"/>
        </w:rPr>
        <w:t>一、</w:t>
      </w:r>
      <w:r>
        <w:rPr>
          <w:rFonts w:hint="eastAsia"/>
        </w:rPr>
        <w:t>主要职责</w:t>
      </w:r>
      <w:bookmarkEnd w:id="18"/>
    </w:p>
    <w:p w14:paraId="2D57DC13">
      <w:pPr>
        <w:pStyle w:val="4"/>
        <w:numPr>
          <w:ilvl w:val="0"/>
          <w:numId w:val="0"/>
        </w:numPr>
        <w:ind w:firstLine="560" w:firstLineChars="200"/>
        <w:rPr>
          <w:rFonts w:hint="eastAsia" w:ascii="宋体" w:hAnsi="宋体" w:eastAsia="宋体" w:cs="宋体"/>
          <w:b w:val="0"/>
          <w:bCs w:val="0"/>
          <w:color w:val="000000"/>
          <w:sz w:val="28"/>
          <w:szCs w:val="28"/>
        </w:rPr>
      </w:pPr>
      <w:bookmarkStart w:id="21" w:name="_Toc3726"/>
      <w:r>
        <w:rPr>
          <w:rFonts w:hint="eastAsia" w:ascii="宋体" w:hAnsi="宋体" w:eastAsia="宋体" w:cs="宋体"/>
          <w:b w:val="0"/>
          <w:bCs w:val="0"/>
          <w:color w:val="000000"/>
          <w:sz w:val="28"/>
          <w:szCs w:val="28"/>
        </w:rPr>
        <w:t>大竹县高明初级中学是贯彻执行国家义务教育方面政策，承担辖区内适龄儿童初中义务教育学校。202</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rPr>
        <w:t>年工作的总体要求是：深入贯彻党的二十大精神，认真落实县委、县政府重大决策部署，全面深化新课程改革，大力实施高效课堂，围绕学校党支部确定的学校发展思路，坚持依法执教，保障少年儿童合法权益，促进学生健康成长、成材。</w:t>
      </w:r>
      <w:bookmarkEnd w:id="21"/>
    </w:p>
    <w:p w14:paraId="0C4EFD89">
      <w:pPr>
        <w:pStyle w:val="4"/>
        <w:bidi w:val="0"/>
        <w:rPr>
          <w:rFonts w:hint="eastAsia"/>
        </w:rPr>
      </w:pPr>
      <w:bookmarkStart w:id="22" w:name="_Toc83"/>
      <w:r>
        <w:rPr>
          <w:rFonts w:hint="eastAsia"/>
          <w:lang w:eastAsia="zh-CN"/>
        </w:rPr>
        <w:t>二、</w:t>
      </w:r>
      <w:r>
        <w:rPr>
          <w:rFonts w:hint="eastAsia"/>
        </w:rPr>
        <w:t>机构设置</w:t>
      </w:r>
      <w:bookmarkEnd w:id="22"/>
    </w:p>
    <w:p w14:paraId="51774EB7">
      <w:pPr>
        <w:pStyle w:val="33"/>
        <w:numPr>
          <w:ilvl w:val="0"/>
          <w:numId w:val="0"/>
        </w:numPr>
        <w:tabs>
          <w:tab w:val="right" w:leader="dot" w:pos="8306"/>
        </w:tabs>
        <w:ind w:firstLine="560" w:firstLineChars="200"/>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大竹县高明中学下属二级预算单位0个，其中行政单位0个，参照公务员法管理的事业单位0个，其他事业单位0个。</w:t>
      </w:r>
    </w:p>
    <w:p w14:paraId="69357B69">
      <w:pPr>
        <w:pStyle w:val="2"/>
        <w:spacing w:before="93"/>
        <w:ind w:firstLine="560" w:firstLineChars="200"/>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纳入大竹县高明中学2023年度部门决算编制范围的二级预算单位：无。</w:t>
      </w:r>
    </w:p>
    <w:p w14:paraId="7B917918">
      <w:pPr>
        <w:pStyle w:val="2"/>
        <w:spacing w:before="93"/>
        <w:ind w:firstLine="560" w:firstLineChars="200"/>
        <w:rPr>
          <w:rFonts w:hint="eastAsia" w:ascii="宋体" w:hAnsi="宋体" w:eastAsia="宋体" w:cs="宋体"/>
          <w:b w:val="0"/>
          <w:bCs w:val="0"/>
          <w:color w:val="000000"/>
          <w:kern w:val="0"/>
          <w:sz w:val="28"/>
          <w:szCs w:val="28"/>
          <w:lang w:val="en-US" w:eastAsia="zh-CN" w:bidi="ar-SA"/>
        </w:rPr>
      </w:pPr>
    </w:p>
    <w:p w14:paraId="26A234BB">
      <w:pPr>
        <w:pStyle w:val="2"/>
        <w:spacing w:before="93"/>
        <w:ind w:firstLine="560" w:firstLineChars="200"/>
        <w:rPr>
          <w:rFonts w:hint="eastAsia" w:ascii="宋体" w:hAnsi="宋体" w:eastAsia="宋体" w:cs="宋体"/>
          <w:b w:val="0"/>
          <w:bCs w:val="0"/>
          <w:color w:val="000000"/>
          <w:kern w:val="0"/>
          <w:sz w:val="28"/>
          <w:szCs w:val="28"/>
          <w:lang w:val="en-US" w:eastAsia="zh-CN" w:bidi="ar-SA"/>
        </w:rPr>
      </w:pPr>
    </w:p>
    <w:p w14:paraId="0E900500">
      <w:pPr>
        <w:pStyle w:val="2"/>
        <w:numPr>
          <w:ilvl w:val="0"/>
          <w:numId w:val="0"/>
        </w:numPr>
        <w:adjustRightInd w:val="0"/>
        <w:snapToGrid w:val="0"/>
        <w:spacing w:beforeLines="0" w:line="578" w:lineRule="exact"/>
        <w:ind w:leftChars="0"/>
        <w:outlineLvl w:val="9"/>
        <w:rPr>
          <w:rFonts w:hint="eastAsia" w:ascii="宋体" w:hAnsi="宋体" w:eastAsia="宋体" w:cs="宋体"/>
          <w:b w:val="0"/>
          <w:bCs w:val="0"/>
        </w:rPr>
      </w:pPr>
    </w:p>
    <w:p w14:paraId="4579B8C8">
      <w:pPr>
        <w:rPr>
          <w:rFonts w:hint="eastAsia" w:ascii="宋体" w:hAnsi="宋体" w:eastAsia="宋体" w:cs="宋体"/>
          <w:b w:val="0"/>
          <w:bCs w:val="0"/>
        </w:rPr>
      </w:pPr>
    </w:p>
    <w:bookmarkEnd w:id="19"/>
    <w:bookmarkEnd w:id="20"/>
    <w:p w14:paraId="52ADB9A3">
      <w:pPr>
        <w:pStyle w:val="3"/>
        <w:bidi w:val="0"/>
        <w:jc w:val="center"/>
        <w:rPr>
          <w:rFonts w:hint="eastAsia"/>
        </w:rPr>
      </w:pPr>
      <w:bookmarkStart w:id="23" w:name="_Toc19225"/>
      <w:bookmarkStart w:id="24" w:name="_Toc15377204"/>
      <w:bookmarkStart w:id="25" w:name="_Toc15396602"/>
      <w:r>
        <w:rPr>
          <w:rFonts w:hint="eastAsia"/>
        </w:rPr>
        <w:t>第二部分 2023年度单位决算情况说明</w:t>
      </w:r>
      <w:bookmarkEnd w:id="23"/>
      <w:bookmarkEnd w:id="24"/>
      <w:bookmarkEnd w:id="25"/>
    </w:p>
    <w:p w14:paraId="0A82608C">
      <w:pPr>
        <w:pStyle w:val="4"/>
        <w:bidi w:val="0"/>
        <w:rPr>
          <w:rFonts w:hint="eastAsia"/>
        </w:rPr>
      </w:pPr>
      <w:bookmarkStart w:id="26" w:name="_Toc12474"/>
      <w:bookmarkStart w:id="27" w:name="_Toc15396603"/>
      <w:bookmarkStart w:id="28" w:name="_Toc15377205"/>
      <w:r>
        <w:rPr>
          <w:rFonts w:hint="eastAsia"/>
          <w:lang w:eastAsia="zh-CN"/>
        </w:rPr>
        <w:t>一、</w:t>
      </w:r>
      <w:r>
        <w:rPr>
          <w:rFonts w:hint="eastAsia"/>
        </w:rPr>
        <w:t>收入支出决算总体情况说明</w:t>
      </w:r>
      <w:bookmarkEnd w:id="26"/>
      <w:bookmarkEnd w:id="27"/>
      <w:bookmarkEnd w:id="28"/>
    </w:p>
    <w:p w14:paraId="21BC25C5">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2023年度收、支总计均为902.38万元。与2022年度相比，收、支总计各增加</w:t>
      </w:r>
      <w:r>
        <w:rPr>
          <w:rFonts w:hint="eastAsia" w:ascii="宋体" w:hAnsi="宋体" w:eastAsia="宋体" w:cs="宋体"/>
          <w:b w:val="0"/>
          <w:bCs w:val="0"/>
          <w:sz w:val="28"/>
          <w:szCs w:val="28"/>
          <w:lang w:val="en-US" w:eastAsia="zh-CN"/>
        </w:rPr>
        <w:t>227.18</w:t>
      </w:r>
      <w:r>
        <w:rPr>
          <w:rFonts w:hint="eastAsia" w:ascii="宋体" w:hAnsi="宋体" w:eastAsia="宋体" w:cs="宋体"/>
          <w:b w:val="0"/>
          <w:bCs w:val="0"/>
          <w:sz w:val="28"/>
          <w:szCs w:val="28"/>
        </w:rPr>
        <w:t>万元，增长</w:t>
      </w:r>
      <w:r>
        <w:rPr>
          <w:rFonts w:hint="eastAsia" w:ascii="宋体" w:hAnsi="宋体" w:eastAsia="宋体" w:cs="宋体"/>
          <w:b w:val="0"/>
          <w:bCs w:val="0"/>
          <w:sz w:val="28"/>
          <w:szCs w:val="28"/>
          <w:lang w:val="en-US" w:eastAsia="zh-CN"/>
        </w:rPr>
        <w:t>33.65</w:t>
      </w:r>
      <w:r>
        <w:rPr>
          <w:rFonts w:hint="eastAsia" w:ascii="宋体" w:hAnsi="宋体" w:eastAsia="宋体" w:cs="宋体"/>
          <w:b w:val="0"/>
          <w:bCs w:val="0"/>
          <w:sz w:val="28"/>
          <w:szCs w:val="28"/>
        </w:rPr>
        <w:t>%。主要变动原因是</w:t>
      </w:r>
      <w:r>
        <w:rPr>
          <w:rFonts w:hint="eastAsia" w:ascii="宋体" w:hAnsi="宋体" w:eastAsia="宋体" w:cs="宋体"/>
          <w:b w:val="0"/>
          <w:bCs w:val="0"/>
          <w:color w:val="000000"/>
          <w:sz w:val="28"/>
          <w:szCs w:val="28"/>
          <w:u w:color="auto"/>
        </w:rPr>
        <w:t>202</w:t>
      </w:r>
      <w:r>
        <w:rPr>
          <w:rFonts w:hint="eastAsia" w:ascii="宋体" w:hAnsi="宋体" w:eastAsia="宋体" w:cs="宋体"/>
          <w:b w:val="0"/>
          <w:bCs w:val="0"/>
          <w:color w:val="000000"/>
          <w:sz w:val="28"/>
          <w:szCs w:val="28"/>
          <w:u w:color="auto"/>
          <w:lang w:val="en-US" w:eastAsia="zh-CN"/>
        </w:rPr>
        <w:t>3</w:t>
      </w:r>
      <w:r>
        <w:rPr>
          <w:rFonts w:hint="eastAsia" w:ascii="宋体" w:hAnsi="宋体" w:eastAsia="宋体" w:cs="宋体"/>
          <w:b w:val="0"/>
          <w:bCs w:val="0"/>
          <w:color w:val="000000"/>
          <w:sz w:val="28"/>
          <w:szCs w:val="28"/>
          <w:u w:color="auto"/>
        </w:rPr>
        <w:t>年财政拨款支出</w:t>
      </w:r>
      <w:r>
        <w:rPr>
          <w:rFonts w:hint="eastAsia" w:ascii="宋体" w:hAnsi="宋体" w:eastAsia="宋体" w:cs="宋体"/>
          <w:b w:val="0"/>
          <w:bCs w:val="0"/>
          <w:color w:val="000000"/>
          <w:sz w:val="28"/>
          <w:szCs w:val="28"/>
          <w:u w:color="auto"/>
          <w:lang w:eastAsia="zh-CN"/>
        </w:rPr>
        <w:t>增加</w:t>
      </w:r>
      <w:r>
        <w:rPr>
          <w:rFonts w:hint="eastAsia" w:ascii="宋体" w:hAnsi="宋体" w:eastAsia="宋体" w:cs="宋体"/>
          <w:b w:val="0"/>
          <w:bCs w:val="0"/>
          <w:sz w:val="28"/>
          <w:szCs w:val="28"/>
        </w:rPr>
        <w:t>。</w:t>
      </w:r>
    </w:p>
    <w:p w14:paraId="7AD54D57">
      <w:pPr>
        <w:pStyle w:val="2"/>
        <w:rPr>
          <w:rFonts w:hint="eastAsia" w:ascii="宋体" w:hAnsi="宋体" w:eastAsia="宋体" w:cs="宋体"/>
          <w:b w:val="0"/>
          <w:bCs w:val="0"/>
          <w:sz w:val="32"/>
          <w:szCs w:val="32"/>
        </w:rPr>
      </w:pPr>
      <w:r>
        <w:rPr>
          <w:rFonts w:hint="eastAsia" w:ascii="宋体" w:hAnsi="宋体" w:eastAsia="宋体" w:cs="宋体"/>
          <w:b w:val="0"/>
          <w:bCs w:val="0"/>
        </w:rPr>
        <w:drawing>
          <wp:inline distT="0" distB="0" distL="114300" distR="114300">
            <wp:extent cx="4826000" cy="2743200"/>
            <wp:effectExtent l="4445" t="4445" r="1587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882040">
      <w:pPr>
        <w:spacing w:line="600" w:lineRule="exact"/>
        <w:ind w:firstLine="1400" w:firstLineChars="500"/>
        <w:rPr>
          <w:rFonts w:hint="eastAsia" w:ascii="宋体" w:hAnsi="宋体" w:eastAsia="宋体" w:cs="宋体"/>
          <w:b w:val="0"/>
          <w:bCs w:val="0"/>
          <w:sz w:val="28"/>
          <w:szCs w:val="28"/>
        </w:rPr>
      </w:pPr>
      <w:r>
        <w:rPr>
          <w:rFonts w:hint="eastAsia" w:ascii="宋体" w:hAnsi="宋体" w:cs="宋体"/>
          <w:b w:val="0"/>
          <w:bCs w:val="0"/>
          <w:sz w:val="28"/>
          <w:szCs w:val="28"/>
          <w:lang w:eastAsia="zh-CN"/>
        </w:rPr>
        <w:t>（</w:t>
      </w:r>
      <w:r>
        <w:rPr>
          <w:rFonts w:hint="eastAsia" w:ascii="宋体" w:hAnsi="宋体" w:eastAsia="宋体" w:cs="宋体"/>
          <w:b w:val="0"/>
          <w:bCs w:val="0"/>
          <w:sz w:val="28"/>
          <w:szCs w:val="28"/>
        </w:rPr>
        <w:t>图1：收、支决算总计变动情况图）</w:t>
      </w:r>
    </w:p>
    <w:p w14:paraId="151F9B0A">
      <w:pPr>
        <w:pStyle w:val="4"/>
        <w:bidi w:val="0"/>
        <w:rPr>
          <w:rFonts w:hint="eastAsia"/>
        </w:rPr>
      </w:pPr>
      <w:bookmarkStart w:id="29" w:name="_Toc15377206"/>
      <w:bookmarkStart w:id="30" w:name="_Toc15396604"/>
      <w:bookmarkStart w:id="31" w:name="_Toc31592"/>
      <w:r>
        <w:rPr>
          <w:rFonts w:hint="eastAsia"/>
          <w:lang w:eastAsia="zh-CN"/>
        </w:rPr>
        <w:t>二、</w:t>
      </w:r>
      <w:r>
        <w:rPr>
          <w:rFonts w:hint="eastAsia"/>
        </w:rPr>
        <w:t>收入决算情况说明</w:t>
      </w:r>
      <w:bookmarkEnd w:id="29"/>
      <w:bookmarkEnd w:id="30"/>
      <w:bookmarkEnd w:id="31"/>
    </w:p>
    <w:p w14:paraId="5356F707">
      <w:pPr>
        <w:spacing w:line="600" w:lineRule="exact"/>
        <w:ind w:firstLine="560" w:firstLineChars="200"/>
        <w:outlineLvl w:val="1"/>
        <w:rPr>
          <w:rFonts w:hint="eastAsia" w:ascii="宋体" w:hAnsi="宋体" w:eastAsia="宋体" w:cs="宋体"/>
          <w:b w:val="0"/>
          <w:bCs w:val="0"/>
          <w:sz w:val="28"/>
          <w:szCs w:val="28"/>
          <w:lang w:eastAsia="zh-CN"/>
        </w:rPr>
      </w:pPr>
      <w:bookmarkStart w:id="32" w:name="_Toc89"/>
      <w:r>
        <w:rPr>
          <w:rFonts w:hint="eastAsia" w:ascii="宋体" w:hAnsi="宋体" w:eastAsia="宋体" w:cs="宋体"/>
          <w:b w:val="0"/>
          <w:bCs w:val="0"/>
          <w:sz w:val="28"/>
          <w:szCs w:val="28"/>
        </w:rPr>
        <w:t>2023年度本年收入合计867.18万元，其中：一般公共预算财政拨款收入867.18万元，占100%</w:t>
      </w:r>
      <w:bookmarkEnd w:id="32"/>
      <w:r>
        <w:rPr>
          <w:rFonts w:hint="eastAsia" w:ascii="宋体" w:hAnsi="宋体" w:cs="宋体"/>
          <w:b w:val="0"/>
          <w:bCs w:val="0"/>
          <w:sz w:val="28"/>
          <w:szCs w:val="28"/>
          <w:lang w:eastAsia="zh-CN"/>
        </w:rPr>
        <w:t>。</w:t>
      </w:r>
    </w:p>
    <w:p w14:paraId="17A747C6">
      <w:pPr>
        <w:pStyle w:val="2"/>
        <w:rPr>
          <w:rFonts w:hint="eastAsia" w:ascii="宋体" w:hAnsi="宋体" w:eastAsia="宋体" w:cs="宋体"/>
          <w:b w:val="0"/>
          <w:bCs w:val="0"/>
          <w:sz w:val="32"/>
          <w:szCs w:val="32"/>
        </w:rPr>
      </w:pPr>
      <w:r>
        <w:rPr>
          <w:rFonts w:hint="eastAsia" w:ascii="宋体" w:hAnsi="宋体" w:eastAsia="宋体" w:cs="宋体"/>
          <w:b w:val="0"/>
          <w:bCs w:val="0"/>
          <w:color w:val="FF0000"/>
          <w:sz w:val="32"/>
          <w:szCs w:val="32"/>
        </w:rPr>
        <w:drawing>
          <wp:inline distT="0" distB="0" distL="114300" distR="114300">
            <wp:extent cx="5332730" cy="3400425"/>
            <wp:effectExtent l="4445" t="4445" r="12065"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9B7BE5">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（图2：收入决算结构图）（饼状图）</w:t>
      </w:r>
    </w:p>
    <w:p w14:paraId="19AB2677">
      <w:pPr>
        <w:spacing w:line="600" w:lineRule="exact"/>
        <w:ind w:firstLine="640" w:firstLineChars="200"/>
        <w:rPr>
          <w:rFonts w:hint="eastAsia" w:ascii="宋体" w:hAnsi="宋体" w:eastAsia="宋体" w:cs="宋体"/>
          <w:b w:val="0"/>
          <w:bCs w:val="0"/>
          <w:sz w:val="32"/>
          <w:szCs w:val="32"/>
        </w:rPr>
      </w:pPr>
    </w:p>
    <w:p w14:paraId="69C81A2B">
      <w:pPr>
        <w:pStyle w:val="4"/>
        <w:bidi w:val="0"/>
        <w:rPr>
          <w:rFonts w:hint="eastAsia"/>
        </w:rPr>
      </w:pPr>
      <w:bookmarkStart w:id="33" w:name="_Toc15377207"/>
      <w:bookmarkStart w:id="34" w:name="_Toc15396605"/>
      <w:bookmarkStart w:id="35" w:name="_Toc31626"/>
      <w:r>
        <w:rPr>
          <w:rFonts w:hint="eastAsia"/>
          <w:lang w:eastAsia="zh-CN"/>
        </w:rPr>
        <w:t>三、</w:t>
      </w:r>
      <w:r>
        <w:rPr>
          <w:rFonts w:hint="eastAsia"/>
        </w:rPr>
        <w:t>支出决算情况说明</w:t>
      </w:r>
      <w:bookmarkEnd w:id="33"/>
      <w:bookmarkEnd w:id="34"/>
      <w:bookmarkEnd w:id="35"/>
    </w:p>
    <w:p w14:paraId="575A103A">
      <w:pPr>
        <w:spacing w:line="600" w:lineRule="exact"/>
        <w:ind w:firstLine="560" w:firstLineChars="200"/>
        <w:outlineLvl w:val="1"/>
        <w:rPr>
          <w:rFonts w:hint="eastAsia" w:ascii="宋体" w:hAnsi="宋体" w:eastAsia="宋体" w:cs="宋体"/>
          <w:b w:val="0"/>
          <w:bCs w:val="0"/>
          <w:sz w:val="28"/>
          <w:szCs w:val="28"/>
        </w:rPr>
      </w:pPr>
      <w:bookmarkStart w:id="36" w:name="_Toc283"/>
      <w:r>
        <w:rPr>
          <w:rFonts w:hint="eastAsia" w:ascii="宋体" w:hAnsi="宋体" w:eastAsia="宋体" w:cs="宋体"/>
          <w:b w:val="0"/>
          <w:bCs w:val="0"/>
          <w:sz w:val="28"/>
          <w:szCs w:val="28"/>
        </w:rPr>
        <w:t>2023年度本年支出合计902.38万元，其中：基本支出832.79万元，占92.28%；项目支出69.59万元，占7.71%。</w:t>
      </w:r>
      <w:bookmarkEnd w:id="36"/>
    </w:p>
    <w:p w14:paraId="4B7276D3">
      <w:pPr>
        <w:pStyle w:val="2"/>
        <w:rPr>
          <w:rFonts w:hint="eastAsia" w:ascii="宋体" w:hAnsi="宋体" w:eastAsia="宋体" w:cs="宋体"/>
          <w:b w:val="0"/>
          <w:bCs w:val="0"/>
          <w:sz w:val="32"/>
          <w:szCs w:val="32"/>
          <w:shd w:val="pct10" w:color="auto" w:fill="FFFFFF"/>
        </w:rPr>
      </w:pPr>
      <w:r>
        <w:rPr>
          <w:rFonts w:hint="eastAsia" w:ascii="宋体" w:hAnsi="宋体" w:eastAsia="宋体" w:cs="宋体"/>
          <w:b w:val="0"/>
          <w:bCs w:val="0"/>
        </w:rPr>
        <w:drawing>
          <wp:inline distT="0" distB="0" distL="114300" distR="114300">
            <wp:extent cx="4460240" cy="2567940"/>
            <wp:effectExtent l="4445" t="4445" r="15875" b="184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A336B9">
      <w:pPr>
        <w:spacing w:line="600" w:lineRule="exact"/>
        <w:ind w:firstLine="560" w:firstLineChars="20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（图3：支出决算结构图）</w:t>
      </w:r>
    </w:p>
    <w:p w14:paraId="3DF37D97">
      <w:pPr>
        <w:spacing w:line="600" w:lineRule="exact"/>
        <w:ind w:firstLine="640" w:firstLineChars="200"/>
        <w:rPr>
          <w:rFonts w:hint="eastAsia" w:ascii="宋体" w:hAnsi="宋体" w:eastAsia="宋体" w:cs="宋体"/>
          <w:b w:val="0"/>
          <w:bCs w:val="0"/>
          <w:sz w:val="32"/>
          <w:szCs w:val="32"/>
        </w:rPr>
      </w:pPr>
    </w:p>
    <w:p w14:paraId="2FD62812">
      <w:pPr>
        <w:pStyle w:val="4"/>
        <w:bidi w:val="0"/>
        <w:rPr>
          <w:rFonts w:hint="eastAsia"/>
        </w:rPr>
      </w:pPr>
      <w:bookmarkStart w:id="37" w:name="_Toc15396606"/>
      <w:bookmarkStart w:id="38" w:name="_Toc2920"/>
      <w:bookmarkStart w:id="39" w:name="_Toc15377208"/>
      <w:r>
        <w:rPr>
          <w:rFonts w:hint="eastAsia"/>
        </w:rPr>
        <w:t>四、财政拨款收入支出决算总体情况说明</w:t>
      </w:r>
      <w:bookmarkEnd w:id="37"/>
      <w:bookmarkEnd w:id="38"/>
      <w:bookmarkEnd w:id="39"/>
    </w:p>
    <w:p w14:paraId="7C4643CE">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2023年度财政拨款收、支总计均为902.38万元。与2022年度相比，财政拨款收、支总计各增加</w:t>
      </w:r>
      <w:r>
        <w:rPr>
          <w:rFonts w:hint="eastAsia" w:ascii="宋体" w:hAnsi="宋体" w:eastAsia="宋体" w:cs="宋体"/>
          <w:b w:val="0"/>
          <w:bCs w:val="0"/>
          <w:sz w:val="28"/>
          <w:szCs w:val="28"/>
          <w:lang w:val="en-US" w:eastAsia="zh-CN"/>
        </w:rPr>
        <w:t>227.18</w:t>
      </w:r>
      <w:r>
        <w:rPr>
          <w:rFonts w:hint="eastAsia" w:ascii="宋体" w:hAnsi="宋体" w:eastAsia="宋体" w:cs="宋体"/>
          <w:b w:val="0"/>
          <w:bCs w:val="0"/>
          <w:sz w:val="28"/>
          <w:szCs w:val="28"/>
        </w:rPr>
        <w:t>万元，增长</w:t>
      </w:r>
      <w:r>
        <w:rPr>
          <w:rFonts w:hint="eastAsia" w:ascii="宋体" w:hAnsi="宋体" w:eastAsia="宋体" w:cs="宋体"/>
          <w:b w:val="0"/>
          <w:bCs w:val="0"/>
          <w:sz w:val="28"/>
          <w:szCs w:val="28"/>
          <w:lang w:val="en-US" w:eastAsia="zh-CN"/>
        </w:rPr>
        <w:t>33.65</w:t>
      </w:r>
      <w:r>
        <w:rPr>
          <w:rFonts w:hint="eastAsia" w:ascii="宋体" w:hAnsi="宋体" w:eastAsia="宋体" w:cs="宋体"/>
          <w:b w:val="0"/>
          <w:bCs w:val="0"/>
          <w:sz w:val="28"/>
          <w:szCs w:val="28"/>
        </w:rPr>
        <w:t>%。主要变动原因是</w:t>
      </w:r>
      <w:r>
        <w:rPr>
          <w:rFonts w:hint="eastAsia" w:ascii="宋体" w:hAnsi="宋体" w:eastAsia="宋体" w:cs="宋体"/>
          <w:b w:val="0"/>
          <w:bCs w:val="0"/>
          <w:color w:val="000000"/>
          <w:sz w:val="28"/>
          <w:szCs w:val="28"/>
          <w:u w:color="auto"/>
        </w:rPr>
        <w:t>202</w:t>
      </w:r>
      <w:r>
        <w:rPr>
          <w:rFonts w:hint="eastAsia" w:ascii="宋体" w:hAnsi="宋体" w:eastAsia="宋体" w:cs="宋体"/>
          <w:b w:val="0"/>
          <w:bCs w:val="0"/>
          <w:color w:val="000000"/>
          <w:sz w:val="28"/>
          <w:szCs w:val="28"/>
          <w:u w:color="auto"/>
          <w:lang w:val="en-US" w:eastAsia="zh-CN"/>
        </w:rPr>
        <w:t>3</w:t>
      </w:r>
      <w:r>
        <w:rPr>
          <w:rFonts w:hint="eastAsia" w:ascii="宋体" w:hAnsi="宋体" w:eastAsia="宋体" w:cs="宋体"/>
          <w:b w:val="0"/>
          <w:bCs w:val="0"/>
          <w:color w:val="000000"/>
          <w:sz w:val="28"/>
          <w:szCs w:val="28"/>
          <w:u w:color="auto"/>
        </w:rPr>
        <w:t>年财政拨款</w:t>
      </w:r>
      <w:r>
        <w:rPr>
          <w:rFonts w:hint="eastAsia" w:ascii="宋体" w:hAnsi="宋体" w:eastAsia="宋体" w:cs="宋体"/>
          <w:b w:val="0"/>
          <w:bCs w:val="0"/>
          <w:color w:val="000000"/>
          <w:sz w:val="28"/>
          <w:szCs w:val="28"/>
          <w:u w:color="auto"/>
          <w:lang w:eastAsia="zh-CN"/>
        </w:rPr>
        <w:t>收入</w:t>
      </w:r>
      <w:r>
        <w:rPr>
          <w:rFonts w:hint="eastAsia" w:ascii="宋体" w:hAnsi="宋体" w:eastAsia="宋体" w:cs="宋体"/>
          <w:b w:val="0"/>
          <w:bCs w:val="0"/>
          <w:color w:val="000000"/>
          <w:sz w:val="28"/>
          <w:szCs w:val="28"/>
          <w:u w:color="auto"/>
        </w:rPr>
        <w:t>支出</w:t>
      </w:r>
      <w:r>
        <w:rPr>
          <w:rFonts w:hint="eastAsia" w:ascii="宋体" w:hAnsi="宋体" w:eastAsia="宋体" w:cs="宋体"/>
          <w:b w:val="0"/>
          <w:bCs w:val="0"/>
          <w:color w:val="000000"/>
          <w:sz w:val="28"/>
          <w:szCs w:val="28"/>
          <w:u w:color="auto"/>
          <w:lang w:eastAsia="zh-CN"/>
        </w:rPr>
        <w:t>增加。</w:t>
      </w:r>
    </w:p>
    <w:p w14:paraId="41528045">
      <w:pPr>
        <w:pStyle w:val="2"/>
        <w:rPr>
          <w:rFonts w:hint="eastAsia" w:ascii="宋体" w:hAnsi="宋体" w:eastAsia="宋体" w:cs="宋体"/>
          <w:b w:val="0"/>
          <w:bCs w:val="0"/>
          <w:sz w:val="28"/>
          <w:szCs w:val="28"/>
        </w:rPr>
      </w:pPr>
      <w:r>
        <w:rPr>
          <w:rFonts w:hint="eastAsia" w:ascii="宋体" w:hAnsi="宋体" w:eastAsia="宋体" w:cs="宋体"/>
          <w:b w:val="0"/>
          <w:bCs w:val="0"/>
          <w:sz w:val="28"/>
          <w:szCs w:val="28"/>
        </w:rPr>
        <w:drawing>
          <wp:inline distT="0" distB="0" distL="114300" distR="114300">
            <wp:extent cx="5000625" cy="2536825"/>
            <wp:effectExtent l="4445" t="4445" r="8890" b="1905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DD890C">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（图4：财政拨款收、支决算总计变动情况）（柱状图）</w:t>
      </w:r>
    </w:p>
    <w:p w14:paraId="294A4E9C">
      <w:pPr>
        <w:spacing w:line="600" w:lineRule="exact"/>
        <w:ind w:firstLine="640"/>
        <w:rPr>
          <w:rFonts w:hint="eastAsia" w:ascii="宋体" w:hAnsi="宋体" w:eastAsia="宋体" w:cs="宋体"/>
          <w:b w:val="0"/>
          <w:bCs w:val="0"/>
          <w:sz w:val="32"/>
          <w:szCs w:val="32"/>
        </w:rPr>
      </w:pPr>
    </w:p>
    <w:p w14:paraId="5C78590D">
      <w:pPr>
        <w:pStyle w:val="4"/>
        <w:bidi w:val="0"/>
        <w:rPr>
          <w:rFonts w:hint="eastAsia"/>
        </w:rPr>
      </w:pPr>
      <w:bookmarkStart w:id="40" w:name="_Toc23090"/>
      <w:bookmarkStart w:id="41" w:name="_Toc15396607"/>
      <w:bookmarkStart w:id="42" w:name="_Toc15377209"/>
      <w:r>
        <w:rPr>
          <w:rFonts w:hint="eastAsia"/>
        </w:rPr>
        <w:t>五、一般公共预算财政拨款支出决算情况说明</w:t>
      </w:r>
      <w:bookmarkEnd w:id="40"/>
      <w:bookmarkEnd w:id="41"/>
      <w:bookmarkEnd w:id="42"/>
    </w:p>
    <w:p w14:paraId="11A2DAF2">
      <w:pPr>
        <w:pStyle w:val="5"/>
        <w:bidi w:val="0"/>
        <w:rPr>
          <w:rFonts w:hint="eastAsia"/>
        </w:rPr>
      </w:pPr>
      <w:bookmarkStart w:id="43" w:name="_Toc10420"/>
      <w:bookmarkStart w:id="44" w:name="_Toc15377210"/>
      <w:r>
        <w:rPr>
          <w:rFonts w:hint="eastAsia"/>
        </w:rPr>
        <w:t>（一）一般公共预算财政拨款支出决算总体情况</w:t>
      </w:r>
      <w:bookmarkEnd w:id="43"/>
      <w:bookmarkEnd w:id="44"/>
    </w:p>
    <w:p w14:paraId="32A00942">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2023年度一般公共预算财政拨款支出902.38万元，占本年支出合计的100%。与2022年度相比，一般公共预算财政拨款支出增加</w:t>
      </w:r>
      <w:r>
        <w:rPr>
          <w:rFonts w:hint="eastAsia" w:ascii="宋体" w:hAnsi="宋体" w:eastAsia="宋体" w:cs="宋体"/>
          <w:b w:val="0"/>
          <w:bCs w:val="0"/>
          <w:sz w:val="28"/>
          <w:szCs w:val="28"/>
          <w:lang w:val="en-US" w:eastAsia="zh-CN"/>
        </w:rPr>
        <w:t>227.18</w:t>
      </w:r>
      <w:r>
        <w:rPr>
          <w:rFonts w:hint="eastAsia" w:ascii="宋体" w:hAnsi="宋体" w:eastAsia="宋体" w:cs="宋体"/>
          <w:b w:val="0"/>
          <w:bCs w:val="0"/>
          <w:sz w:val="28"/>
          <w:szCs w:val="28"/>
        </w:rPr>
        <w:t>万元，增长</w:t>
      </w:r>
      <w:r>
        <w:rPr>
          <w:rFonts w:hint="eastAsia" w:ascii="宋体" w:hAnsi="宋体" w:eastAsia="宋体" w:cs="宋体"/>
          <w:b w:val="0"/>
          <w:bCs w:val="0"/>
          <w:sz w:val="28"/>
          <w:szCs w:val="28"/>
          <w:lang w:val="en-US" w:eastAsia="zh-CN"/>
        </w:rPr>
        <w:t>33.65</w:t>
      </w:r>
      <w:r>
        <w:rPr>
          <w:rFonts w:hint="eastAsia" w:ascii="宋体" w:hAnsi="宋体" w:eastAsia="宋体" w:cs="宋体"/>
          <w:b w:val="0"/>
          <w:bCs w:val="0"/>
          <w:sz w:val="28"/>
          <w:szCs w:val="28"/>
        </w:rPr>
        <w:t>%。主要变动原因是</w:t>
      </w:r>
      <w:r>
        <w:rPr>
          <w:rFonts w:hint="eastAsia" w:ascii="宋体" w:hAnsi="宋体" w:eastAsia="宋体" w:cs="宋体"/>
          <w:b w:val="0"/>
          <w:bCs w:val="0"/>
          <w:color w:val="000000"/>
          <w:sz w:val="28"/>
          <w:szCs w:val="28"/>
          <w:u w:color="auto"/>
        </w:rPr>
        <w:t>202</w:t>
      </w:r>
      <w:r>
        <w:rPr>
          <w:rFonts w:hint="eastAsia" w:ascii="宋体" w:hAnsi="宋体" w:eastAsia="宋体" w:cs="宋体"/>
          <w:b w:val="0"/>
          <w:bCs w:val="0"/>
          <w:color w:val="000000"/>
          <w:sz w:val="28"/>
          <w:szCs w:val="28"/>
          <w:u w:color="auto"/>
          <w:lang w:val="en-US" w:eastAsia="zh-CN"/>
        </w:rPr>
        <w:t>3</w:t>
      </w:r>
      <w:r>
        <w:rPr>
          <w:rFonts w:hint="eastAsia" w:ascii="宋体" w:hAnsi="宋体" w:eastAsia="宋体" w:cs="宋体"/>
          <w:b w:val="0"/>
          <w:bCs w:val="0"/>
          <w:color w:val="000000"/>
          <w:sz w:val="28"/>
          <w:szCs w:val="28"/>
          <w:u w:color="auto"/>
        </w:rPr>
        <w:t>年财政拨款支出</w:t>
      </w:r>
      <w:r>
        <w:rPr>
          <w:rFonts w:hint="eastAsia" w:ascii="宋体" w:hAnsi="宋体" w:eastAsia="宋体" w:cs="宋体"/>
          <w:b w:val="0"/>
          <w:bCs w:val="0"/>
          <w:color w:val="000000"/>
          <w:sz w:val="28"/>
          <w:szCs w:val="28"/>
          <w:u w:color="auto"/>
          <w:lang w:eastAsia="zh-CN"/>
        </w:rPr>
        <w:t>增加。</w:t>
      </w:r>
    </w:p>
    <w:p w14:paraId="3C70A60E">
      <w:pPr>
        <w:pStyle w:val="2"/>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drawing>
          <wp:inline distT="0" distB="0" distL="0" distR="0">
            <wp:extent cx="5407660" cy="2976880"/>
            <wp:effectExtent l="4445" t="4445" r="13335"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B00AFC">
      <w:pPr>
        <w:spacing w:line="600" w:lineRule="exact"/>
        <w:ind w:left="640" w:hanging="560" w:hangingChars="200"/>
        <w:rPr>
          <w:rFonts w:hint="eastAsia" w:ascii="宋体" w:hAnsi="宋体" w:eastAsia="宋体" w:cs="宋体"/>
          <w:b w:val="0"/>
          <w:bCs w:val="0"/>
          <w:sz w:val="28"/>
          <w:szCs w:val="28"/>
        </w:rPr>
      </w:pPr>
      <w:r>
        <w:rPr>
          <w:rFonts w:hint="eastAsia" w:ascii="宋体" w:hAnsi="宋体" w:eastAsia="宋体" w:cs="宋体"/>
          <w:b w:val="0"/>
          <w:bCs w:val="0"/>
          <w:sz w:val="28"/>
          <w:szCs w:val="28"/>
        </w:rPr>
        <w:t>（图5：一般公共预算财政拨款支出决算变动情况）（柱状图）</w:t>
      </w:r>
      <w:bookmarkStart w:id="45" w:name="_Toc15377211"/>
    </w:p>
    <w:p w14:paraId="2FE76875">
      <w:pPr>
        <w:pStyle w:val="5"/>
        <w:bidi w:val="0"/>
        <w:rPr>
          <w:rFonts w:hint="eastAsia"/>
          <w:sz w:val="30"/>
          <w:szCs w:val="30"/>
        </w:rPr>
      </w:pPr>
      <w:bookmarkStart w:id="46" w:name="_Toc16576"/>
      <w:r>
        <w:rPr>
          <w:rFonts w:hint="eastAsia"/>
          <w:sz w:val="30"/>
          <w:szCs w:val="30"/>
        </w:rPr>
        <w:t>（二）一般公共预算财政拨款支出决算结构情况</w:t>
      </w:r>
      <w:bookmarkEnd w:id="45"/>
      <w:bookmarkEnd w:id="46"/>
    </w:p>
    <w:p w14:paraId="4D828D40">
      <w:pPr>
        <w:spacing w:line="600" w:lineRule="exact"/>
        <w:ind w:firstLine="640"/>
        <w:rPr>
          <w:rFonts w:hint="eastAsia" w:ascii="宋体" w:hAnsi="宋体" w:eastAsia="宋体" w:cs="宋体"/>
          <w:b w:val="0"/>
          <w:bCs w:val="0"/>
          <w:color w:val="000000"/>
          <w:sz w:val="28"/>
          <w:szCs w:val="28"/>
          <w:u w:color="auto"/>
        </w:rPr>
      </w:pPr>
      <w:r>
        <w:rPr>
          <w:rFonts w:hint="eastAsia" w:ascii="宋体" w:hAnsi="宋体" w:eastAsia="宋体" w:cs="宋体"/>
          <w:b w:val="0"/>
          <w:bCs w:val="0"/>
          <w:sz w:val="28"/>
          <w:szCs w:val="28"/>
        </w:rPr>
        <w:t>2023年度一般公共预算财政拨款支出902.38万元，主要用于以下方面:</w:t>
      </w:r>
      <w:r>
        <w:rPr>
          <w:rFonts w:hint="eastAsia" w:ascii="宋体" w:hAnsi="宋体" w:eastAsia="宋体" w:cs="宋体"/>
          <w:b w:val="0"/>
          <w:bCs w:val="0"/>
          <w:color w:val="000000"/>
          <w:sz w:val="28"/>
          <w:szCs w:val="28"/>
          <w:u w:color="auto"/>
        </w:rPr>
        <w:t>教育支出</w:t>
      </w:r>
      <w:r>
        <w:rPr>
          <w:rFonts w:hint="eastAsia" w:ascii="宋体" w:hAnsi="宋体" w:eastAsia="宋体" w:cs="宋体"/>
          <w:b w:val="0"/>
          <w:bCs w:val="0"/>
          <w:color w:val="000000"/>
          <w:sz w:val="28"/>
          <w:szCs w:val="28"/>
          <w:u w:color="auto"/>
          <w:lang w:val="en-US" w:eastAsia="zh-CN"/>
        </w:rPr>
        <w:t>743.96</w:t>
      </w:r>
      <w:r>
        <w:rPr>
          <w:rFonts w:hint="eastAsia" w:ascii="宋体" w:hAnsi="宋体" w:eastAsia="宋体" w:cs="宋体"/>
          <w:b w:val="0"/>
          <w:bCs w:val="0"/>
          <w:color w:val="000000"/>
          <w:sz w:val="28"/>
          <w:szCs w:val="28"/>
          <w:u w:color="auto"/>
        </w:rPr>
        <w:t>万元，占8</w:t>
      </w:r>
      <w:r>
        <w:rPr>
          <w:rFonts w:hint="eastAsia" w:ascii="宋体" w:hAnsi="宋体" w:eastAsia="宋体" w:cs="宋体"/>
          <w:b w:val="0"/>
          <w:bCs w:val="0"/>
          <w:color w:val="000000"/>
          <w:sz w:val="28"/>
          <w:szCs w:val="28"/>
          <w:u w:color="auto"/>
          <w:lang w:val="en-US" w:eastAsia="zh-CN"/>
        </w:rPr>
        <w:t>2.44</w:t>
      </w:r>
      <w:r>
        <w:rPr>
          <w:rFonts w:hint="eastAsia" w:ascii="宋体" w:hAnsi="宋体" w:eastAsia="宋体" w:cs="宋体"/>
          <w:b w:val="0"/>
          <w:bCs w:val="0"/>
          <w:color w:val="000000"/>
          <w:sz w:val="28"/>
          <w:szCs w:val="28"/>
          <w:u w:color="auto"/>
        </w:rPr>
        <w:t>%；社会保障和就业支出</w:t>
      </w:r>
      <w:r>
        <w:rPr>
          <w:rFonts w:hint="eastAsia" w:ascii="宋体" w:hAnsi="宋体" w:eastAsia="宋体" w:cs="宋体"/>
          <w:b w:val="0"/>
          <w:bCs w:val="0"/>
          <w:color w:val="000000"/>
          <w:sz w:val="28"/>
          <w:szCs w:val="28"/>
          <w:u w:color="auto"/>
          <w:lang w:val="en-US" w:eastAsia="zh-CN"/>
        </w:rPr>
        <w:t>73.01</w:t>
      </w:r>
      <w:r>
        <w:rPr>
          <w:rFonts w:hint="eastAsia" w:ascii="宋体" w:hAnsi="宋体" w:eastAsia="宋体" w:cs="宋体"/>
          <w:b w:val="0"/>
          <w:bCs w:val="0"/>
          <w:color w:val="000000"/>
          <w:sz w:val="28"/>
          <w:szCs w:val="28"/>
          <w:u w:color="auto"/>
        </w:rPr>
        <w:t>万元，占</w:t>
      </w:r>
      <w:r>
        <w:rPr>
          <w:rFonts w:hint="eastAsia" w:ascii="宋体" w:hAnsi="宋体" w:eastAsia="宋体" w:cs="宋体"/>
          <w:b w:val="0"/>
          <w:bCs w:val="0"/>
          <w:color w:val="000000"/>
          <w:sz w:val="28"/>
          <w:szCs w:val="28"/>
          <w:u w:color="auto"/>
          <w:lang w:val="en-US" w:eastAsia="zh-CN"/>
        </w:rPr>
        <w:t>8.09</w:t>
      </w:r>
      <w:r>
        <w:rPr>
          <w:rFonts w:hint="eastAsia" w:ascii="宋体" w:hAnsi="宋体" w:eastAsia="宋体" w:cs="宋体"/>
          <w:b w:val="0"/>
          <w:bCs w:val="0"/>
          <w:color w:val="000000"/>
          <w:sz w:val="28"/>
          <w:szCs w:val="28"/>
          <w:u w:color="auto"/>
        </w:rPr>
        <w:t>%；卫生健康支出</w:t>
      </w:r>
      <w:r>
        <w:rPr>
          <w:rFonts w:hint="eastAsia" w:ascii="宋体" w:hAnsi="宋体" w:eastAsia="宋体" w:cs="宋体"/>
          <w:b w:val="0"/>
          <w:bCs w:val="0"/>
          <w:color w:val="000000"/>
          <w:sz w:val="28"/>
          <w:szCs w:val="28"/>
          <w:u w:color="auto"/>
          <w:lang w:val="en-US" w:eastAsia="zh-CN"/>
        </w:rPr>
        <w:t>32.00</w:t>
      </w:r>
      <w:r>
        <w:rPr>
          <w:rFonts w:hint="eastAsia" w:ascii="宋体" w:hAnsi="宋体" w:eastAsia="宋体" w:cs="宋体"/>
          <w:b w:val="0"/>
          <w:bCs w:val="0"/>
          <w:color w:val="000000"/>
          <w:sz w:val="28"/>
          <w:szCs w:val="28"/>
          <w:u w:color="auto"/>
        </w:rPr>
        <w:t>万元，占</w:t>
      </w:r>
      <w:r>
        <w:rPr>
          <w:rFonts w:hint="eastAsia" w:ascii="宋体" w:hAnsi="宋体" w:eastAsia="宋体" w:cs="宋体"/>
          <w:b w:val="0"/>
          <w:bCs w:val="0"/>
          <w:color w:val="000000"/>
          <w:sz w:val="28"/>
          <w:szCs w:val="28"/>
          <w:u w:color="auto"/>
          <w:lang w:val="en-US" w:eastAsia="zh-CN"/>
        </w:rPr>
        <w:t>3.55</w:t>
      </w:r>
      <w:r>
        <w:rPr>
          <w:rFonts w:hint="eastAsia" w:ascii="宋体" w:hAnsi="宋体" w:eastAsia="宋体" w:cs="宋体"/>
          <w:b w:val="0"/>
          <w:bCs w:val="0"/>
          <w:color w:val="000000"/>
          <w:sz w:val="28"/>
          <w:szCs w:val="28"/>
          <w:u w:color="auto"/>
        </w:rPr>
        <w:t>%；住房保障支出</w:t>
      </w:r>
      <w:r>
        <w:rPr>
          <w:rFonts w:hint="eastAsia" w:ascii="宋体" w:hAnsi="宋体" w:eastAsia="宋体" w:cs="宋体"/>
          <w:b w:val="0"/>
          <w:bCs w:val="0"/>
          <w:color w:val="000000"/>
          <w:sz w:val="28"/>
          <w:szCs w:val="28"/>
          <w:u w:color="auto"/>
          <w:lang w:val="en-US" w:eastAsia="zh-CN"/>
        </w:rPr>
        <w:t>53.41</w:t>
      </w:r>
      <w:r>
        <w:rPr>
          <w:rFonts w:hint="eastAsia" w:ascii="宋体" w:hAnsi="宋体" w:eastAsia="宋体" w:cs="宋体"/>
          <w:b w:val="0"/>
          <w:bCs w:val="0"/>
          <w:color w:val="000000"/>
          <w:sz w:val="28"/>
          <w:szCs w:val="28"/>
          <w:u w:color="auto"/>
        </w:rPr>
        <w:t>万元，占</w:t>
      </w:r>
      <w:r>
        <w:rPr>
          <w:rFonts w:hint="eastAsia" w:ascii="宋体" w:hAnsi="宋体" w:eastAsia="宋体" w:cs="宋体"/>
          <w:b w:val="0"/>
          <w:bCs w:val="0"/>
          <w:color w:val="000000"/>
          <w:sz w:val="28"/>
          <w:szCs w:val="28"/>
          <w:u w:color="auto"/>
          <w:lang w:val="en-US" w:eastAsia="zh-CN"/>
        </w:rPr>
        <w:t>5.92</w:t>
      </w:r>
      <w:r>
        <w:rPr>
          <w:rFonts w:hint="eastAsia" w:ascii="宋体" w:hAnsi="宋体" w:eastAsia="宋体" w:cs="宋体"/>
          <w:b w:val="0"/>
          <w:bCs w:val="0"/>
          <w:color w:val="000000"/>
          <w:sz w:val="28"/>
          <w:szCs w:val="28"/>
          <w:u w:color="auto"/>
        </w:rPr>
        <w:t>%。</w:t>
      </w:r>
    </w:p>
    <w:p w14:paraId="4EA97A76">
      <w:pPr>
        <w:pStyle w:val="2"/>
        <w:rPr>
          <w:rFonts w:hint="eastAsia" w:ascii="宋体" w:hAnsi="宋体" w:eastAsia="宋体" w:cs="宋体"/>
          <w:b w:val="0"/>
          <w:bCs w:val="0"/>
          <w:sz w:val="28"/>
          <w:szCs w:val="28"/>
        </w:rPr>
      </w:pPr>
      <w:r>
        <w:rPr>
          <w:rFonts w:hint="eastAsia" w:ascii="宋体" w:hAnsi="宋体" w:eastAsia="宋体" w:cs="宋体"/>
          <w:b w:val="0"/>
          <w:bCs w:val="0"/>
          <w:sz w:val="28"/>
          <w:szCs w:val="28"/>
        </w:rPr>
        <w:drawing>
          <wp:inline distT="0" distB="0" distL="114300" distR="114300">
            <wp:extent cx="4826000" cy="2743200"/>
            <wp:effectExtent l="4445" t="4445" r="15875" b="1079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313373">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（图6：一般公共预算财政拨款支出决算结构）</w:t>
      </w:r>
    </w:p>
    <w:p w14:paraId="0CC5935E">
      <w:pPr>
        <w:spacing w:line="600" w:lineRule="exact"/>
        <w:ind w:firstLine="560" w:firstLineChars="200"/>
        <w:rPr>
          <w:rFonts w:hint="eastAsia" w:ascii="宋体" w:hAnsi="宋体" w:eastAsia="宋体" w:cs="宋体"/>
          <w:b w:val="0"/>
          <w:bCs w:val="0"/>
          <w:sz w:val="28"/>
          <w:szCs w:val="28"/>
        </w:rPr>
      </w:pPr>
    </w:p>
    <w:p w14:paraId="5479BCE0">
      <w:pPr>
        <w:pStyle w:val="5"/>
        <w:bidi w:val="0"/>
        <w:rPr>
          <w:rFonts w:hint="eastAsia"/>
          <w:sz w:val="30"/>
          <w:szCs w:val="30"/>
        </w:rPr>
      </w:pPr>
      <w:bookmarkStart w:id="47" w:name="_Toc4438"/>
      <w:bookmarkStart w:id="48" w:name="_Toc15377212"/>
      <w:r>
        <w:rPr>
          <w:rFonts w:hint="eastAsia"/>
          <w:sz w:val="30"/>
          <w:szCs w:val="30"/>
        </w:rPr>
        <w:t>（三）一般公共预算财政拨款支出决算具体情况</w:t>
      </w:r>
      <w:bookmarkEnd w:id="47"/>
      <w:bookmarkEnd w:id="48"/>
    </w:p>
    <w:p w14:paraId="675238A0">
      <w:pPr>
        <w:spacing w:line="600" w:lineRule="exact"/>
        <w:ind w:firstLine="560" w:firstLineChars="200"/>
        <w:outlineLvl w:val="1"/>
        <w:rPr>
          <w:rFonts w:hint="eastAsia" w:ascii="宋体" w:hAnsi="宋体" w:eastAsia="宋体" w:cs="宋体"/>
          <w:b w:val="0"/>
          <w:bCs w:val="0"/>
          <w:sz w:val="28"/>
          <w:szCs w:val="28"/>
        </w:rPr>
      </w:pPr>
      <w:bookmarkStart w:id="49" w:name="_Toc15378460"/>
      <w:bookmarkStart w:id="50" w:name="_Toc15377213"/>
      <w:bookmarkStart w:id="51" w:name="_Toc15377444"/>
      <w:bookmarkStart w:id="52" w:name="_Toc11029"/>
      <w:r>
        <w:rPr>
          <w:rFonts w:hint="eastAsia" w:ascii="宋体" w:hAnsi="宋体" w:eastAsia="宋体" w:cs="宋体"/>
          <w:b w:val="0"/>
          <w:bCs w:val="0"/>
          <w:sz w:val="28"/>
          <w:szCs w:val="28"/>
        </w:rPr>
        <w:t>2023年度一般公共预算支出决算数为902.38，</w:t>
      </w:r>
      <w:r>
        <w:rPr>
          <w:rStyle w:val="16"/>
          <w:rFonts w:hint="eastAsia" w:ascii="宋体" w:hAnsi="宋体" w:eastAsia="宋体" w:cs="宋体"/>
          <w:b w:val="0"/>
          <w:bCs w:val="0"/>
          <w:sz w:val="28"/>
          <w:szCs w:val="28"/>
        </w:rPr>
        <w:t>完成预算</w:t>
      </w:r>
      <w:r>
        <w:rPr>
          <w:rStyle w:val="16"/>
          <w:rFonts w:hint="eastAsia" w:ascii="宋体" w:hAnsi="宋体" w:eastAsia="宋体" w:cs="宋体"/>
          <w:b w:val="0"/>
          <w:bCs w:val="0"/>
          <w:sz w:val="28"/>
          <w:szCs w:val="28"/>
          <w:lang w:val="en-US" w:eastAsia="zh-CN"/>
        </w:rPr>
        <w:t>100</w:t>
      </w:r>
      <w:r>
        <w:rPr>
          <w:rStyle w:val="16"/>
          <w:rFonts w:hint="eastAsia" w:ascii="宋体" w:hAnsi="宋体" w:eastAsia="宋体" w:cs="宋体"/>
          <w:b w:val="0"/>
          <w:bCs w:val="0"/>
          <w:sz w:val="28"/>
          <w:szCs w:val="28"/>
        </w:rPr>
        <w:t>%。其中：</w:t>
      </w:r>
      <w:bookmarkEnd w:id="49"/>
      <w:bookmarkEnd w:id="50"/>
      <w:bookmarkEnd w:id="51"/>
      <w:bookmarkEnd w:id="52"/>
    </w:p>
    <w:p w14:paraId="14733E33">
      <w:pPr>
        <w:spacing w:line="600" w:lineRule="exact"/>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202</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u w:color="auto"/>
        </w:rPr>
        <w:t>年一般公共预算支出决算数为</w:t>
      </w:r>
      <w:r>
        <w:rPr>
          <w:rFonts w:hint="eastAsia" w:ascii="宋体" w:hAnsi="宋体" w:eastAsia="宋体" w:cs="宋体"/>
          <w:b w:val="0"/>
          <w:bCs w:val="0"/>
          <w:color w:val="000000"/>
          <w:sz w:val="28"/>
          <w:szCs w:val="28"/>
          <w:u w:color="auto"/>
          <w:lang w:val="en-US" w:eastAsia="zh-CN"/>
        </w:rPr>
        <w:t>902.38</w:t>
      </w:r>
      <w:r>
        <w:rPr>
          <w:rFonts w:hint="eastAsia" w:ascii="宋体" w:hAnsi="宋体" w:eastAsia="宋体" w:cs="宋体"/>
          <w:b w:val="0"/>
          <w:bCs w:val="0"/>
          <w:color w:val="000000"/>
          <w:sz w:val="28"/>
          <w:szCs w:val="28"/>
        </w:rPr>
        <w:t>万元，完成预算100%。其中：</w:t>
      </w:r>
    </w:p>
    <w:p w14:paraId="3583FBB0">
      <w:pPr>
        <w:numPr>
          <w:ilvl w:val="0"/>
          <w:numId w:val="1"/>
        </w:numPr>
        <w:spacing w:line="600" w:lineRule="exact"/>
        <w:ind w:firstLine="64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教育支出（205）普通教育（02）初中教育（03）支出决算</w:t>
      </w:r>
      <w:r>
        <w:rPr>
          <w:rFonts w:hint="eastAsia" w:ascii="宋体" w:hAnsi="宋体" w:eastAsia="宋体" w:cs="宋体"/>
          <w:b w:val="0"/>
          <w:bCs w:val="0"/>
          <w:color w:val="000000"/>
          <w:sz w:val="28"/>
          <w:szCs w:val="28"/>
          <w:lang w:val="en-US" w:eastAsia="zh-CN"/>
        </w:rPr>
        <w:t>743.96</w:t>
      </w:r>
      <w:r>
        <w:rPr>
          <w:rFonts w:hint="eastAsia" w:ascii="宋体" w:hAnsi="宋体" w:eastAsia="宋体" w:cs="宋体"/>
          <w:b w:val="0"/>
          <w:bCs w:val="0"/>
          <w:color w:val="000000"/>
          <w:sz w:val="28"/>
          <w:szCs w:val="28"/>
        </w:rPr>
        <w:t>万元，完成预算100%。</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2.社会保障和就业支出（208）行政事业单位养老支出（05）其他行政事业单位养老支出（</w:t>
      </w:r>
      <w:r>
        <w:rPr>
          <w:rFonts w:hint="eastAsia" w:ascii="宋体" w:hAnsi="宋体" w:eastAsia="宋体" w:cs="宋体"/>
          <w:b w:val="0"/>
          <w:bCs w:val="0"/>
          <w:color w:val="000000"/>
          <w:sz w:val="28"/>
          <w:szCs w:val="28"/>
          <w:lang w:val="en-US" w:eastAsia="zh-CN"/>
        </w:rPr>
        <w:t>99</w:t>
      </w:r>
      <w:r>
        <w:rPr>
          <w:rFonts w:hint="eastAsia" w:ascii="宋体" w:hAnsi="宋体" w:eastAsia="宋体" w:cs="宋体"/>
          <w:b w:val="0"/>
          <w:bCs w:val="0"/>
          <w:color w:val="000000"/>
          <w:sz w:val="28"/>
          <w:szCs w:val="28"/>
        </w:rPr>
        <w:t>）支出决算</w:t>
      </w:r>
      <w:r>
        <w:rPr>
          <w:rFonts w:hint="eastAsia" w:ascii="宋体" w:hAnsi="宋体" w:eastAsia="宋体" w:cs="宋体"/>
          <w:b w:val="0"/>
          <w:bCs w:val="0"/>
          <w:color w:val="000000"/>
          <w:sz w:val="28"/>
          <w:szCs w:val="28"/>
          <w:lang w:val="en-US" w:eastAsia="zh-CN"/>
        </w:rPr>
        <w:t>11.99</w:t>
      </w:r>
      <w:r>
        <w:rPr>
          <w:rFonts w:hint="eastAsia" w:ascii="宋体" w:hAnsi="宋体" w:eastAsia="宋体" w:cs="宋体"/>
          <w:b w:val="0"/>
          <w:bCs w:val="0"/>
          <w:color w:val="000000"/>
          <w:sz w:val="28"/>
          <w:szCs w:val="28"/>
        </w:rPr>
        <w:t>万元，完成预算100%。</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3.社会保障和就业支出（208）行政事业单位养老支出（0</w:t>
      </w:r>
      <w:r>
        <w:rPr>
          <w:rFonts w:hint="eastAsia" w:ascii="宋体" w:hAnsi="宋体" w:cs="宋体"/>
          <w:b w:val="0"/>
          <w:bCs w:val="0"/>
          <w:color w:val="000000"/>
          <w:sz w:val="28"/>
          <w:szCs w:val="28"/>
          <w:lang w:val="en-US" w:eastAsia="zh-CN"/>
        </w:rPr>
        <w:t>5</w:t>
      </w:r>
      <w:r>
        <w:rPr>
          <w:rFonts w:hint="eastAsia" w:ascii="宋体" w:hAnsi="宋体" w:eastAsia="宋体" w:cs="宋体"/>
          <w:b w:val="0"/>
          <w:bCs w:val="0"/>
          <w:color w:val="000000"/>
          <w:sz w:val="28"/>
          <w:szCs w:val="28"/>
        </w:rPr>
        <w:t>）机关事业单位基本养老保险缴费支出（05）支出决算</w:t>
      </w:r>
      <w:r>
        <w:rPr>
          <w:rFonts w:hint="eastAsia" w:ascii="宋体" w:hAnsi="宋体" w:eastAsia="宋体" w:cs="宋体"/>
          <w:b w:val="0"/>
          <w:bCs w:val="0"/>
          <w:color w:val="000000"/>
          <w:sz w:val="28"/>
          <w:szCs w:val="28"/>
          <w:lang w:val="en-US" w:eastAsia="zh-CN"/>
        </w:rPr>
        <w:t>56.41</w:t>
      </w:r>
      <w:r>
        <w:rPr>
          <w:rFonts w:hint="eastAsia" w:ascii="宋体" w:hAnsi="宋体" w:eastAsia="宋体" w:cs="宋体"/>
          <w:b w:val="0"/>
          <w:bCs w:val="0"/>
          <w:color w:val="000000"/>
          <w:sz w:val="28"/>
          <w:szCs w:val="28"/>
        </w:rPr>
        <w:t>万元，完成预算100%。</w:t>
      </w:r>
    </w:p>
    <w:p w14:paraId="214378CA">
      <w:pPr>
        <w:numPr>
          <w:ilvl w:val="0"/>
          <w:numId w:val="0"/>
        </w:numPr>
        <w:spacing w:line="600" w:lineRule="exact"/>
        <w:ind w:firstLine="280" w:firstLineChars="100"/>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rPr>
        <w:t xml:space="preserve"> 4.社会保障和就业支出（208）抚恤（0</w:t>
      </w:r>
      <w:r>
        <w:rPr>
          <w:rFonts w:hint="eastAsia" w:ascii="宋体" w:hAnsi="宋体" w:eastAsia="宋体" w:cs="宋体"/>
          <w:b w:val="0"/>
          <w:bCs w:val="0"/>
          <w:color w:val="000000"/>
          <w:sz w:val="28"/>
          <w:szCs w:val="28"/>
          <w:lang w:val="en-US" w:eastAsia="zh-CN"/>
        </w:rPr>
        <w:t>8</w:t>
      </w:r>
      <w:r>
        <w:rPr>
          <w:rFonts w:hint="eastAsia" w:ascii="宋体" w:hAnsi="宋体" w:eastAsia="宋体" w:cs="宋体"/>
          <w:b w:val="0"/>
          <w:bCs w:val="0"/>
          <w:color w:val="000000"/>
          <w:sz w:val="28"/>
          <w:szCs w:val="28"/>
        </w:rPr>
        <w:t>）死亡抚恤（</w:t>
      </w:r>
      <w:r>
        <w:rPr>
          <w:rFonts w:hint="eastAsia" w:ascii="宋体" w:hAnsi="宋体" w:eastAsia="宋体" w:cs="宋体"/>
          <w:b w:val="0"/>
          <w:bCs w:val="0"/>
          <w:color w:val="000000"/>
          <w:sz w:val="28"/>
          <w:szCs w:val="28"/>
          <w:lang w:val="en-US" w:eastAsia="zh-CN"/>
        </w:rPr>
        <w:t>01</w:t>
      </w:r>
      <w:r>
        <w:rPr>
          <w:rFonts w:hint="eastAsia" w:ascii="宋体" w:hAnsi="宋体" w:eastAsia="宋体" w:cs="宋体"/>
          <w:b w:val="0"/>
          <w:bCs w:val="0"/>
          <w:color w:val="000000"/>
          <w:sz w:val="28"/>
          <w:szCs w:val="28"/>
        </w:rPr>
        <w:t>）支出决算</w:t>
      </w:r>
      <w:r>
        <w:rPr>
          <w:rFonts w:hint="eastAsia" w:ascii="宋体" w:hAnsi="宋体" w:eastAsia="宋体" w:cs="宋体"/>
          <w:b w:val="0"/>
          <w:bCs w:val="0"/>
          <w:color w:val="000000"/>
          <w:sz w:val="28"/>
          <w:szCs w:val="28"/>
          <w:lang w:val="en-US" w:eastAsia="zh-CN"/>
        </w:rPr>
        <w:t>4.61</w:t>
      </w:r>
      <w:r>
        <w:rPr>
          <w:rFonts w:hint="eastAsia" w:ascii="宋体" w:hAnsi="宋体" w:eastAsia="宋体" w:cs="宋体"/>
          <w:b w:val="0"/>
          <w:bCs w:val="0"/>
          <w:color w:val="000000"/>
          <w:sz w:val="28"/>
          <w:szCs w:val="28"/>
        </w:rPr>
        <w:t>万元，完成预算100%。</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rPr>
        <w:t>.卫生健康支出（210）行政事业单位医疗（11）事业单位医疗（02）支出决算</w:t>
      </w:r>
      <w:r>
        <w:rPr>
          <w:rFonts w:hint="eastAsia" w:ascii="宋体" w:hAnsi="宋体" w:eastAsia="宋体" w:cs="宋体"/>
          <w:b w:val="0"/>
          <w:bCs w:val="0"/>
          <w:color w:val="000000"/>
          <w:sz w:val="28"/>
          <w:szCs w:val="28"/>
          <w:lang w:val="en-US" w:eastAsia="zh-CN"/>
        </w:rPr>
        <w:t>32.00</w:t>
      </w:r>
      <w:r>
        <w:rPr>
          <w:rFonts w:hint="eastAsia" w:ascii="宋体" w:hAnsi="宋体" w:eastAsia="宋体" w:cs="宋体"/>
          <w:b w:val="0"/>
          <w:bCs w:val="0"/>
          <w:color w:val="000000"/>
          <w:sz w:val="28"/>
          <w:szCs w:val="28"/>
        </w:rPr>
        <w:t>万元，完成预算100%。</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w:t>
      </w: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.住房保障支出（221）住房改革支出（02）住房公</w:t>
      </w:r>
      <w:r>
        <w:rPr>
          <w:rFonts w:hint="eastAsia" w:ascii="宋体" w:hAnsi="宋体" w:eastAsia="宋体" w:cs="宋体"/>
          <w:b w:val="0"/>
          <w:bCs w:val="0"/>
          <w:color w:val="000000"/>
          <w:sz w:val="28"/>
          <w:szCs w:val="28"/>
          <w:highlight w:val="none"/>
        </w:rPr>
        <w:t>积金（01）支出决算</w:t>
      </w:r>
      <w:r>
        <w:rPr>
          <w:rFonts w:hint="eastAsia" w:ascii="宋体" w:hAnsi="宋体" w:eastAsia="宋体" w:cs="宋体"/>
          <w:b w:val="0"/>
          <w:bCs w:val="0"/>
          <w:color w:val="000000"/>
          <w:sz w:val="28"/>
          <w:szCs w:val="28"/>
          <w:highlight w:val="none"/>
          <w:lang w:val="en-US" w:eastAsia="zh-CN"/>
        </w:rPr>
        <w:t>53.41</w:t>
      </w:r>
      <w:r>
        <w:rPr>
          <w:rFonts w:hint="eastAsia" w:ascii="宋体" w:hAnsi="宋体" w:eastAsia="宋体" w:cs="宋体"/>
          <w:b w:val="0"/>
          <w:bCs w:val="0"/>
          <w:color w:val="000000"/>
          <w:sz w:val="28"/>
          <w:szCs w:val="28"/>
          <w:highlight w:val="none"/>
        </w:rPr>
        <w:t>万元，完成预算100%。</w:t>
      </w:r>
    </w:p>
    <w:p w14:paraId="4B0B5DB0">
      <w:pPr>
        <w:pStyle w:val="4"/>
        <w:bidi w:val="0"/>
        <w:rPr>
          <w:rFonts w:hint="eastAsia"/>
        </w:rPr>
      </w:pPr>
      <w:bookmarkStart w:id="53" w:name="_Toc31295"/>
      <w:bookmarkStart w:id="54" w:name="_Toc15377214"/>
      <w:bookmarkStart w:id="55" w:name="_Toc15396608"/>
      <w:r>
        <w:rPr>
          <w:rFonts w:hint="eastAsia"/>
        </w:rPr>
        <w:t>六、一般公共预算财政拨款基本支出决算情况说明</w:t>
      </w:r>
      <w:bookmarkEnd w:id="53"/>
      <w:bookmarkEnd w:id="54"/>
      <w:bookmarkEnd w:id="55"/>
      <w:r>
        <w:rPr>
          <w:rFonts w:hint="eastAsia"/>
        </w:rPr>
        <w:tab/>
      </w:r>
    </w:p>
    <w:p w14:paraId="47F04947">
      <w:pPr>
        <w:spacing w:line="600" w:lineRule="exact"/>
        <w:ind w:firstLine="645"/>
        <w:rPr>
          <w:rFonts w:hint="eastAsia" w:ascii="宋体" w:hAnsi="宋体" w:eastAsia="宋体" w:cs="宋体"/>
          <w:b w:val="0"/>
          <w:bCs w:val="0"/>
          <w:sz w:val="28"/>
          <w:szCs w:val="28"/>
        </w:rPr>
      </w:pPr>
      <w:r>
        <w:rPr>
          <w:rFonts w:hint="eastAsia" w:ascii="宋体" w:hAnsi="宋体" w:eastAsia="宋体" w:cs="宋体"/>
          <w:b w:val="0"/>
          <w:bCs w:val="0"/>
          <w:sz w:val="28"/>
          <w:szCs w:val="28"/>
        </w:rPr>
        <w:t>2023年度一般公共预算财政拨款基本支出832.79万元，其中：</w:t>
      </w:r>
    </w:p>
    <w:p w14:paraId="2F6D115C">
      <w:pPr>
        <w:spacing w:line="600" w:lineRule="exact"/>
        <w:ind w:firstLine="640"/>
        <w:rPr>
          <w:rFonts w:hint="eastAsia" w:ascii="宋体" w:hAnsi="宋体" w:eastAsia="宋体" w:cs="宋体"/>
          <w:b w:val="0"/>
          <w:bCs w:val="0"/>
          <w:color w:val="000000"/>
          <w:sz w:val="28"/>
          <w:szCs w:val="28"/>
          <w:highlight w:val="none"/>
        </w:rPr>
      </w:pPr>
      <w:r>
        <w:rPr>
          <w:rFonts w:hint="eastAsia" w:ascii="宋体" w:hAnsi="宋体" w:eastAsia="宋体" w:cs="宋体"/>
          <w:b w:val="0"/>
          <w:bCs w:val="0"/>
          <w:sz w:val="28"/>
          <w:szCs w:val="28"/>
        </w:rPr>
        <w:t>人员经费728.55万元，主要包括：</w:t>
      </w:r>
      <w:r>
        <w:rPr>
          <w:rFonts w:hint="eastAsia" w:ascii="宋体" w:hAnsi="宋体" w:eastAsia="宋体" w:cs="宋体"/>
          <w:b w:val="0"/>
          <w:bCs w:val="0"/>
          <w:color w:val="000000"/>
          <w:sz w:val="28"/>
          <w:szCs w:val="28"/>
          <w:u w:color="auto"/>
        </w:rPr>
        <w:t>基本工资</w:t>
      </w:r>
      <w:r>
        <w:rPr>
          <w:rFonts w:hint="eastAsia" w:ascii="宋体" w:hAnsi="宋体" w:eastAsia="宋体" w:cs="宋体"/>
          <w:b w:val="0"/>
          <w:bCs w:val="0"/>
          <w:color w:val="000000"/>
          <w:sz w:val="28"/>
          <w:szCs w:val="28"/>
          <w:u w:color="auto"/>
          <w:lang w:val="en-US" w:eastAsia="zh-CN"/>
        </w:rPr>
        <w:t>207.69</w:t>
      </w:r>
      <w:r>
        <w:rPr>
          <w:rFonts w:hint="eastAsia" w:ascii="宋体" w:hAnsi="宋体" w:eastAsia="宋体" w:cs="宋体"/>
          <w:b w:val="0"/>
          <w:bCs w:val="0"/>
          <w:color w:val="000000"/>
          <w:sz w:val="28"/>
          <w:szCs w:val="28"/>
          <w:u w:color="auto"/>
        </w:rPr>
        <w:t>万元、津贴补贴</w:t>
      </w:r>
      <w:r>
        <w:rPr>
          <w:rFonts w:hint="eastAsia" w:ascii="宋体" w:hAnsi="宋体" w:eastAsia="宋体" w:cs="宋体"/>
          <w:b w:val="0"/>
          <w:bCs w:val="0"/>
          <w:color w:val="000000"/>
          <w:sz w:val="28"/>
          <w:szCs w:val="28"/>
          <w:u w:color="auto"/>
          <w:lang w:val="en-US" w:eastAsia="zh-CN"/>
        </w:rPr>
        <w:t>41.89</w:t>
      </w:r>
      <w:r>
        <w:rPr>
          <w:rFonts w:hint="eastAsia" w:ascii="宋体" w:hAnsi="宋体" w:eastAsia="宋体" w:cs="宋体"/>
          <w:b w:val="0"/>
          <w:bCs w:val="0"/>
          <w:color w:val="000000"/>
          <w:sz w:val="28"/>
          <w:szCs w:val="28"/>
          <w:u w:color="auto"/>
        </w:rPr>
        <w:t>万元、绩效工资</w:t>
      </w:r>
      <w:r>
        <w:rPr>
          <w:rFonts w:hint="eastAsia" w:ascii="宋体" w:hAnsi="宋体" w:eastAsia="宋体" w:cs="宋体"/>
          <w:b w:val="0"/>
          <w:bCs w:val="0"/>
          <w:color w:val="000000"/>
          <w:sz w:val="28"/>
          <w:szCs w:val="28"/>
          <w:u w:color="auto"/>
          <w:lang w:val="en-US" w:eastAsia="zh-CN"/>
        </w:rPr>
        <w:t>157.41</w:t>
      </w:r>
      <w:r>
        <w:rPr>
          <w:rFonts w:hint="eastAsia" w:ascii="宋体" w:hAnsi="宋体" w:eastAsia="宋体" w:cs="宋体"/>
          <w:b w:val="0"/>
          <w:bCs w:val="0"/>
          <w:color w:val="000000"/>
          <w:sz w:val="28"/>
          <w:szCs w:val="28"/>
          <w:u w:color="auto"/>
        </w:rPr>
        <w:t>万元、机关事业单位基本养老保险缴费</w:t>
      </w:r>
      <w:r>
        <w:rPr>
          <w:rFonts w:hint="eastAsia" w:ascii="宋体" w:hAnsi="宋体" w:eastAsia="宋体" w:cs="宋体"/>
          <w:b w:val="0"/>
          <w:bCs w:val="0"/>
          <w:color w:val="000000"/>
          <w:sz w:val="28"/>
          <w:szCs w:val="28"/>
          <w:highlight w:val="none"/>
          <w:u w:color="auto"/>
          <w:lang w:val="en-US" w:eastAsia="zh-CN"/>
        </w:rPr>
        <w:t>56.41</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auto"/>
          <w:sz w:val="28"/>
          <w:szCs w:val="28"/>
          <w:highlight w:val="none"/>
        </w:rPr>
        <w:t>抚恤金</w:t>
      </w:r>
      <w:r>
        <w:rPr>
          <w:rFonts w:hint="eastAsia" w:ascii="宋体" w:hAnsi="宋体" w:eastAsia="宋体" w:cs="宋体"/>
          <w:b w:val="0"/>
          <w:bCs w:val="0"/>
          <w:color w:val="000000"/>
          <w:sz w:val="28"/>
          <w:szCs w:val="28"/>
          <w:u w:color="auto"/>
          <w:lang w:val="en-US" w:eastAsia="zh-CN"/>
        </w:rPr>
        <w:t>4.61</w:t>
      </w:r>
      <w:r>
        <w:rPr>
          <w:rFonts w:hint="eastAsia" w:ascii="宋体" w:hAnsi="宋体" w:eastAsia="宋体" w:cs="宋体"/>
          <w:b w:val="0"/>
          <w:bCs w:val="0"/>
          <w:color w:val="000000"/>
          <w:sz w:val="28"/>
          <w:szCs w:val="28"/>
          <w:u w:color="auto"/>
        </w:rPr>
        <w:t>、职工基本医疗保险缴费</w:t>
      </w:r>
      <w:r>
        <w:rPr>
          <w:rFonts w:hint="eastAsia" w:ascii="宋体" w:hAnsi="宋体" w:eastAsia="宋体" w:cs="宋体"/>
          <w:b w:val="0"/>
          <w:bCs w:val="0"/>
          <w:color w:val="000000"/>
          <w:sz w:val="28"/>
          <w:szCs w:val="28"/>
          <w:u w:color="auto"/>
          <w:lang w:val="en-US" w:eastAsia="zh-CN"/>
        </w:rPr>
        <w:t>32.00</w:t>
      </w:r>
      <w:r>
        <w:rPr>
          <w:rFonts w:hint="eastAsia" w:ascii="宋体" w:hAnsi="宋体" w:eastAsia="宋体" w:cs="宋体"/>
          <w:b w:val="0"/>
          <w:bCs w:val="0"/>
          <w:color w:val="000000"/>
          <w:sz w:val="28"/>
          <w:szCs w:val="28"/>
          <w:u w:color="auto"/>
        </w:rPr>
        <w:t>万元、住房公积金</w:t>
      </w:r>
      <w:r>
        <w:rPr>
          <w:rFonts w:hint="eastAsia" w:ascii="宋体" w:hAnsi="宋体" w:eastAsia="宋体" w:cs="宋体"/>
          <w:b w:val="0"/>
          <w:bCs w:val="0"/>
          <w:color w:val="000000"/>
          <w:sz w:val="28"/>
          <w:szCs w:val="28"/>
          <w:u w:color="auto"/>
          <w:lang w:val="en-US" w:eastAsia="zh-CN"/>
        </w:rPr>
        <w:t>53.41</w:t>
      </w:r>
      <w:r>
        <w:rPr>
          <w:rFonts w:hint="eastAsia" w:ascii="宋体" w:hAnsi="宋体" w:eastAsia="宋体" w:cs="宋体"/>
          <w:b w:val="0"/>
          <w:bCs w:val="0"/>
          <w:color w:val="000000"/>
          <w:sz w:val="28"/>
          <w:szCs w:val="28"/>
          <w:u w:color="auto"/>
        </w:rPr>
        <w:t>万元、其他工资福利支出</w:t>
      </w:r>
      <w:r>
        <w:rPr>
          <w:rFonts w:hint="eastAsia" w:ascii="宋体" w:hAnsi="宋体" w:eastAsia="宋体" w:cs="宋体"/>
          <w:b w:val="0"/>
          <w:bCs w:val="0"/>
          <w:color w:val="000000"/>
          <w:sz w:val="28"/>
          <w:szCs w:val="28"/>
          <w:u w:color="auto"/>
          <w:lang w:val="en-US" w:eastAsia="zh-CN"/>
        </w:rPr>
        <w:t>163.12</w:t>
      </w:r>
      <w:r>
        <w:rPr>
          <w:rFonts w:hint="eastAsia" w:ascii="宋体" w:hAnsi="宋体" w:eastAsia="宋体" w:cs="宋体"/>
          <w:b w:val="0"/>
          <w:bCs w:val="0"/>
          <w:color w:val="000000"/>
          <w:sz w:val="28"/>
          <w:szCs w:val="28"/>
          <w:u w:color="auto"/>
        </w:rPr>
        <w:t>万元、生活补助</w:t>
      </w:r>
      <w:r>
        <w:rPr>
          <w:rFonts w:hint="eastAsia" w:ascii="宋体" w:hAnsi="宋体" w:eastAsia="宋体" w:cs="宋体"/>
          <w:b w:val="0"/>
          <w:bCs w:val="0"/>
          <w:color w:val="000000"/>
          <w:sz w:val="28"/>
          <w:szCs w:val="28"/>
          <w:u w:color="auto"/>
          <w:lang w:val="en-US" w:eastAsia="zh-CN"/>
        </w:rPr>
        <w:t>11.99</w:t>
      </w:r>
      <w:r>
        <w:rPr>
          <w:rFonts w:hint="eastAsia" w:ascii="宋体" w:hAnsi="宋体" w:eastAsia="宋体" w:cs="宋体"/>
          <w:b w:val="0"/>
          <w:bCs w:val="0"/>
          <w:color w:val="000000"/>
          <w:sz w:val="28"/>
          <w:szCs w:val="28"/>
          <w:u w:color="auto"/>
        </w:rPr>
        <w:t>万元、奖励金</w:t>
      </w:r>
      <w:r>
        <w:rPr>
          <w:rFonts w:hint="eastAsia" w:ascii="宋体" w:hAnsi="宋体" w:eastAsia="宋体" w:cs="宋体"/>
          <w:b w:val="0"/>
          <w:bCs w:val="0"/>
          <w:color w:val="000000"/>
          <w:sz w:val="28"/>
          <w:szCs w:val="28"/>
          <w:highlight w:val="none"/>
          <w:u w:color="auto"/>
        </w:rPr>
        <w:t>0.</w:t>
      </w:r>
      <w:r>
        <w:rPr>
          <w:rFonts w:hint="eastAsia" w:ascii="宋体" w:hAnsi="宋体" w:eastAsia="宋体" w:cs="宋体"/>
          <w:b w:val="0"/>
          <w:bCs w:val="0"/>
          <w:color w:val="000000"/>
          <w:sz w:val="28"/>
          <w:szCs w:val="28"/>
          <w:highlight w:val="none"/>
          <w:u w:color="auto"/>
          <w:lang w:val="en-US" w:eastAsia="zh-CN"/>
        </w:rPr>
        <w:t>02</w:t>
      </w:r>
      <w:r>
        <w:rPr>
          <w:rFonts w:hint="eastAsia" w:ascii="宋体" w:hAnsi="宋体" w:eastAsia="宋体" w:cs="宋体"/>
          <w:b w:val="0"/>
          <w:bCs w:val="0"/>
          <w:color w:val="000000"/>
          <w:sz w:val="28"/>
          <w:szCs w:val="28"/>
          <w:highlight w:val="none"/>
          <w:u w:color="auto"/>
        </w:rPr>
        <w:t>万元。</w:t>
      </w:r>
    </w:p>
    <w:p w14:paraId="7BCC82B6">
      <w:pPr>
        <w:spacing w:line="600" w:lineRule="exact"/>
        <w:ind w:firstLine="640"/>
        <w:rPr>
          <w:rFonts w:hint="eastAsia" w:ascii="宋体" w:hAnsi="宋体" w:eastAsia="宋体" w:cs="宋体"/>
          <w:b w:val="0"/>
          <w:bCs w:val="0"/>
          <w:color w:val="000000"/>
          <w:sz w:val="28"/>
          <w:szCs w:val="28"/>
        </w:rPr>
      </w:pP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　　公用经费104.24万元，主要包括：</w:t>
      </w:r>
      <w:r>
        <w:rPr>
          <w:rFonts w:hint="eastAsia" w:ascii="宋体" w:hAnsi="宋体" w:eastAsia="宋体" w:cs="宋体"/>
          <w:b w:val="0"/>
          <w:bCs w:val="0"/>
          <w:color w:val="000000"/>
          <w:sz w:val="28"/>
          <w:szCs w:val="28"/>
          <w:u w:color="auto"/>
        </w:rPr>
        <w:t>办公费</w:t>
      </w:r>
      <w:r>
        <w:rPr>
          <w:rFonts w:hint="eastAsia" w:ascii="宋体" w:hAnsi="宋体" w:eastAsia="宋体" w:cs="宋体"/>
          <w:b w:val="0"/>
          <w:bCs w:val="0"/>
          <w:color w:val="000000"/>
          <w:sz w:val="28"/>
          <w:szCs w:val="28"/>
          <w:u w:color="auto"/>
          <w:lang w:val="en-US" w:eastAsia="zh-CN"/>
        </w:rPr>
        <w:t>42.71</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印刷费</w:t>
      </w:r>
      <w:r>
        <w:rPr>
          <w:rFonts w:hint="eastAsia" w:ascii="宋体" w:hAnsi="宋体" w:eastAsia="宋体" w:cs="宋体"/>
          <w:b w:val="0"/>
          <w:bCs w:val="0"/>
          <w:color w:val="000000"/>
          <w:sz w:val="28"/>
          <w:szCs w:val="28"/>
          <w:u w:color="auto"/>
          <w:lang w:val="en-US" w:eastAsia="zh-CN"/>
        </w:rPr>
        <w:t>0.82</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水</w:t>
      </w:r>
      <w:r>
        <w:rPr>
          <w:rFonts w:hint="eastAsia" w:ascii="宋体" w:hAnsi="宋体" w:eastAsia="宋体" w:cs="宋体"/>
          <w:b w:val="0"/>
          <w:bCs w:val="0"/>
          <w:color w:val="000000"/>
          <w:sz w:val="28"/>
          <w:szCs w:val="28"/>
          <w:u w:color="auto"/>
        </w:rPr>
        <w:t>费</w:t>
      </w:r>
      <w:r>
        <w:rPr>
          <w:rFonts w:hint="eastAsia" w:ascii="宋体" w:hAnsi="宋体" w:eastAsia="宋体" w:cs="宋体"/>
          <w:b w:val="0"/>
          <w:bCs w:val="0"/>
          <w:color w:val="000000"/>
          <w:sz w:val="28"/>
          <w:szCs w:val="28"/>
          <w:u w:color="auto"/>
          <w:lang w:val="en-US" w:eastAsia="zh-CN"/>
        </w:rPr>
        <w:t>2.03</w:t>
      </w:r>
      <w:r>
        <w:rPr>
          <w:rFonts w:hint="eastAsia" w:ascii="宋体" w:hAnsi="宋体" w:eastAsia="宋体" w:cs="宋体"/>
          <w:b w:val="0"/>
          <w:bCs w:val="0"/>
          <w:color w:val="000000"/>
          <w:sz w:val="28"/>
          <w:szCs w:val="28"/>
          <w:u w:color="auto"/>
        </w:rPr>
        <w:t>万元、电费</w:t>
      </w:r>
      <w:r>
        <w:rPr>
          <w:rFonts w:hint="eastAsia" w:ascii="宋体" w:hAnsi="宋体" w:eastAsia="宋体" w:cs="宋体"/>
          <w:b w:val="0"/>
          <w:bCs w:val="0"/>
          <w:color w:val="000000"/>
          <w:sz w:val="28"/>
          <w:szCs w:val="28"/>
          <w:u w:color="auto"/>
          <w:lang w:val="en-US" w:eastAsia="zh-CN"/>
        </w:rPr>
        <w:t>5.4</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邮电费</w:t>
      </w:r>
      <w:r>
        <w:rPr>
          <w:rFonts w:hint="eastAsia" w:ascii="宋体" w:hAnsi="宋体" w:eastAsia="宋体" w:cs="宋体"/>
          <w:b w:val="0"/>
          <w:bCs w:val="0"/>
          <w:color w:val="000000"/>
          <w:sz w:val="28"/>
          <w:szCs w:val="28"/>
          <w:u w:color="auto"/>
          <w:lang w:val="en-US" w:eastAsia="zh-CN"/>
        </w:rPr>
        <w:t>1.00</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差旅费</w:t>
      </w:r>
      <w:r>
        <w:rPr>
          <w:rFonts w:hint="eastAsia" w:ascii="宋体" w:hAnsi="宋体" w:eastAsia="宋体" w:cs="宋体"/>
          <w:b w:val="0"/>
          <w:bCs w:val="0"/>
          <w:color w:val="000000"/>
          <w:sz w:val="28"/>
          <w:szCs w:val="28"/>
          <w:u w:color="auto"/>
          <w:lang w:val="en-US" w:eastAsia="zh-CN"/>
        </w:rPr>
        <w:t>11.74万元</w:t>
      </w:r>
      <w:r>
        <w:rPr>
          <w:rFonts w:hint="eastAsia" w:ascii="宋体" w:hAnsi="宋体" w:eastAsia="宋体" w:cs="宋体"/>
          <w:b w:val="0"/>
          <w:bCs w:val="0"/>
          <w:color w:val="000000"/>
          <w:sz w:val="28"/>
          <w:szCs w:val="28"/>
          <w:u w:color="auto"/>
        </w:rPr>
        <w:t>、</w:t>
      </w:r>
      <w:r>
        <w:rPr>
          <w:rFonts w:hint="eastAsia" w:ascii="宋体" w:hAnsi="宋体" w:eastAsia="宋体" w:cs="宋体"/>
          <w:b w:val="0"/>
          <w:bCs w:val="0"/>
          <w:color w:val="auto"/>
          <w:sz w:val="28"/>
          <w:szCs w:val="28"/>
          <w:highlight w:val="none"/>
        </w:rPr>
        <w:t>维修（护）费</w:t>
      </w:r>
      <w:r>
        <w:rPr>
          <w:rFonts w:hint="eastAsia" w:ascii="宋体" w:hAnsi="宋体" w:eastAsia="宋体" w:cs="宋体"/>
          <w:b w:val="0"/>
          <w:bCs w:val="0"/>
          <w:color w:val="000000"/>
          <w:sz w:val="28"/>
          <w:szCs w:val="28"/>
          <w:u w:color="auto"/>
          <w:lang w:val="en-US" w:eastAsia="zh-CN"/>
        </w:rPr>
        <w:t>7.88</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会议费</w:t>
      </w:r>
      <w:r>
        <w:rPr>
          <w:rFonts w:hint="eastAsia" w:ascii="宋体" w:hAnsi="宋体" w:eastAsia="宋体" w:cs="宋体"/>
          <w:b w:val="0"/>
          <w:bCs w:val="0"/>
          <w:color w:val="000000"/>
          <w:sz w:val="28"/>
          <w:szCs w:val="28"/>
          <w:u w:color="auto"/>
          <w:lang w:val="en-US" w:eastAsia="zh-CN"/>
        </w:rPr>
        <w:t>0.01</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000000"/>
          <w:sz w:val="28"/>
          <w:szCs w:val="28"/>
          <w:u w:color="auto"/>
          <w:lang w:eastAsia="zh-CN"/>
        </w:rPr>
        <w:t>劳务费</w:t>
      </w:r>
      <w:r>
        <w:rPr>
          <w:rFonts w:hint="eastAsia" w:ascii="宋体" w:hAnsi="宋体" w:eastAsia="宋体" w:cs="宋体"/>
          <w:b w:val="0"/>
          <w:bCs w:val="0"/>
          <w:color w:val="000000"/>
          <w:sz w:val="28"/>
          <w:szCs w:val="28"/>
          <w:u w:color="auto"/>
          <w:lang w:val="en-US" w:eastAsia="zh-CN"/>
        </w:rPr>
        <w:t>10.69</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auto"/>
          <w:sz w:val="28"/>
          <w:szCs w:val="28"/>
          <w:highlight w:val="none"/>
        </w:rPr>
        <w:t>工会经费</w:t>
      </w:r>
      <w:r>
        <w:rPr>
          <w:rFonts w:hint="eastAsia" w:ascii="宋体" w:hAnsi="宋体" w:eastAsia="宋体" w:cs="宋体"/>
          <w:b w:val="0"/>
          <w:bCs w:val="0"/>
          <w:color w:val="auto"/>
          <w:sz w:val="28"/>
          <w:szCs w:val="28"/>
          <w:highlight w:val="none"/>
          <w:lang w:val="en-US" w:eastAsia="zh-CN"/>
        </w:rPr>
        <w:t>6.07</w:t>
      </w:r>
      <w:r>
        <w:rPr>
          <w:rFonts w:hint="eastAsia" w:ascii="宋体" w:hAnsi="宋体" w:eastAsia="宋体" w:cs="宋体"/>
          <w:b w:val="0"/>
          <w:bCs w:val="0"/>
          <w:color w:val="000000"/>
          <w:sz w:val="28"/>
          <w:szCs w:val="28"/>
          <w:u w:color="auto"/>
        </w:rPr>
        <w:t>万元、福利费</w:t>
      </w:r>
      <w:r>
        <w:rPr>
          <w:rFonts w:hint="eastAsia" w:ascii="宋体" w:hAnsi="宋体" w:eastAsia="宋体" w:cs="宋体"/>
          <w:b w:val="0"/>
          <w:bCs w:val="0"/>
          <w:color w:val="000000"/>
          <w:sz w:val="28"/>
          <w:szCs w:val="28"/>
          <w:u w:color="auto"/>
          <w:lang w:val="en-US" w:eastAsia="zh-CN"/>
        </w:rPr>
        <w:t>11.09</w:t>
      </w:r>
      <w:r>
        <w:rPr>
          <w:rFonts w:hint="eastAsia" w:ascii="宋体" w:hAnsi="宋体" w:eastAsia="宋体" w:cs="宋体"/>
          <w:b w:val="0"/>
          <w:bCs w:val="0"/>
          <w:color w:val="000000"/>
          <w:sz w:val="28"/>
          <w:szCs w:val="28"/>
          <w:u w:color="auto"/>
        </w:rPr>
        <w:t>万元、</w:t>
      </w:r>
      <w:r>
        <w:rPr>
          <w:rFonts w:hint="eastAsia" w:ascii="宋体" w:hAnsi="宋体" w:eastAsia="宋体" w:cs="宋体"/>
          <w:b w:val="0"/>
          <w:bCs w:val="0"/>
          <w:color w:val="auto"/>
          <w:sz w:val="28"/>
          <w:szCs w:val="28"/>
          <w:highlight w:val="none"/>
        </w:rPr>
        <w:t>其他交通费</w:t>
      </w:r>
      <w:r>
        <w:rPr>
          <w:rFonts w:hint="eastAsia" w:ascii="宋体" w:hAnsi="宋体" w:eastAsia="宋体" w:cs="宋体"/>
          <w:b w:val="0"/>
          <w:bCs w:val="0"/>
          <w:color w:val="auto"/>
          <w:sz w:val="28"/>
          <w:szCs w:val="28"/>
          <w:highlight w:val="none"/>
          <w:lang w:val="en-US" w:eastAsia="zh-CN"/>
        </w:rPr>
        <w:t>0.06万元</w:t>
      </w:r>
      <w:r>
        <w:rPr>
          <w:rFonts w:hint="eastAsia" w:ascii="宋体" w:hAnsi="宋体" w:eastAsia="宋体" w:cs="宋体"/>
          <w:b w:val="0"/>
          <w:bCs w:val="0"/>
          <w:color w:val="auto"/>
          <w:sz w:val="28"/>
          <w:szCs w:val="28"/>
          <w:highlight w:val="none"/>
        </w:rPr>
        <w:t>、其他商品和服务支出</w:t>
      </w:r>
      <w:r>
        <w:rPr>
          <w:rFonts w:hint="eastAsia" w:ascii="宋体" w:hAnsi="宋体" w:eastAsia="宋体" w:cs="宋体"/>
          <w:b w:val="0"/>
          <w:bCs w:val="0"/>
          <w:color w:val="000000"/>
          <w:sz w:val="28"/>
          <w:szCs w:val="28"/>
          <w:u w:color="auto"/>
        </w:rPr>
        <w:t>维修（护）费</w:t>
      </w:r>
      <w:r>
        <w:rPr>
          <w:rFonts w:hint="eastAsia" w:ascii="宋体" w:hAnsi="宋体" w:eastAsia="宋体" w:cs="宋体"/>
          <w:b w:val="0"/>
          <w:bCs w:val="0"/>
          <w:color w:val="000000"/>
          <w:sz w:val="28"/>
          <w:szCs w:val="28"/>
          <w:highlight w:val="none"/>
          <w:u w:color="auto"/>
          <w:lang w:val="en-US" w:eastAsia="zh-CN"/>
        </w:rPr>
        <w:t>4.74</w:t>
      </w:r>
      <w:r>
        <w:rPr>
          <w:rFonts w:hint="eastAsia" w:ascii="宋体" w:hAnsi="宋体" w:eastAsia="宋体" w:cs="宋体"/>
          <w:b w:val="0"/>
          <w:bCs w:val="0"/>
          <w:color w:val="000000"/>
          <w:sz w:val="28"/>
          <w:szCs w:val="28"/>
          <w:highlight w:val="none"/>
          <w:u w:color="auto"/>
        </w:rPr>
        <w:t>万元</w:t>
      </w:r>
      <w:r>
        <w:rPr>
          <w:rFonts w:hint="eastAsia" w:ascii="宋体" w:hAnsi="宋体" w:eastAsia="宋体" w:cs="宋体"/>
          <w:b w:val="0"/>
          <w:bCs w:val="0"/>
          <w:color w:val="000000"/>
          <w:sz w:val="28"/>
          <w:szCs w:val="28"/>
          <w:highlight w:val="none"/>
        </w:rPr>
        <w:t>。</w:t>
      </w:r>
    </w:p>
    <w:p w14:paraId="1587C397">
      <w:pPr>
        <w:pStyle w:val="4"/>
        <w:bidi w:val="0"/>
        <w:rPr>
          <w:rFonts w:hint="eastAsia"/>
        </w:rPr>
      </w:pPr>
      <w:bookmarkStart w:id="56" w:name="_Toc15396609"/>
      <w:bookmarkStart w:id="57" w:name="_Toc15036"/>
      <w:bookmarkStart w:id="58" w:name="_Toc15377215"/>
      <w:r>
        <w:rPr>
          <w:rFonts w:hint="eastAsia"/>
        </w:rPr>
        <w:t>七、财政拨款“三公”经费支出决算情况说明</w:t>
      </w:r>
      <w:bookmarkEnd w:id="56"/>
      <w:bookmarkEnd w:id="57"/>
      <w:bookmarkEnd w:id="58"/>
    </w:p>
    <w:p w14:paraId="5EB359F9">
      <w:pPr>
        <w:pStyle w:val="5"/>
        <w:bidi w:val="0"/>
        <w:rPr>
          <w:rFonts w:hint="eastAsia"/>
          <w:sz w:val="30"/>
          <w:szCs w:val="30"/>
        </w:rPr>
      </w:pPr>
      <w:bookmarkStart w:id="59" w:name="_Toc9670"/>
      <w:bookmarkStart w:id="60" w:name="_Toc15377216"/>
      <w:r>
        <w:rPr>
          <w:rFonts w:hint="eastAsia"/>
          <w:sz w:val="30"/>
          <w:szCs w:val="30"/>
        </w:rPr>
        <w:t>（一）“三公”经费财政拨款支出决算总体情况说明</w:t>
      </w:r>
      <w:bookmarkEnd w:id="59"/>
      <w:bookmarkEnd w:id="60"/>
    </w:p>
    <w:p w14:paraId="4C87C20B">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2023年度“三公”经费财政拨款支出决算为0万元，完成预算</w:t>
      </w:r>
      <w:r>
        <w:rPr>
          <w:rFonts w:hint="eastAsia" w:ascii="宋体" w:hAnsi="宋体" w:eastAsia="宋体" w:cs="宋体"/>
          <w:b w:val="0"/>
          <w:bCs w:val="0"/>
          <w:sz w:val="28"/>
          <w:szCs w:val="28"/>
          <w:lang w:val="en-US" w:eastAsia="zh-CN"/>
        </w:rPr>
        <w:t>100</w:t>
      </w:r>
      <w:r>
        <w:rPr>
          <w:rFonts w:hint="eastAsia" w:ascii="宋体" w:hAnsi="宋体" w:eastAsia="宋体" w:cs="宋体"/>
          <w:b w:val="0"/>
          <w:bCs w:val="0"/>
          <w:sz w:val="28"/>
          <w:szCs w:val="28"/>
        </w:rPr>
        <w:t>%。</w:t>
      </w:r>
    </w:p>
    <w:p w14:paraId="3B2DC00C">
      <w:pPr>
        <w:pStyle w:val="5"/>
        <w:bidi w:val="0"/>
        <w:rPr>
          <w:rFonts w:hint="eastAsia"/>
          <w:sz w:val="30"/>
          <w:szCs w:val="30"/>
        </w:rPr>
      </w:pPr>
      <w:bookmarkStart w:id="61" w:name="_Toc31705"/>
      <w:bookmarkStart w:id="62" w:name="_Toc15377217"/>
      <w:r>
        <w:rPr>
          <w:rFonts w:hint="eastAsia"/>
          <w:sz w:val="30"/>
          <w:szCs w:val="30"/>
        </w:rPr>
        <w:t>（二）“三公”经费财政拨款支出决算具体情况说明</w:t>
      </w:r>
      <w:bookmarkEnd w:id="61"/>
      <w:bookmarkEnd w:id="62"/>
    </w:p>
    <w:p w14:paraId="711D1A3C">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2023年度“三公”经费财政拨款支出决算中，因公出国（境）费支出决算0万元，占0%；公务用车购置及运行维护费支出决算0万元，占0%；公务接待费支出决算0万元，占0%。</w:t>
      </w:r>
    </w:p>
    <w:p w14:paraId="6E1AC8A3">
      <w:pPr>
        <w:pStyle w:val="2"/>
        <w:rPr>
          <w:rFonts w:hint="eastAsia" w:ascii="宋体" w:hAnsi="宋体" w:eastAsia="宋体" w:cs="宋体"/>
          <w:b w:val="0"/>
          <w:bCs w:val="0"/>
          <w:sz w:val="28"/>
          <w:szCs w:val="28"/>
        </w:rPr>
      </w:pPr>
      <w:r>
        <w:drawing>
          <wp:inline distT="0" distB="0" distL="114300" distR="114300">
            <wp:extent cx="4342130" cy="2743200"/>
            <wp:effectExtent l="4445" t="4445" r="6350" b="508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CF6C55">
      <w:pPr>
        <w:spacing w:line="600" w:lineRule="exact"/>
        <w:ind w:firstLine="64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（图7：“三公”经费财政拨款支出结构饼状图</w:t>
      </w:r>
      <w:r>
        <w:rPr>
          <w:rFonts w:hint="eastAsia" w:ascii="宋体" w:hAnsi="宋体" w:cs="宋体"/>
          <w:b w:val="0"/>
          <w:bCs w:val="0"/>
          <w:sz w:val="28"/>
          <w:szCs w:val="28"/>
          <w:lang w:val="en-US" w:eastAsia="zh-CN"/>
        </w:rPr>
        <w:t>)</w:t>
      </w:r>
    </w:p>
    <w:p w14:paraId="283E7587">
      <w:pPr>
        <w:pStyle w:val="2"/>
        <w:rPr>
          <w:rFonts w:hint="eastAsia" w:ascii="宋体" w:hAnsi="宋体" w:eastAsia="宋体" w:cs="宋体"/>
          <w:b w:val="0"/>
          <w:bCs w:val="0"/>
          <w:sz w:val="28"/>
          <w:szCs w:val="28"/>
        </w:rPr>
      </w:pPr>
    </w:p>
    <w:p w14:paraId="67EC86E3">
      <w:pPr>
        <w:spacing w:line="600" w:lineRule="exact"/>
        <w:ind w:firstLine="640"/>
        <w:rPr>
          <w:rFonts w:hint="eastAsia" w:ascii="宋体" w:hAnsi="宋体" w:eastAsia="宋体" w:cs="宋体"/>
          <w:b w:val="0"/>
          <w:bCs w:val="0"/>
          <w:sz w:val="28"/>
          <w:szCs w:val="28"/>
        </w:rPr>
      </w:pPr>
      <w:bookmarkStart w:id="63" w:name="_Toc15377218"/>
      <w:bookmarkStart w:id="64" w:name="_Toc15396610"/>
      <w:r>
        <w:rPr>
          <w:rFonts w:hint="eastAsia" w:ascii="宋体" w:hAnsi="宋体" w:eastAsia="宋体" w:cs="宋体"/>
          <w:b w:val="0"/>
          <w:bCs w:val="0"/>
          <w:sz w:val="28"/>
          <w:szCs w:val="28"/>
        </w:rPr>
        <w:t>1.因公出国（境）经费支出0万元，</w:t>
      </w:r>
      <w:r>
        <w:rPr>
          <w:rStyle w:val="16"/>
          <w:rFonts w:hint="eastAsia" w:ascii="宋体" w:hAnsi="宋体" w:eastAsia="宋体" w:cs="宋体"/>
          <w:b w:val="0"/>
          <w:bCs w:val="0"/>
          <w:sz w:val="28"/>
          <w:szCs w:val="28"/>
        </w:rPr>
        <w:t>完成预算0%。</w:t>
      </w:r>
      <w:r>
        <w:rPr>
          <w:rFonts w:hint="eastAsia" w:ascii="宋体" w:hAnsi="宋体" w:eastAsia="宋体" w:cs="宋体"/>
          <w:b w:val="0"/>
          <w:bCs w:val="0"/>
          <w:sz w:val="28"/>
          <w:szCs w:val="28"/>
        </w:rPr>
        <w:t>全年安排因公出国（境）团组0次，出国（境）0人。</w:t>
      </w:r>
    </w:p>
    <w:p w14:paraId="2AC35019">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2.公务用车购置及运行维护费支出0万元,</w:t>
      </w:r>
      <w:r>
        <w:rPr>
          <w:rStyle w:val="16"/>
          <w:rFonts w:hint="eastAsia" w:ascii="宋体" w:hAnsi="宋体" w:eastAsia="宋体" w:cs="宋体"/>
          <w:b w:val="0"/>
          <w:bCs w:val="0"/>
          <w:sz w:val="28"/>
          <w:szCs w:val="28"/>
        </w:rPr>
        <w:t>完成预算0%。</w:t>
      </w:r>
    </w:p>
    <w:p w14:paraId="47FB46F5">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3.公务接待费支出0万元，</w:t>
      </w:r>
      <w:r>
        <w:rPr>
          <w:rStyle w:val="16"/>
          <w:rFonts w:hint="eastAsia" w:ascii="宋体" w:hAnsi="宋体" w:eastAsia="宋体" w:cs="宋体"/>
          <w:b w:val="0"/>
          <w:bCs w:val="0"/>
          <w:sz w:val="28"/>
          <w:szCs w:val="28"/>
        </w:rPr>
        <w:t>完成预算0%。</w:t>
      </w:r>
    </w:p>
    <w:p w14:paraId="17083E16">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外事接待支出0万元。</w:t>
      </w:r>
    </w:p>
    <w:p w14:paraId="21DD6357">
      <w:pPr>
        <w:spacing w:line="600" w:lineRule="exact"/>
        <w:ind w:firstLine="640"/>
        <w:outlineLvl w:val="9"/>
        <w:rPr>
          <w:rFonts w:hint="eastAsia" w:ascii="宋体" w:hAnsi="宋体" w:eastAsia="宋体" w:cs="宋体"/>
          <w:b w:val="0"/>
          <w:bCs w:val="0"/>
          <w:sz w:val="32"/>
          <w:szCs w:val="32"/>
        </w:rPr>
      </w:pPr>
    </w:p>
    <w:p w14:paraId="7088A620">
      <w:pPr>
        <w:pStyle w:val="4"/>
        <w:bidi w:val="0"/>
        <w:rPr>
          <w:rFonts w:hint="eastAsia"/>
        </w:rPr>
      </w:pPr>
      <w:bookmarkStart w:id="65" w:name="_Toc7675"/>
      <w:r>
        <w:rPr>
          <w:rFonts w:hint="eastAsia"/>
        </w:rPr>
        <w:t>八、政府性基金预算支出决算情况说明</w:t>
      </w:r>
      <w:bookmarkEnd w:id="63"/>
      <w:bookmarkEnd w:id="64"/>
      <w:bookmarkEnd w:id="65"/>
    </w:p>
    <w:p w14:paraId="7F47EDAE">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2023年度政府性基金预算财政拨款支出0万元。</w:t>
      </w:r>
    </w:p>
    <w:p w14:paraId="2848A2BC">
      <w:pPr>
        <w:spacing w:line="600" w:lineRule="exact"/>
        <w:ind w:firstLine="640"/>
        <w:rPr>
          <w:rFonts w:hint="eastAsia" w:ascii="宋体" w:hAnsi="宋体" w:eastAsia="宋体" w:cs="宋体"/>
          <w:b w:val="0"/>
          <w:bCs w:val="0"/>
          <w:sz w:val="32"/>
          <w:szCs w:val="32"/>
        </w:rPr>
      </w:pPr>
    </w:p>
    <w:p w14:paraId="32B50345">
      <w:pPr>
        <w:pStyle w:val="4"/>
        <w:numPr>
          <w:ilvl w:val="0"/>
          <w:numId w:val="2"/>
        </w:numPr>
        <w:bidi w:val="0"/>
        <w:rPr>
          <w:rFonts w:hint="eastAsia"/>
        </w:rPr>
      </w:pPr>
      <w:bookmarkStart w:id="66" w:name="_Toc15377219"/>
      <w:bookmarkStart w:id="67" w:name="_Toc15396611"/>
      <w:bookmarkStart w:id="68" w:name="_Toc19636"/>
      <w:r>
        <w:rPr>
          <w:rFonts w:hint="eastAsia"/>
        </w:rPr>
        <w:t>国有资本经营预算支出决算情况说明</w:t>
      </w:r>
      <w:bookmarkEnd w:id="66"/>
      <w:bookmarkEnd w:id="67"/>
      <w:bookmarkEnd w:id="68"/>
    </w:p>
    <w:p w14:paraId="20448FE1">
      <w:pPr>
        <w:spacing w:line="600" w:lineRule="exact"/>
        <w:ind w:firstLine="640"/>
        <w:rPr>
          <w:rFonts w:hint="eastAsia" w:ascii="宋体" w:hAnsi="宋体" w:eastAsia="宋体" w:cs="宋体"/>
          <w:b w:val="0"/>
          <w:bCs w:val="0"/>
          <w:sz w:val="28"/>
          <w:szCs w:val="28"/>
        </w:rPr>
      </w:pPr>
      <w:r>
        <w:rPr>
          <w:rFonts w:hint="eastAsia" w:ascii="宋体" w:hAnsi="宋体" w:eastAsia="宋体" w:cs="宋体"/>
          <w:b w:val="0"/>
          <w:bCs w:val="0"/>
          <w:sz w:val="28"/>
          <w:szCs w:val="28"/>
        </w:rPr>
        <w:t>2023年度国有资本经营预算财政拨款支出0万元。</w:t>
      </w:r>
    </w:p>
    <w:p w14:paraId="5F5E3E75">
      <w:pPr>
        <w:spacing w:line="580" w:lineRule="exact"/>
        <w:jc w:val="center"/>
        <w:rPr>
          <w:rFonts w:hint="eastAsia" w:ascii="宋体" w:hAnsi="宋体" w:eastAsia="宋体" w:cs="宋体"/>
          <w:b w:val="0"/>
          <w:bCs w:val="0"/>
          <w:sz w:val="28"/>
          <w:szCs w:val="28"/>
        </w:rPr>
      </w:pPr>
    </w:p>
    <w:p w14:paraId="08400FC7">
      <w:pPr>
        <w:pStyle w:val="4"/>
        <w:bidi w:val="0"/>
        <w:rPr>
          <w:rFonts w:hint="eastAsia"/>
        </w:rPr>
      </w:pPr>
      <w:bookmarkStart w:id="69" w:name="_Toc15002"/>
      <w:bookmarkStart w:id="70" w:name="_Toc15396612"/>
      <w:bookmarkStart w:id="71" w:name="_Toc15377221"/>
      <w:r>
        <w:rPr>
          <w:rFonts w:hint="eastAsia"/>
          <w:lang w:eastAsia="zh-CN"/>
        </w:rPr>
        <w:t>十、</w:t>
      </w:r>
      <w:r>
        <w:rPr>
          <w:rFonts w:hint="eastAsia"/>
        </w:rPr>
        <w:t>其他重要事项的情况说明</w:t>
      </w:r>
      <w:bookmarkEnd w:id="69"/>
      <w:bookmarkEnd w:id="70"/>
      <w:bookmarkEnd w:id="71"/>
    </w:p>
    <w:p w14:paraId="28AFAA74">
      <w:pPr>
        <w:pStyle w:val="5"/>
        <w:bidi w:val="0"/>
        <w:rPr>
          <w:rFonts w:hint="eastAsia"/>
          <w:sz w:val="30"/>
          <w:szCs w:val="30"/>
        </w:rPr>
      </w:pPr>
      <w:bookmarkStart w:id="72" w:name="_Toc15377222"/>
      <w:bookmarkStart w:id="73" w:name="_Toc5733"/>
      <w:r>
        <w:rPr>
          <w:rFonts w:hint="eastAsia"/>
          <w:sz w:val="30"/>
          <w:szCs w:val="30"/>
        </w:rPr>
        <w:t>（一）机关运行经费支出情况</w:t>
      </w:r>
      <w:bookmarkEnd w:id="72"/>
      <w:bookmarkEnd w:id="73"/>
    </w:p>
    <w:p w14:paraId="0D7BA846">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2023年度，大竹县高明初级中学机关运行经费支出0万元，</w:t>
      </w:r>
      <w:r>
        <w:rPr>
          <w:rFonts w:hint="eastAsia" w:ascii="宋体" w:hAnsi="宋体" w:eastAsia="宋体" w:cs="宋体"/>
          <w:b w:val="0"/>
          <w:bCs w:val="0"/>
          <w:sz w:val="28"/>
          <w:szCs w:val="28"/>
          <w:lang w:eastAsia="zh-CN"/>
        </w:rPr>
        <w:t>与</w:t>
      </w:r>
      <w:r>
        <w:rPr>
          <w:rFonts w:hint="eastAsia" w:ascii="宋体" w:hAnsi="宋体" w:eastAsia="宋体" w:cs="宋体"/>
          <w:b w:val="0"/>
          <w:bCs w:val="0"/>
          <w:sz w:val="28"/>
          <w:szCs w:val="28"/>
        </w:rPr>
        <w:t>2022年度</w:t>
      </w:r>
      <w:r>
        <w:rPr>
          <w:rFonts w:hint="eastAsia" w:ascii="宋体" w:hAnsi="宋体" w:eastAsia="宋体" w:cs="宋体"/>
          <w:b w:val="0"/>
          <w:bCs w:val="0"/>
          <w:sz w:val="28"/>
          <w:szCs w:val="28"/>
          <w:lang w:eastAsia="zh-CN"/>
        </w:rPr>
        <w:t>持平</w:t>
      </w:r>
      <w:r>
        <w:rPr>
          <w:rFonts w:hint="eastAsia" w:ascii="宋体" w:hAnsi="宋体" w:eastAsia="宋体" w:cs="宋体"/>
          <w:b w:val="0"/>
          <w:bCs w:val="0"/>
          <w:sz w:val="28"/>
          <w:szCs w:val="28"/>
        </w:rPr>
        <w:t>。</w:t>
      </w:r>
    </w:p>
    <w:p w14:paraId="0DDB9A80">
      <w:pPr>
        <w:pStyle w:val="5"/>
        <w:bidi w:val="0"/>
        <w:rPr>
          <w:rFonts w:hint="eastAsia"/>
          <w:sz w:val="30"/>
          <w:szCs w:val="30"/>
        </w:rPr>
      </w:pPr>
      <w:bookmarkStart w:id="74" w:name="_Toc6015"/>
      <w:bookmarkStart w:id="75" w:name="_Toc15377223"/>
      <w:r>
        <w:rPr>
          <w:rFonts w:hint="eastAsia"/>
          <w:sz w:val="30"/>
          <w:szCs w:val="30"/>
        </w:rPr>
        <w:t>（二）政府采购支出情况</w:t>
      </w:r>
      <w:bookmarkEnd w:id="74"/>
      <w:bookmarkEnd w:id="75"/>
    </w:p>
    <w:p w14:paraId="0F6C65DB">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2023年度，大竹县高明初级中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0390A915">
      <w:pPr>
        <w:pStyle w:val="5"/>
        <w:bidi w:val="0"/>
        <w:rPr>
          <w:rFonts w:hint="eastAsia"/>
          <w:sz w:val="30"/>
          <w:szCs w:val="30"/>
        </w:rPr>
      </w:pPr>
      <w:bookmarkStart w:id="76" w:name="_Toc15377224"/>
      <w:bookmarkStart w:id="77" w:name="_Toc2034"/>
      <w:r>
        <w:rPr>
          <w:rFonts w:hint="eastAsia"/>
          <w:sz w:val="30"/>
          <w:szCs w:val="30"/>
        </w:rPr>
        <w:t>（三）国有资产占有使用情况</w:t>
      </w:r>
      <w:bookmarkEnd w:id="76"/>
      <w:bookmarkEnd w:id="77"/>
    </w:p>
    <w:p w14:paraId="72E4DDC7">
      <w:pPr>
        <w:autoSpaceDE w:val="0"/>
        <w:autoSpaceDN w:val="0"/>
        <w:adjustRightInd w:val="0"/>
        <w:spacing w:line="6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截至2023年12月31日，大竹县高明初级中学共有车辆0辆。</w:t>
      </w:r>
    </w:p>
    <w:p w14:paraId="06D6E23D">
      <w:pPr>
        <w:pStyle w:val="5"/>
        <w:bidi w:val="0"/>
        <w:rPr>
          <w:rFonts w:hint="eastAsia"/>
        </w:rPr>
      </w:pPr>
      <w:bookmarkStart w:id="78" w:name="_Toc1992"/>
      <w:r>
        <w:rPr>
          <w:rFonts w:hint="eastAsia"/>
        </w:rPr>
        <w:t>（四）预算绩效管理情况</w:t>
      </w:r>
      <w:bookmarkEnd w:id="78"/>
    </w:p>
    <w:p w14:paraId="3956F1F2">
      <w:pPr>
        <w:spacing w:line="60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根据预算绩效管理要求，本单位在202</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年度预算编制阶段，组织对</w:t>
      </w:r>
      <w:r>
        <w:rPr>
          <w:rFonts w:hint="eastAsia" w:ascii="宋体" w:hAnsi="宋体" w:eastAsia="宋体" w:cs="宋体"/>
          <w:b w:val="0"/>
          <w:bCs w:val="0"/>
          <w:color w:val="auto"/>
          <w:sz w:val="28"/>
          <w:szCs w:val="28"/>
          <w:lang w:val="en-US" w:eastAsia="zh-CN"/>
        </w:rPr>
        <w:t>0</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eastAsia="zh-CN"/>
        </w:rPr>
        <w:t>预算</w:t>
      </w:r>
      <w:r>
        <w:rPr>
          <w:rFonts w:hint="eastAsia" w:ascii="宋体" w:hAnsi="宋体" w:eastAsia="宋体" w:cs="宋体"/>
          <w:b w:val="0"/>
          <w:bCs w:val="0"/>
          <w:color w:val="auto"/>
          <w:sz w:val="28"/>
          <w:szCs w:val="28"/>
        </w:rPr>
        <w:t>项目开展了预算事前绩效评估，对</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个项目编制了绩效目标，预算执行过程中，选取</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个项目开展绩效监控，组织对</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eastAsia="zh-CN"/>
        </w:rPr>
        <w:t>预算</w:t>
      </w:r>
      <w:r>
        <w:rPr>
          <w:rFonts w:hint="eastAsia" w:ascii="宋体" w:hAnsi="宋体" w:eastAsia="宋体" w:cs="宋体"/>
          <w:b w:val="0"/>
          <w:bCs w:val="0"/>
          <w:color w:val="auto"/>
          <w:sz w:val="28"/>
          <w:szCs w:val="28"/>
        </w:rPr>
        <w:t>项目开展绩效自评，绩效自评表详见第四部分附件。</w:t>
      </w:r>
    </w:p>
    <w:p w14:paraId="2B343F0F">
      <w:pPr>
        <w:pStyle w:val="3"/>
        <w:bidi w:val="0"/>
        <w:jc w:val="center"/>
        <w:outlineLvl w:val="9"/>
        <w:rPr>
          <w:rFonts w:hint="eastAsia"/>
          <w:b/>
          <w:bCs/>
          <w:lang w:eastAsia="zh-CN"/>
        </w:rPr>
      </w:pPr>
      <w:bookmarkStart w:id="79" w:name="_Toc15396613"/>
      <w:bookmarkStart w:id="80" w:name="_Toc15377225"/>
    </w:p>
    <w:p w14:paraId="5D205AE6">
      <w:pPr>
        <w:pStyle w:val="3"/>
        <w:bidi w:val="0"/>
        <w:jc w:val="center"/>
        <w:rPr>
          <w:rFonts w:hint="eastAsia"/>
          <w:b/>
          <w:bCs/>
        </w:rPr>
      </w:pPr>
      <w:bookmarkStart w:id="81" w:name="_Toc20328"/>
      <w:r>
        <w:rPr>
          <w:rFonts w:hint="eastAsia"/>
          <w:b/>
          <w:bCs/>
          <w:lang w:eastAsia="zh-CN"/>
        </w:rPr>
        <w:t>第三部分</w:t>
      </w:r>
      <w:r>
        <w:rPr>
          <w:rFonts w:hint="eastAsia"/>
          <w:b/>
          <w:bCs/>
          <w:lang w:val="en-US" w:eastAsia="zh-CN"/>
        </w:rPr>
        <w:t xml:space="preserve"> </w:t>
      </w:r>
      <w:r>
        <w:rPr>
          <w:rFonts w:hint="eastAsia"/>
          <w:b/>
          <w:bCs/>
        </w:rPr>
        <w:t>名词解释</w:t>
      </w:r>
      <w:bookmarkEnd w:id="79"/>
      <w:bookmarkEnd w:id="80"/>
      <w:bookmarkEnd w:id="81"/>
    </w:p>
    <w:p w14:paraId="3438A319">
      <w:pPr>
        <w:pStyle w:val="25"/>
        <w:spacing w:line="560" w:lineRule="exact"/>
        <w:ind w:firstLine="560" w:firstLineChars="200"/>
        <w:outlineLvl w:val="1"/>
        <w:rPr>
          <w:rFonts w:hint="eastAsia" w:ascii="宋体" w:hAnsi="宋体" w:eastAsia="宋体" w:cs="宋体"/>
          <w:b w:val="0"/>
          <w:bCs w:val="0"/>
          <w:color w:val="auto"/>
          <w:sz w:val="28"/>
          <w:szCs w:val="28"/>
        </w:rPr>
      </w:pPr>
      <w:bookmarkStart w:id="82" w:name="_Toc13072"/>
      <w:r>
        <w:rPr>
          <w:rFonts w:hint="eastAsia" w:ascii="宋体" w:hAnsi="宋体" w:eastAsia="宋体" w:cs="宋体"/>
          <w:b w:val="0"/>
          <w:bCs w:val="0"/>
          <w:color w:val="auto"/>
          <w:sz w:val="28"/>
          <w:szCs w:val="28"/>
        </w:rPr>
        <w:t>1.财政拨款收入：指单位从同级财政部门取得的财政预算资金。</w:t>
      </w:r>
      <w:bookmarkEnd w:id="82"/>
    </w:p>
    <w:p w14:paraId="0EF807BF">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2.事业收入：指事业单位开展专业业务活动及辅助活动取得的收入。。</w:t>
      </w:r>
    </w:p>
    <w:p w14:paraId="7629ADF1">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3.经营收入：指事业单位在专业业务活动及其辅助活动之外开展非独立核算经营活动取得的收入。4.其他收入：指单位取得的除上述收入以外的各项收入。主要是…（收入类型）等。 </w:t>
      </w:r>
    </w:p>
    <w:p w14:paraId="57F25391">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sz w:val="28"/>
          <w:szCs w:val="28"/>
        </w:rPr>
        <w:t>使用非财政拨款结余（含专用结余）</w:t>
      </w:r>
      <w:r>
        <w:rPr>
          <w:rFonts w:hint="eastAsia" w:ascii="宋体" w:hAnsi="宋体" w:eastAsia="宋体" w:cs="宋体"/>
          <w:b w:val="0"/>
          <w:bCs w:val="0"/>
          <w:color w:val="auto"/>
          <w:sz w:val="28"/>
          <w:szCs w:val="28"/>
        </w:rPr>
        <w:t xml:space="preserve">：指事业单位使用以前年度积累的非财政拨款结余弥补当年收支差额的金额。 </w:t>
      </w:r>
    </w:p>
    <w:p w14:paraId="40C77C07">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6.年初结转和结余：指以前年度尚未完成、结转到本年按有关规定继续使用的资金。 </w:t>
      </w:r>
    </w:p>
    <w:p w14:paraId="77952396">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7.结余分配：指事业单位按照会计制度规定缴纳的所得</w:t>
      </w:r>
      <w:r>
        <w:rPr>
          <w:rFonts w:hint="eastAsia" w:ascii="宋体" w:hAnsi="宋体" w:eastAsia="宋体" w:cs="宋体"/>
          <w:b w:val="0"/>
          <w:bCs w:val="0"/>
          <w:color w:val="auto"/>
          <w:sz w:val="32"/>
          <w:szCs w:val="32"/>
        </w:rPr>
        <w:t>税、提</w:t>
      </w:r>
      <w:r>
        <w:rPr>
          <w:rFonts w:hint="eastAsia" w:ascii="宋体" w:hAnsi="宋体" w:eastAsia="宋体" w:cs="宋体"/>
          <w:b w:val="0"/>
          <w:bCs w:val="0"/>
          <w:color w:val="auto"/>
          <w:sz w:val="28"/>
          <w:szCs w:val="28"/>
        </w:rPr>
        <w:t>取的专用结余以及转入非财政拨款结余的金额等。</w:t>
      </w:r>
    </w:p>
    <w:p w14:paraId="025D12C6">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8.年末结转和结余：指单位按有关规定结转到下年或以后年度继续使用的资金。</w:t>
      </w:r>
    </w:p>
    <w:p w14:paraId="5DF49C0A">
      <w:pPr>
        <w:spacing w:line="600" w:lineRule="exact"/>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9.教育支出（205）普通教育（20502）初中教育（2050203）：反映各部门举办的初中教育支出。政府各部门对社会组织等举办的初中的资助，如捐赠、补贴等，也在本科目中反映。</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10.社会保障和就业支出（208）行政事业单位养老支出（20805）事业单位离退休（20805</w:t>
      </w:r>
      <w:r>
        <w:rPr>
          <w:rFonts w:hint="eastAsia" w:ascii="宋体" w:hAnsi="宋体" w:eastAsia="宋体" w:cs="宋体"/>
          <w:b w:val="0"/>
          <w:bCs w:val="0"/>
          <w:color w:val="000000"/>
          <w:sz w:val="28"/>
          <w:szCs w:val="28"/>
          <w:lang w:val="en-US" w:eastAsia="zh-CN"/>
        </w:rPr>
        <w:t>99</w:t>
      </w:r>
      <w:r>
        <w:rPr>
          <w:rFonts w:hint="eastAsia" w:ascii="宋体" w:hAnsi="宋体" w:eastAsia="宋体" w:cs="宋体"/>
          <w:b w:val="0"/>
          <w:bCs w:val="0"/>
          <w:color w:val="000000"/>
          <w:sz w:val="28"/>
          <w:szCs w:val="28"/>
        </w:rPr>
        <w:t>）：反映事业单位开支的离退休经费。</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11.社会保障和就业支出（208）行政事业单位养老支出（20805）机关事业单位基本养老保险缴费支出（2080505）：反映机关事业单位实施养老保险制度由单位缴纳的基本养老保险费支出。</w:t>
      </w:r>
    </w:p>
    <w:p w14:paraId="1F856A8B">
      <w:pPr>
        <w:spacing w:line="600" w:lineRule="exact"/>
        <w:ind w:firstLine="280" w:firstLineChars="1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 12.社会保障和就业支出（208）行政事业单位养老支出（2080</w:t>
      </w:r>
      <w:r>
        <w:rPr>
          <w:rFonts w:hint="eastAsia" w:ascii="宋体" w:hAnsi="宋体" w:eastAsia="宋体" w:cs="宋体"/>
          <w:b w:val="0"/>
          <w:bCs w:val="0"/>
          <w:color w:val="000000"/>
          <w:sz w:val="28"/>
          <w:szCs w:val="28"/>
          <w:lang w:val="en-US" w:eastAsia="zh-CN"/>
        </w:rPr>
        <w:t>8</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eastAsia="zh-CN"/>
        </w:rPr>
        <w:t>抚恤</w:t>
      </w:r>
      <w:r>
        <w:rPr>
          <w:rFonts w:hint="eastAsia" w:ascii="宋体" w:hAnsi="宋体" w:eastAsia="宋体" w:cs="宋体"/>
          <w:b w:val="0"/>
          <w:bCs w:val="0"/>
          <w:color w:val="000000"/>
          <w:sz w:val="28"/>
          <w:szCs w:val="28"/>
        </w:rPr>
        <w:t>（2080</w:t>
      </w:r>
      <w:r>
        <w:rPr>
          <w:rFonts w:hint="eastAsia" w:ascii="宋体" w:hAnsi="宋体" w:eastAsia="宋体" w:cs="宋体"/>
          <w:b w:val="0"/>
          <w:bCs w:val="0"/>
          <w:color w:val="000000"/>
          <w:sz w:val="28"/>
          <w:szCs w:val="28"/>
          <w:lang w:val="en-US" w:eastAsia="zh-CN"/>
        </w:rPr>
        <w:t>801</w:t>
      </w:r>
      <w:r>
        <w:rPr>
          <w:rFonts w:hint="eastAsia" w:ascii="宋体" w:hAnsi="宋体" w:eastAsia="宋体" w:cs="宋体"/>
          <w:b w:val="0"/>
          <w:bCs w:val="0"/>
          <w:color w:val="000000"/>
          <w:sz w:val="28"/>
          <w:szCs w:val="28"/>
        </w:rPr>
        <w:t>）：反映事业单位实施</w:t>
      </w:r>
      <w:r>
        <w:rPr>
          <w:rFonts w:hint="eastAsia" w:ascii="宋体" w:hAnsi="宋体" w:eastAsia="宋体" w:cs="宋体"/>
          <w:b w:val="0"/>
          <w:bCs w:val="0"/>
          <w:color w:val="000000"/>
          <w:sz w:val="28"/>
          <w:szCs w:val="28"/>
          <w:lang w:eastAsia="zh-CN"/>
        </w:rPr>
        <w:t>死亡抚恤</w:t>
      </w:r>
      <w:r>
        <w:rPr>
          <w:rFonts w:hint="eastAsia" w:ascii="宋体" w:hAnsi="宋体" w:eastAsia="宋体" w:cs="宋体"/>
          <w:b w:val="0"/>
          <w:bCs w:val="0"/>
          <w:color w:val="000000"/>
          <w:sz w:val="28"/>
          <w:szCs w:val="28"/>
        </w:rPr>
        <w:t>费支出。</w:t>
      </w:r>
    </w:p>
    <w:p w14:paraId="77391C26">
      <w:pPr>
        <w:spacing w:line="600" w:lineRule="exact"/>
        <w:ind w:firstLine="280" w:firstLineChars="1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 1</w:t>
      </w: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rPr>
        <w:t>.卫生健康支出（210）行政事业单位医疗（21011）事业单位医疗（2101102）：反映财政部门安排的事业单位基本医疗保险缴费经费，未参加医疗保险的事业单位的公费医疗经费，按国家规定享受离休人员待遇的医疗经费。</w:t>
      </w:r>
      <w:r>
        <w:rPr>
          <w:rFonts w:hint="eastAsia" w:ascii="宋体" w:hAnsi="宋体" w:eastAsia="宋体" w:cs="宋体"/>
          <w:b w:val="0"/>
          <w:bCs w:val="0"/>
          <w:color w:val="000000"/>
          <w:sz w:val="28"/>
          <w:szCs w:val="28"/>
        </w:rPr>
        <w:cr/>
      </w:r>
      <w:r>
        <w:rPr>
          <w:rFonts w:hint="eastAsia" w:ascii="宋体" w:hAnsi="宋体" w:eastAsia="宋体" w:cs="宋体"/>
          <w:b w:val="0"/>
          <w:bCs w:val="0"/>
          <w:color w:val="000000"/>
          <w:sz w:val="28"/>
          <w:szCs w:val="28"/>
        </w:rPr>
        <w:t xml:space="preserve">    1</w:t>
      </w: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rPr>
        <w:t>.住房保障支出（221）住房改革支出（22102）住房公积金（2210201）：反映行政事业单位按人力资源和社会保障部、财政部规定的基本工资和津贴补贴以及规定比例为职工缴纳的住房公积金。</w:t>
      </w:r>
    </w:p>
    <w:p w14:paraId="32856945">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rPr>
        <w:t>.基本支出：指为保障机构正常运转、完成日常工作任务而发生的人员支出和公用支出。</w:t>
      </w:r>
    </w:p>
    <w:p w14:paraId="180AFE45">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16</w:t>
      </w:r>
      <w:r>
        <w:rPr>
          <w:rFonts w:hint="eastAsia" w:ascii="宋体" w:hAnsi="宋体" w:eastAsia="宋体" w:cs="宋体"/>
          <w:b w:val="0"/>
          <w:bCs w:val="0"/>
          <w:sz w:val="28"/>
          <w:szCs w:val="28"/>
        </w:rPr>
        <w:t xml:space="preserve">.项目支出：指在基本支出之外为完成特定行政任务和事业发展目标所发生的支出。 </w:t>
      </w:r>
    </w:p>
    <w:p w14:paraId="3FFB0DE0">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.经营支出：指事业单位在专业业务活动及其辅助活动之外开展非独立核算经营活动发生的支出。</w:t>
      </w:r>
    </w:p>
    <w:p w14:paraId="04A0D320">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18</w:t>
      </w:r>
      <w:r>
        <w:rPr>
          <w:rFonts w:hint="eastAsia" w:ascii="宋体" w:hAnsi="宋体" w:eastAsia="宋体" w:cs="宋体"/>
          <w:b w:val="0"/>
          <w:bCs w:val="0"/>
          <w:color w:val="auto"/>
          <w:sz w:val="28"/>
          <w:szCs w:val="28"/>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C266807">
      <w:pPr>
        <w:pStyle w:val="25"/>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19</w:t>
      </w:r>
      <w:r>
        <w:rPr>
          <w:rFonts w:hint="eastAsia" w:ascii="宋体" w:hAnsi="宋体" w:eastAsia="宋体" w:cs="宋体"/>
          <w:b w:val="0"/>
          <w:bCs w:val="0"/>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489378">
      <w:pPr>
        <w:ind w:firstLine="560" w:firstLineChars="200"/>
        <w:rPr>
          <w:rFonts w:hint="eastAsia" w:ascii="宋体" w:hAnsi="宋体" w:eastAsia="宋体" w:cs="宋体"/>
          <w:b w:val="0"/>
          <w:bCs w:val="0"/>
          <w:sz w:val="28"/>
          <w:szCs w:val="28"/>
        </w:rPr>
      </w:pPr>
    </w:p>
    <w:p w14:paraId="240E68A1">
      <w:pPr>
        <w:spacing w:line="600" w:lineRule="exact"/>
        <w:jc w:val="center"/>
        <w:outlineLvl w:val="0"/>
        <w:rPr>
          <w:rStyle w:val="27"/>
          <w:rFonts w:hint="eastAsia"/>
          <w:b/>
          <w:bCs/>
        </w:rPr>
      </w:pPr>
      <w:bookmarkStart w:id="83" w:name="_Toc15377226"/>
      <w:r>
        <w:rPr>
          <w:rFonts w:hint="eastAsia" w:ascii="宋体" w:hAnsi="宋体" w:eastAsia="宋体" w:cs="宋体"/>
          <w:b w:val="0"/>
          <w:bCs w:val="0"/>
          <w:sz w:val="44"/>
          <w:szCs w:val="44"/>
        </w:rPr>
        <w:br w:type="page"/>
      </w:r>
      <w:bookmarkStart w:id="84" w:name="_Toc15396614"/>
      <w:bookmarkStart w:id="85" w:name="_Toc26805"/>
      <w:r>
        <w:rPr>
          <w:rStyle w:val="27"/>
          <w:rFonts w:hint="eastAsia"/>
          <w:b/>
          <w:bCs/>
        </w:rPr>
        <w:t>第四部分 附件</w:t>
      </w:r>
      <w:bookmarkEnd w:id="84"/>
      <w:bookmarkEnd w:id="85"/>
    </w:p>
    <w:p w14:paraId="3564CA94">
      <w:pPr>
        <w:spacing w:line="572" w:lineRule="exact"/>
        <w:jc w:val="left"/>
        <w:outlineLvl w:val="9"/>
        <w:rPr>
          <w:rFonts w:hint="eastAsia" w:ascii="宋体" w:hAnsi="宋体" w:eastAsia="宋体" w:cs="宋体"/>
          <w:b/>
          <w:bCs/>
          <w:sz w:val="32"/>
          <w:szCs w:val="32"/>
        </w:rPr>
      </w:pPr>
    </w:p>
    <w:p w14:paraId="002BB12A">
      <w:pPr>
        <w:spacing w:line="600" w:lineRule="exact"/>
        <w:jc w:val="center"/>
        <w:outlineLvl w:val="1"/>
        <w:rPr>
          <w:rFonts w:hint="eastAsia" w:ascii="宋体" w:hAnsi="宋体" w:eastAsia="宋体" w:cs="宋体"/>
          <w:b w:val="0"/>
          <w:bCs w:val="0"/>
          <w:color w:val="FF0000"/>
          <w:sz w:val="28"/>
          <w:szCs w:val="28"/>
        </w:rPr>
      </w:pPr>
      <w:bookmarkStart w:id="86" w:name="_Toc13662"/>
      <w:bookmarkStart w:id="87" w:name="_Toc15396618"/>
      <w:r>
        <w:rPr>
          <w:rFonts w:hint="eastAsia" w:ascii="宋体" w:hAnsi="宋体" w:eastAsia="宋体" w:cs="宋体"/>
          <w:b w:val="0"/>
          <w:bCs w:val="0"/>
          <w:sz w:val="28"/>
          <w:szCs w:val="28"/>
        </w:rPr>
        <w:t>部门预算项目支出绩效自评表（2023年度）</w:t>
      </w:r>
      <w:bookmarkEnd w:id="86"/>
    </w:p>
    <w:p w14:paraId="657EC348">
      <w:pPr>
        <w:pStyle w:val="13"/>
        <w:spacing w:line="560" w:lineRule="exact"/>
        <w:ind w:left="0" w:leftChars="0" w:firstLine="640"/>
        <w:rPr>
          <w:rFonts w:hint="eastAsia" w:ascii="宋体" w:hAnsi="宋体" w:eastAsia="宋体" w:cs="宋体"/>
          <w:b w:val="0"/>
          <w:bCs w:val="0"/>
          <w:sz w:val="32"/>
        </w:rPr>
      </w:pPr>
    </w:p>
    <w:tbl>
      <w:tblPr>
        <w:tblStyle w:val="14"/>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688"/>
        <w:gridCol w:w="715"/>
        <w:gridCol w:w="1983"/>
        <w:gridCol w:w="877"/>
        <w:gridCol w:w="1079"/>
        <w:gridCol w:w="890"/>
        <w:gridCol w:w="662"/>
        <w:gridCol w:w="865"/>
      </w:tblGrid>
      <w:tr w14:paraId="71F7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603" w:type="dxa"/>
            <w:gridSpan w:val="8"/>
            <w:tcBorders>
              <w:top w:val="nil"/>
              <w:left w:val="nil"/>
              <w:bottom w:val="nil"/>
              <w:right w:val="nil"/>
            </w:tcBorders>
            <w:shd w:val="clear" w:color="auto" w:fill="auto"/>
            <w:vAlign w:val="center"/>
          </w:tcPr>
          <w:p w14:paraId="27440741">
            <w:pPr>
              <w:keepNext w:val="0"/>
              <w:keepLines w:val="0"/>
              <w:widowControl/>
              <w:suppressLineNumbers w:val="0"/>
              <w:jc w:val="center"/>
              <w:textAlignment w:val="center"/>
              <w:rPr>
                <w:rFonts w:hint="eastAsia" w:ascii="宋体" w:hAnsi="宋体" w:eastAsia="宋体" w:cs="宋体"/>
                <w:b w:val="0"/>
                <w:bCs w:val="0"/>
                <w:i w:val="0"/>
                <w:iCs w:val="0"/>
                <w:color w:val="000000"/>
                <w:sz w:val="30"/>
                <w:szCs w:val="30"/>
                <w:u w:val="none"/>
              </w:rPr>
            </w:pPr>
            <w:r>
              <w:rPr>
                <w:rFonts w:hint="eastAsia" w:ascii="宋体" w:hAnsi="宋体" w:eastAsia="宋体" w:cs="宋体"/>
                <w:b w:val="0"/>
                <w:bCs w:val="0"/>
                <w:i w:val="0"/>
                <w:iCs w:val="0"/>
                <w:color w:val="000000"/>
                <w:kern w:val="0"/>
                <w:sz w:val="30"/>
                <w:szCs w:val="30"/>
                <w:u w:val="none"/>
                <w:lang w:val="en-US" w:eastAsia="zh-CN" w:bidi="ar"/>
              </w:rPr>
              <w:t>部门整体支出绩效自评表</w:t>
            </w:r>
          </w:p>
        </w:tc>
        <w:tc>
          <w:tcPr>
            <w:tcW w:w="864" w:type="dxa"/>
            <w:tcBorders>
              <w:top w:val="nil"/>
              <w:left w:val="nil"/>
              <w:bottom w:val="nil"/>
              <w:right w:val="nil"/>
            </w:tcBorders>
            <w:shd w:val="clear" w:color="auto" w:fill="auto"/>
            <w:noWrap/>
            <w:vAlign w:val="center"/>
          </w:tcPr>
          <w:p w14:paraId="1E578BBD">
            <w:pPr>
              <w:jc w:val="center"/>
              <w:rPr>
                <w:rFonts w:hint="eastAsia" w:ascii="宋体" w:hAnsi="宋体" w:eastAsia="宋体" w:cs="宋体"/>
                <w:b w:val="0"/>
                <w:bCs w:val="0"/>
                <w:i w:val="0"/>
                <w:iCs w:val="0"/>
                <w:color w:val="000000"/>
                <w:sz w:val="22"/>
                <w:szCs w:val="22"/>
                <w:u w:val="none"/>
              </w:rPr>
            </w:pPr>
          </w:p>
        </w:tc>
      </w:tr>
      <w:tr w14:paraId="3C2B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03" w:type="dxa"/>
            <w:gridSpan w:val="8"/>
            <w:tcBorders>
              <w:top w:val="nil"/>
              <w:left w:val="nil"/>
              <w:bottom w:val="nil"/>
              <w:right w:val="nil"/>
            </w:tcBorders>
            <w:shd w:val="clear" w:color="auto" w:fill="auto"/>
            <w:vAlign w:val="center"/>
          </w:tcPr>
          <w:p w14:paraId="3AB1E7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（2023年度）</w:t>
            </w:r>
          </w:p>
        </w:tc>
        <w:tc>
          <w:tcPr>
            <w:tcW w:w="0" w:type="auto"/>
            <w:tcBorders>
              <w:top w:val="nil"/>
              <w:left w:val="nil"/>
              <w:bottom w:val="nil"/>
              <w:right w:val="nil"/>
            </w:tcBorders>
            <w:shd w:val="clear" w:color="auto" w:fill="auto"/>
            <w:noWrap/>
            <w:vAlign w:val="center"/>
          </w:tcPr>
          <w:p w14:paraId="186AD583">
            <w:pPr>
              <w:jc w:val="center"/>
              <w:rPr>
                <w:rFonts w:hint="eastAsia" w:ascii="宋体" w:hAnsi="宋体" w:eastAsia="宋体" w:cs="宋体"/>
                <w:b w:val="0"/>
                <w:bCs w:val="0"/>
                <w:i w:val="0"/>
                <w:iCs w:val="0"/>
                <w:color w:val="000000"/>
                <w:sz w:val="22"/>
                <w:szCs w:val="22"/>
                <w:u w:val="none"/>
              </w:rPr>
            </w:pPr>
          </w:p>
        </w:tc>
      </w:tr>
      <w:tr w14:paraId="59BB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03" w:type="dxa"/>
            <w:gridSpan w:val="8"/>
            <w:tcBorders>
              <w:top w:val="nil"/>
              <w:left w:val="nil"/>
              <w:bottom w:val="nil"/>
              <w:right w:val="nil"/>
            </w:tcBorders>
            <w:shd w:val="clear" w:color="auto" w:fill="auto"/>
            <w:vAlign w:val="center"/>
          </w:tcPr>
          <w:p w14:paraId="466557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单位：万元</w:t>
            </w:r>
          </w:p>
        </w:tc>
        <w:tc>
          <w:tcPr>
            <w:tcW w:w="0" w:type="auto"/>
            <w:tcBorders>
              <w:top w:val="nil"/>
              <w:left w:val="nil"/>
              <w:bottom w:val="nil"/>
              <w:right w:val="nil"/>
            </w:tcBorders>
            <w:shd w:val="clear" w:color="auto" w:fill="auto"/>
            <w:noWrap/>
            <w:vAlign w:val="center"/>
          </w:tcPr>
          <w:p w14:paraId="709BE9EB">
            <w:pPr>
              <w:jc w:val="center"/>
              <w:rPr>
                <w:rFonts w:hint="eastAsia" w:ascii="宋体" w:hAnsi="宋体" w:eastAsia="宋体" w:cs="宋体"/>
                <w:b w:val="0"/>
                <w:bCs w:val="0"/>
                <w:i w:val="0"/>
                <w:iCs w:val="0"/>
                <w:color w:val="000000"/>
                <w:sz w:val="22"/>
                <w:szCs w:val="22"/>
                <w:u w:val="none"/>
              </w:rPr>
            </w:pPr>
          </w:p>
        </w:tc>
      </w:tr>
      <w:tr w14:paraId="31B1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BB50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部门名称</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10A1D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大竹县高明初级中学</w:t>
            </w:r>
          </w:p>
        </w:tc>
      </w:tr>
      <w:tr w14:paraId="45F4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FB6B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年度部门整体支出预算</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E8F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资金总额</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518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财政拨款</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B51B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r>
      <w:tr w14:paraId="7DDA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A990">
            <w:pPr>
              <w:jc w:val="center"/>
              <w:rPr>
                <w:rFonts w:hint="eastAsia" w:ascii="宋体" w:hAnsi="宋体" w:eastAsia="宋体" w:cs="宋体"/>
                <w:b w:val="0"/>
                <w:bCs w:val="0"/>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DEC2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902.38</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5F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902.38</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7B1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r>
      <w:tr w14:paraId="52D1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BFE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年度总体目标</w:t>
            </w:r>
          </w:p>
        </w:tc>
        <w:tc>
          <w:tcPr>
            <w:tcW w:w="77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AFBCE7">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4"/>
                <w:rFonts w:hint="eastAsia" w:ascii="宋体" w:hAnsi="宋体" w:eastAsia="宋体" w:cs="宋体"/>
                <w:b w:val="0"/>
                <w:bCs w:val="0"/>
                <w:lang w:val="en-US" w:eastAsia="zh-CN" w:bidi="ar"/>
              </w:rPr>
              <w:t>坚决执行党和国家的教育方针、政策，管好国家的教育资金，不断改善办学条件。不断提高教育教学质量。保障学校教师的正常办公、生活秩序。保障单位正常运转，为小学阶段学生及学前幼儿提供优质教育服务；保障全体干部教职工工资发放、社会保障、基本医疗保险及住房公积金补助等，提高工作效率；教学设备设施维护购建；校园环境维护，完成平安、文明校园目标</w:t>
            </w:r>
            <w:r>
              <w:rPr>
                <w:rStyle w:val="35"/>
                <w:rFonts w:hint="eastAsia" w:ascii="宋体" w:hAnsi="宋体" w:eastAsia="宋体" w:cs="宋体"/>
                <w:b w:val="0"/>
                <w:bCs w:val="0"/>
                <w:lang w:val="en-US" w:eastAsia="zh-CN" w:bidi="ar"/>
              </w:rPr>
              <w:t>‌</w:t>
            </w:r>
          </w:p>
        </w:tc>
      </w:tr>
      <w:tr w14:paraId="3099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dxa"/>
            <w:vMerge w:val="restart"/>
            <w:tcBorders>
              <w:top w:val="nil"/>
              <w:left w:val="single" w:color="000000" w:sz="4" w:space="0"/>
              <w:bottom w:val="single" w:color="000000" w:sz="4" w:space="0"/>
              <w:right w:val="single" w:color="000000" w:sz="4" w:space="0"/>
            </w:tcBorders>
            <w:shd w:val="clear" w:color="auto" w:fill="auto"/>
            <w:vAlign w:val="center"/>
          </w:tcPr>
          <w:p w14:paraId="6CC17F6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年度主要任务</w:t>
            </w:r>
          </w:p>
        </w:tc>
        <w:tc>
          <w:tcPr>
            <w:tcW w:w="1405" w:type="dxa"/>
            <w:gridSpan w:val="2"/>
            <w:tcBorders>
              <w:top w:val="nil"/>
              <w:left w:val="single" w:color="000000" w:sz="4" w:space="0"/>
              <w:bottom w:val="single" w:color="000000" w:sz="4" w:space="0"/>
              <w:right w:val="single" w:color="000000" w:sz="4" w:space="0"/>
            </w:tcBorders>
            <w:shd w:val="clear" w:color="auto" w:fill="auto"/>
            <w:vAlign w:val="center"/>
          </w:tcPr>
          <w:p w14:paraId="32160C7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任务名称</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51CBA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主要内容</w:t>
            </w:r>
          </w:p>
        </w:tc>
      </w:tr>
      <w:tr w14:paraId="4E1F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1B584E5D">
            <w:pPr>
              <w:jc w:val="center"/>
              <w:rPr>
                <w:rFonts w:hint="eastAsia" w:ascii="宋体" w:hAnsi="宋体" w:eastAsia="宋体" w:cs="宋体"/>
                <w:b w:val="0"/>
                <w:bCs w:val="0"/>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AEC3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教育教学</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9F58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抓好教学教育工作，不断提高教育质量。加强教学常规工作管理保证无辍学，加强对学生的思想品德教育，使学生的德智体全面发展。加强学校德育工作和班主任队伍建设, 积极开展班队活动，打造以爱国主义教育为特色的书香校园；进行防疫培训，提高学生身体和心理素质。</w:t>
            </w:r>
          </w:p>
        </w:tc>
      </w:tr>
      <w:tr w14:paraId="2033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173E20B1">
            <w:pPr>
              <w:jc w:val="center"/>
              <w:rPr>
                <w:rFonts w:hint="eastAsia" w:ascii="宋体" w:hAnsi="宋体" w:eastAsia="宋体" w:cs="宋体"/>
                <w:b w:val="0"/>
                <w:bCs w:val="0"/>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6D9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师培师训</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4063B2">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抓好教师队伍建设，打造德才兼备的教师队伍。加强教师目标管理、师德教育，进行教师培训，狠抓教师队伍建设，打造一支品德高尚、业务过硬、德才兼备的教师队伍。</w:t>
            </w:r>
          </w:p>
        </w:tc>
      </w:tr>
      <w:tr w14:paraId="4723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20802CDE">
            <w:pPr>
              <w:jc w:val="center"/>
              <w:rPr>
                <w:rFonts w:hint="eastAsia" w:ascii="宋体" w:hAnsi="宋体" w:eastAsia="宋体" w:cs="宋体"/>
                <w:b w:val="0"/>
                <w:bCs w:val="0"/>
                <w:i w:val="0"/>
                <w:iCs w:val="0"/>
                <w:color w:val="000000"/>
                <w:sz w:val="18"/>
                <w:szCs w:val="18"/>
                <w:u w:val="none"/>
              </w:rPr>
            </w:pP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B635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其他工作</w:t>
            </w:r>
          </w:p>
        </w:tc>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46E3A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全方位保障校园安全。保证教学工作的开展，加强学校安全工作，切实做好交通安全、防溺水安全、防火安全、食品安全等工作，规范食堂管理，确保食品安全卫生，完成上级部门交给的其他工作。</w:t>
            </w:r>
          </w:p>
        </w:tc>
      </w:tr>
      <w:tr w14:paraId="4E3F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D0D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年度绩效指标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C21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A1E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985" w:type="dxa"/>
            <w:tcBorders>
              <w:top w:val="nil"/>
              <w:left w:val="single" w:color="000000" w:sz="4" w:space="0"/>
              <w:bottom w:val="single" w:color="000000" w:sz="4" w:space="0"/>
              <w:right w:val="single" w:color="000000" w:sz="4" w:space="0"/>
            </w:tcBorders>
            <w:shd w:val="clear" w:color="auto" w:fill="auto"/>
            <w:vAlign w:val="center"/>
          </w:tcPr>
          <w:p w14:paraId="57D5505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878" w:type="dxa"/>
            <w:tcBorders>
              <w:top w:val="nil"/>
              <w:left w:val="single" w:color="000000" w:sz="4" w:space="0"/>
              <w:bottom w:val="single" w:color="000000" w:sz="4" w:space="0"/>
              <w:right w:val="single" w:color="000000" w:sz="4" w:space="0"/>
            </w:tcBorders>
            <w:shd w:val="clear" w:color="auto" w:fill="auto"/>
            <w:vAlign w:val="center"/>
          </w:tcPr>
          <w:p w14:paraId="2952CD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绩效指标性质</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502D9B6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绩效指标值</w:t>
            </w:r>
          </w:p>
        </w:tc>
        <w:tc>
          <w:tcPr>
            <w:tcW w:w="891" w:type="dxa"/>
            <w:tcBorders>
              <w:top w:val="nil"/>
              <w:left w:val="single" w:color="000000" w:sz="4" w:space="0"/>
              <w:bottom w:val="single" w:color="000000" w:sz="4" w:space="0"/>
              <w:right w:val="single" w:color="000000" w:sz="4" w:space="0"/>
            </w:tcBorders>
            <w:shd w:val="clear" w:color="auto" w:fill="auto"/>
            <w:vAlign w:val="center"/>
          </w:tcPr>
          <w:p w14:paraId="3B9CDAE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绩效度量单位</w:t>
            </w:r>
          </w:p>
        </w:tc>
        <w:tc>
          <w:tcPr>
            <w:tcW w:w="662" w:type="dxa"/>
            <w:tcBorders>
              <w:top w:val="nil"/>
              <w:left w:val="single" w:color="000000" w:sz="4" w:space="0"/>
              <w:bottom w:val="single" w:color="000000" w:sz="4" w:space="0"/>
              <w:right w:val="nil"/>
            </w:tcBorders>
            <w:shd w:val="clear" w:color="auto" w:fill="auto"/>
            <w:vAlign w:val="center"/>
          </w:tcPr>
          <w:p w14:paraId="5F010B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4B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实际完成指标值</w:t>
            </w:r>
          </w:p>
        </w:tc>
      </w:tr>
      <w:tr w14:paraId="1406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4DFF">
            <w:pPr>
              <w:jc w:val="center"/>
              <w:rPr>
                <w:rFonts w:hint="eastAsia" w:ascii="宋体" w:hAnsi="宋体" w:eastAsia="宋体" w:cs="宋体"/>
                <w:b w:val="0"/>
                <w:bCs w:val="0"/>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7CC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423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C19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完成义务教育学生教学工作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DA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9F5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2104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4B3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人数</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414593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A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2014</w:t>
            </w:r>
          </w:p>
        </w:tc>
      </w:tr>
      <w:tr w14:paraId="44CB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47D7">
            <w:pPr>
              <w:jc w:val="center"/>
              <w:rPr>
                <w:rFonts w:hint="eastAsia" w:ascii="宋体" w:hAnsi="宋体" w:eastAsia="宋体" w:cs="宋体"/>
                <w:b w:val="0"/>
                <w:bCs w:val="0"/>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07F1">
            <w:pPr>
              <w:jc w:val="center"/>
              <w:rPr>
                <w:rFonts w:hint="eastAsia" w:ascii="宋体" w:hAnsi="宋体" w:eastAsia="宋体" w:cs="宋体"/>
                <w:b w:val="0"/>
                <w:bCs w:val="0"/>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5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质量指标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C0D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义务教育普及率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05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1E2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27A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148FB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C2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r>
      <w:tr w14:paraId="465D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3DC6">
            <w:pPr>
              <w:jc w:val="center"/>
              <w:rPr>
                <w:rFonts w:hint="eastAsia" w:ascii="宋体" w:hAnsi="宋体" w:eastAsia="宋体" w:cs="宋体"/>
                <w:b w:val="0"/>
                <w:bCs w:val="0"/>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923C">
            <w:pPr>
              <w:jc w:val="center"/>
              <w:rPr>
                <w:rFonts w:hint="eastAsia" w:ascii="宋体" w:hAnsi="宋体" w:eastAsia="宋体" w:cs="宋体"/>
                <w:b w:val="0"/>
                <w:bCs w:val="0"/>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00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时效指标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5A1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资金支付、完成工作及时性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4BA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36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优良中低差</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D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508F1B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87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w:t>
            </w:r>
          </w:p>
        </w:tc>
      </w:tr>
      <w:tr w14:paraId="05B0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067C">
            <w:pPr>
              <w:jc w:val="center"/>
              <w:rPr>
                <w:rFonts w:hint="eastAsia" w:ascii="宋体" w:hAnsi="宋体" w:eastAsia="宋体" w:cs="宋体"/>
                <w:b w:val="0"/>
                <w:bCs w:val="0"/>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396E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61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EB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稳步提升教育教学质量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7F3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0A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优良中低差</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A53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59894A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C0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w:t>
            </w:r>
          </w:p>
        </w:tc>
      </w:tr>
      <w:tr w14:paraId="3899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F685">
            <w:pPr>
              <w:jc w:val="center"/>
              <w:rPr>
                <w:rFonts w:hint="eastAsia" w:ascii="宋体" w:hAnsi="宋体" w:eastAsia="宋体" w:cs="宋体"/>
                <w:b w:val="0"/>
                <w:bCs w:val="0"/>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F32E">
            <w:pPr>
              <w:jc w:val="center"/>
              <w:rPr>
                <w:rFonts w:hint="eastAsia" w:ascii="宋体" w:hAnsi="宋体" w:eastAsia="宋体" w:cs="宋体"/>
                <w:b w:val="0"/>
                <w:bCs w:val="0"/>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4E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可持续发展指标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07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学生全面发展</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0B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E26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优良中低差</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56B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04DF4B8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EE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良</w:t>
            </w:r>
          </w:p>
        </w:tc>
      </w:tr>
      <w:tr w14:paraId="1F13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AA627">
            <w:pPr>
              <w:jc w:val="center"/>
              <w:rPr>
                <w:rFonts w:hint="eastAsia" w:ascii="宋体" w:hAnsi="宋体" w:eastAsia="宋体" w:cs="宋体"/>
                <w:b w:val="0"/>
                <w:bCs w:val="0"/>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FB6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满意度指标</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9109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服务对象满意度指标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BE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家长满意度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D24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A3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42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01763F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4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w:t>
            </w:r>
          </w:p>
        </w:tc>
      </w:tr>
      <w:tr w14:paraId="450A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3B85">
            <w:pPr>
              <w:jc w:val="center"/>
              <w:rPr>
                <w:rFonts w:hint="eastAsia" w:ascii="宋体" w:hAnsi="宋体" w:eastAsia="宋体" w:cs="宋体"/>
                <w:b w:val="0"/>
                <w:bCs w:val="0"/>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06FD">
            <w:pPr>
              <w:jc w:val="center"/>
              <w:rPr>
                <w:rFonts w:hint="eastAsia" w:ascii="宋体" w:hAnsi="宋体" w:eastAsia="宋体" w:cs="宋体"/>
                <w:b w:val="0"/>
                <w:bCs w:val="0"/>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F806">
            <w:pPr>
              <w:jc w:val="center"/>
              <w:rPr>
                <w:rFonts w:hint="eastAsia" w:ascii="宋体" w:hAnsi="宋体" w:eastAsia="宋体" w:cs="宋体"/>
                <w:b w:val="0"/>
                <w:bCs w:val="0"/>
                <w:i w:val="0"/>
                <w:iCs w:val="0"/>
                <w:color w:val="000000"/>
                <w:sz w:val="18"/>
                <w:szCs w:val="18"/>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FF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师生满意度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D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EB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2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142261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A4E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97</w:t>
            </w:r>
          </w:p>
        </w:tc>
      </w:tr>
      <w:tr w14:paraId="37C8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26597">
            <w:pPr>
              <w:jc w:val="center"/>
              <w:rPr>
                <w:rFonts w:hint="eastAsia" w:ascii="宋体" w:hAnsi="宋体" w:eastAsia="宋体" w:cs="宋体"/>
                <w:b w:val="0"/>
                <w:bCs w:val="0"/>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C3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成本指标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CAC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经济成本指标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FC6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节能减排，水电气消耗同比下降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556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4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0F1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nil"/>
            </w:tcBorders>
            <w:shd w:val="clear" w:color="auto" w:fill="auto"/>
            <w:vAlign w:val="center"/>
          </w:tcPr>
          <w:p w14:paraId="221D486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AF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r>
    </w:tbl>
    <w:p w14:paraId="0AD52063">
      <w:pPr>
        <w:pStyle w:val="2"/>
        <w:spacing w:before="93"/>
        <w:rPr>
          <w:rFonts w:hint="eastAsia" w:ascii="宋体" w:hAnsi="宋体" w:eastAsia="宋体" w:cs="宋体"/>
          <w:b w:val="0"/>
          <w:bCs w:val="0"/>
          <w:sz w:val="32"/>
          <w:szCs w:val="32"/>
        </w:rPr>
      </w:pPr>
    </w:p>
    <w:p w14:paraId="0A09452A">
      <w:pPr>
        <w:pStyle w:val="2"/>
        <w:spacing w:before="93"/>
        <w:rPr>
          <w:rFonts w:hint="eastAsia" w:ascii="宋体" w:hAnsi="宋体" w:eastAsia="宋体" w:cs="宋体"/>
          <w:b w:val="0"/>
          <w:bCs w:val="0"/>
          <w:sz w:val="32"/>
          <w:szCs w:val="32"/>
        </w:rPr>
      </w:pPr>
    </w:p>
    <w:p w14:paraId="6FF65055">
      <w:pPr>
        <w:pStyle w:val="2"/>
        <w:spacing w:before="93"/>
        <w:rPr>
          <w:rFonts w:hint="eastAsia" w:ascii="宋体" w:hAnsi="宋体" w:eastAsia="宋体" w:cs="宋体"/>
          <w:b w:val="0"/>
          <w:bCs w:val="0"/>
          <w:sz w:val="32"/>
          <w:szCs w:val="32"/>
        </w:rPr>
      </w:pPr>
    </w:p>
    <w:p w14:paraId="7EB235CB">
      <w:pPr>
        <w:pStyle w:val="2"/>
        <w:spacing w:before="93"/>
        <w:rPr>
          <w:rFonts w:hint="eastAsia" w:ascii="宋体" w:hAnsi="宋体" w:eastAsia="宋体" w:cs="宋体"/>
          <w:b w:val="0"/>
          <w:bCs w:val="0"/>
          <w:sz w:val="32"/>
          <w:szCs w:val="32"/>
        </w:rPr>
      </w:pPr>
    </w:p>
    <w:p w14:paraId="08D67D7B">
      <w:pPr>
        <w:pStyle w:val="2"/>
        <w:spacing w:before="93"/>
        <w:rPr>
          <w:rFonts w:hint="eastAsia" w:ascii="宋体" w:hAnsi="宋体" w:eastAsia="宋体" w:cs="宋体"/>
          <w:b w:val="0"/>
          <w:bCs w:val="0"/>
          <w:sz w:val="32"/>
          <w:szCs w:val="32"/>
        </w:rPr>
      </w:pPr>
    </w:p>
    <w:p w14:paraId="402A4D5A">
      <w:pPr>
        <w:pStyle w:val="2"/>
        <w:spacing w:before="93"/>
        <w:rPr>
          <w:rFonts w:hint="eastAsia" w:ascii="宋体" w:hAnsi="宋体" w:eastAsia="宋体" w:cs="宋体"/>
          <w:b w:val="0"/>
          <w:bCs w:val="0"/>
          <w:sz w:val="32"/>
          <w:szCs w:val="32"/>
        </w:rPr>
      </w:pPr>
    </w:p>
    <w:p w14:paraId="526CF410">
      <w:pPr>
        <w:pStyle w:val="2"/>
        <w:spacing w:before="93"/>
        <w:rPr>
          <w:rFonts w:hint="eastAsia" w:ascii="宋体" w:hAnsi="宋体" w:eastAsia="宋体" w:cs="宋体"/>
          <w:b w:val="0"/>
          <w:bCs w:val="0"/>
          <w:sz w:val="32"/>
          <w:szCs w:val="32"/>
        </w:rPr>
      </w:pPr>
    </w:p>
    <w:p w14:paraId="5B690D8C">
      <w:pPr>
        <w:pStyle w:val="2"/>
        <w:spacing w:before="93"/>
        <w:rPr>
          <w:rFonts w:hint="eastAsia" w:ascii="宋体" w:hAnsi="宋体" w:eastAsia="宋体" w:cs="宋体"/>
          <w:b w:val="0"/>
          <w:bCs w:val="0"/>
          <w:sz w:val="32"/>
          <w:szCs w:val="32"/>
        </w:rPr>
      </w:pPr>
    </w:p>
    <w:p w14:paraId="5D6C52AB">
      <w:pPr>
        <w:pStyle w:val="2"/>
        <w:spacing w:before="93"/>
        <w:rPr>
          <w:rFonts w:hint="eastAsia" w:ascii="宋体" w:hAnsi="宋体" w:eastAsia="宋体" w:cs="宋体"/>
          <w:b w:val="0"/>
          <w:bCs w:val="0"/>
          <w:sz w:val="32"/>
          <w:szCs w:val="32"/>
        </w:rPr>
      </w:pPr>
    </w:p>
    <w:p w14:paraId="0CD9FAF1">
      <w:pPr>
        <w:pStyle w:val="2"/>
        <w:spacing w:before="93"/>
        <w:rPr>
          <w:rFonts w:hint="eastAsia" w:ascii="宋体" w:hAnsi="宋体" w:eastAsia="宋体" w:cs="宋体"/>
          <w:b w:val="0"/>
          <w:bCs w:val="0"/>
          <w:sz w:val="32"/>
          <w:szCs w:val="32"/>
        </w:rPr>
      </w:pPr>
    </w:p>
    <w:p w14:paraId="27089E5C">
      <w:pPr>
        <w:pStyle w:val="2"/>
        <w:spacing w:before="93"/>
        <w:rPr>
          <w:rFonts w:hint="eastAsia" w:ascii="宋体" w:hAnsi="宋体" w:eastAsia="宋体" w:cs="宋体"/>
          <w:b w:val="0"/>
          <w:bCs w:val="0"/>
          <w:sz w:val="32"/>
          <w:szCs w:val="32"/>
        </w:rPr>
      </w:pPr>
    </w:p>
    <w:p w14:paraId="03DC6EBB">
      <w:pPr>
        <w:pStyle w:val="2"/>
        <w:spacing w:before="93"/>
        <w:rPr>
          <w:rFonts w:hint="eastAsia" w:ascii="宋体" w:hAnsi="宋体" w:eastAsia="宋体" w:cs="宋体"/>
          <w:b w:val="0"/>
          <w:bCs w:val="0"/>
          <w:sz w:val="32"/>
          <w:szCs w:val="32"/>
          <w:lang w:val="en-US" w:eastAsia="zh-CN"/>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宋体" w:hAnsi="宋体" w:eastAsia="宋体" w:cs="宋体"/>
          <w:b w:val="0"/>
          <w:bCs w:val="0"/>
          <w:sz w:val="32"/>
          <w:szCs w:val="32"/>
          <w:lang w:val="en-US" w:eastAsia="zh-CN"/>
        </w:rPr>
        <w:t xml:space="preserve">                                        </w:t>
      </w:r>
    </w:p>
    <w:p w14:paraId="38B40FCB">
      <w:pPr>
        <w:pStyle w:val="2"/>
        <w:spacing w:before="93"/>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tbl>
      <w:tblPr>
        <w:tblStyle w:val="14"/>
        <w:tblW w:w="126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843"/>
        <w:gridCol w:w="1588"/>
        <w:gridCol w:w="2032"/>
        <w:gridCol w:w="473"/>
        <w:gridCol w:w="1507"/>
        <w:gridCol w:w="473"/>
        <w:gridCol w:w="985"/>
        <w:gridCol w:w="486"/>
        <w:gridCol w:w="405"/>
        <w:gridCol w:w="2285"/>
      </w:tblGrid>
      <w:tr w14:paraId="3149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7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B22C05">
            <w:pPr>
              <w:keepNext w:val="0"/>
              <w:keepLines w:val="0"/>
              <w:widowControl/>
              <w:suppressLineNumbers w:val="0"/>
              <w:jc w:val="center"/>
              <w:textAlignment w:val="center"/>
              <w:rPr>
                <w:rFonts w:hint="eastAsia" w:ascii="宋体" w:hAnsi="宋体" w:eastAsia="宋体" w:cs="宋体"/>
                <w:b w:val="0"/>
                <w:bCs w:val="0"/>
                <w:i w:val="0"/>
                <w:iCs w:val="0"/>
                <w:color w:val="000000"/>
                <w:sz w:val="30"/>
                <w:szCs w:val="30"/>
                <w:u w:val="none"/>
              </w:rPr>
            </w:pPr>
            <w:r>
              <w:rPr>
                <w:rFonts w:hint="eastAsia" w:ascii="宋体" w:hAnsi="宋体" w:eastAsia="宋体" w:cs="宋体"/>
                <w:b w:val="0"/>
                <w:bCs w:val="0"/>
                <w:i w:val="0"/>
                <w:iCs w:val="0"/>
                <w:color w:val="000000"/>
                <w:kern w:val="0"/>
                <w:sz w:val="28"/>
                <w:szCs w:val="28"/>
                <w:u w:val="none"/>
                <w:lang w:val="en-US" w:eastAsia="zh-CN" w:bidi="ar"/>
              </w:rPr>
              <w:t>部门预算项目支出绩效自评表（2023年度）</w:t>
            </w:r>
          </w:p>
        </w:tc>
      </w:tr>
      <w:tr w14:paraId="5333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29A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6B006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51172422T000005719903-营养餐</w:t>
            </w:r>
          </w:p>
        </w:tc>
      </w:tr>
      <w:tr w14:paraId="7D31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82DA6">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8FFA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大竹县高明初级中学部门</w:t>
            </w:r>
          </w:p>
        </w:tc>
        <w:tc>
          <w:tcPr>
            <w:tcW w:w="986" w:type="dxa"/>
            <w:tcBorders>
              <w:top w:val="nil"/>
              <w:left w:val="nil"/>
              <w:bottom w:val="nil"/>
              <w:right w:val="nil"/>
            </w:tcBorders>
            <w:shd w:val="clear" w:color="auto" w:fill="auto"/>
            <w:vAlign w:val="center"/>
          </w:tcPr>
          <w:p w14:paraId="635D667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实施单位 （盖章）</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24E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大竹县高明初级中学</w:t>
            </w:r>
          </w:p>
        </w:tc>
      </w:tr>
      <w:tr w14:paraId="6DEF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7D28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13D8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F5C5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BD02A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年度目标完成情况</w:t>
            </w:r>
          </w:p>
        </w:tc>
      </w:tr>
      <w:tr w14:paraId="3D5A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8834">
            <w:pPr>
              <w:rPr>
                <w:rFonts w:hint="eastAsia" w:ascii="宋体" w:hAnsi="宋体" w:eastAsia="宋体" w:cs="宋体"/>
                <w:b w:val="0"/>
                <w:bCs w:val="0"/>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C4E3">
            <w:pPr>
              <w:rPr>
                <w:rFonts w:hint="eastAsia" w:ascii="宋体" w:hAnsi="宋体" w:eastAsia="宋体" w:cs="宋体"/>
                <w:b w:val="0"/>
                <w:bCs w:val="0"/>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833F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严格执行相关政策，保障足额发放。</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B768E">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让义务教育阶段学生享受营养餐，提升学生生活营养</w:t>
            </w:r>
          </w:p>
        </w:tc>
      </w:tr>
      <w:tr w14:paraId="2380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1A5F">
            <w:pP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2C4">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2.项目实施内容及过程概述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CB3792">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让义务教育阶段学生享受营养餐，提升学生生活营养</w:t>
            </w:r>
          </w:p>
        </w:tc>
      </w:tr>
      <w:tr w14:paraId="6EF9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C20E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60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B77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8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CB02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A6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3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1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359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原因</w:t>
            </w:r>
          </w:p>
        </w:tc>
      </w:tr>
      <w:tr w14:paraId="3E37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40DA">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67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510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272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41.59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FDE5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41.59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8D6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F36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6F8">
            <w:pPr>
              <w:jc w:val="center"/>
              <w:rPr>
                <w:rFonts w:hint="eastAsia" w:ascii="宋体" w:hAnsi="宋体" w:eastAsia="宋体" w:cs="宋体"/>
                <w:b w:val="0"/>
                <w:bCs w:val="0"/>
                <w:i w:val="0"/>
                <w:iCs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D576B">
            <w:pPr>
              <w:rPr>
                <w:rFonts w:hint="eastAsia" w:ascii="宋体" w:hAnsi="宋体" w:eastAsia="宋体" w:cs="宋体"/>
                <w:b w:val="0"/>
                <w:bCs w:val="0"/>
                <w:i/>
                <w:iCs/>
                <w:color w:val="000000"/>
                <w:sz w:val="18"/>
                <w:szCs w:val="18"/>
                <w:u w:val="none"/>
              </w:rPr>
            </w:pPr>
          </w:p>
        </w:tc>
      </w:tr>
      <w:tr w14:paraId="5F57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5E52">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E7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A14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D6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41.59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1064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41.59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4F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7A3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41D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5795">
            <w:pPr>
              <w:rPr>
                <w:rFonts w:hint="eastAsia" w:ascii="宋体" w:hAnsi="宋体" w:eastAsia="宋体" w:cs="宋体"/>
                <w:b w:val="0"/>
                <w:bCs w:val="0"/>
                <w:i/>
                <w:iCs/>
                <w:color w:val="000000"/>
                <w:sz w:val="18"/>
                <w:szCs w:val="18"/>
                <w:u w:val="none"/>
              </w:rPr>
            </w:pPr>
          </w:p>
        </w:tc>
      </w:tr>
      <w:tr w14:paraId="1FDB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7E92">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4E7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43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E5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2D72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F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7C4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A3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6C7B">
            <w:pPr>
              <w:rPr>
                <w:rFonts w:hint="eastAsia" w:ascii="宋体" w:hAnsi="宋体" w:eastAsia="宋体" w:cs="宋体"/>
                <w:b w:val="0"/>
                <w:bCs w:val="0"/>
                <w:i/>
                <w:iCs/>
                <w:color w:val="000000"/>
                <w:sz w:val="18"/>
                <w:szCs w:val="18"/>
                <w:u w:val="none"/>
              </w:rPr>
            </w:pPr>
          </w:p>
        </w:tc>
      </w:tr>
      <w:tr w14:paraId="2095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9864">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DB5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C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58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2795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673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180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BF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C672">
            <w:pPr>
              <w:rPr>
                <w:rFonts w:hint="eastAsia" w:ascii="宋体" w:hAnsi="宋体" w:eastAsia="宋体" w:cs="宋体"/>
                <w:b w:val="0"/>
                <w:bCs w:val="0"/>
                <w:i/>
                <w:iCs/>
                <w:color w:val="000000"/>
                <w:sz w:val="18"/>
                <w:szCs w:val="18"/>
                <w:u w:val="none"/>
              </w:rPr>
            </w:pPr>
          </w:p>
        </w:tc>
      </w:tr>
      <w:tr w14:paraId="4CE9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EF0D">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84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37F3">
            <w:pPr>
              <w:jc w:val="center"/>
              <w:rPr>
                <w:rFonts w:hint="eastAsia" w:ascii="宋体" w:hAnsi="宋体" w:eastAsia="宋体" w:cs="宋体"/>
                <w:b w:val="0"/>
                <w:bCs w:val="0"/>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3C7A">
            <w:pPr>
              <w:jc w:val="center"/>
              <w:rPr>
                <w:rFonts w:hint="eastAsia" w:ascii="宋体" w:hAnsi="宋体" w:eastAsia="宋体" w:cs="宋体"/>
                <w:b w:val="0"/>
                <w:bCs w:val="0"/>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35AC1">
            <w:pPr>
              <w:jc w:val="center"/>
              <w:rPr>
                <w:rFonts w:hint="eastAsia" w:ascii="宋体" w:hAnsi="宋体" w:eastAsia="宋体" w:cs="宋体"/>
                <w:b w:val="0"/>
                <w:bCs w:val="0"/>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74D">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061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8F6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35F21">
            <w:pPr>
              <w:rPr>
                <w:rFonts w:hint="eastAsia" w:ascii="宋体" w:hAnsi="宋体" w:eastAsia="宋体" w:cs="宋体"/>
                <w:b w:val="0"/>
                <w:bCs w:val="0"/>
                <w:i/>
                <w:iCs/>
                <w:color w:val="000000"/>
                <w:sz w:val="18"/>
                <w:szCs w:val="18"/>
                <w:u w:val="none"/>
              </w:rPr>
            </w:pPr>
          </w:p>
        </w:tc>
      </w:tr>
      <w:tr w14:paraId="218F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237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31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10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E36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BE4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7E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C1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C2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BF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2E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07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未完成原因分析</w:t>
            </w:r>
          </w:p>
        </w:tc>
      </w:tr>
      <w:tr w14:paraId="4F43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E704">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C5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83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CC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财政按时发放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700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B67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C75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3BCC">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54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1317">
            <w:pPr>
              <w:jc w:val="cente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19A0">
            <w:pPr>
              <w:jc w:val="center"/>
              <w:rPr>
                <w:rFonts w:hint="eastAsia" w:ascii="宋体" w:hAnsi="宋体" w:eastAsia="宋体" w:cs="宋体"/>
                <w:b w:val="0"/>
                <w:bCs w:val="0"/>
                <w:i/>
                <w:iCs/>
                <w:color w:val="000000"/>
                <w:sz w:val="16"/>
                <w:szCs w:val="16"/>
                <w:u w:val="none"/>
              </w:rPr>
            </w:pPr>
          </w:p>
        </w:tc>
      </w:tr>
      <w:tr w14:paraId="3CF5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B6B0A">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A4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313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F4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2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3B4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FB1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6743">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9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99DA">
            <w:pPr>
              <w:jc w:val="cente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9D5">
            <w:pPr>
              <w:jc w:val="center"/>
              <w:rPr>
                <w:rFonts w:hint="eastAsia" w:ascii="宋体" w:hAnsi="宋体" w:eastAsia="宋体" w:cs="宋体"/>
                <w:b w:val="0"/>
                <w:bCs w:val="0"/>
                <w:i/>
                <w:iCs/>
                <w:color w:val="000000"/>
                <w:sz w:val="16"/>
                <w:szCs w:val="16"/>
                <w:u w:val="none"/>
              </w:rPr>
            </w:pPr>
          </w:p>
        </w:tc>
      </w:tr>
      <w:tr w14:paraId="0880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70D65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9DC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EC1B">
            <w:pP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9934">
            <w:pPr>
              <w:rPr>
                <w:rFonts w:hint="eastAsia" w:ascii="宋体" w:hAnsi="宋体" w:eastAsia="宋体" w:cs="宋体"/>
                <w:b w:val="0"/>
                <w:bCs w:val="0"/>
                <w:i w:val="0"/>
                <w:iCs w:val="0"/>
                <w:color w:val="000000"/>
                <w:sz w:val="18"/>
                <w:szCs w:val="18"/>
                <w:u w:val="none"/>
              </w:rPr>
            </w:pPr>
          </w:p>
        </w:tc>
      </w:tr>
      <w:tr w14:paraId="2403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4FE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bookmarkStart w:id="115" w:name="_GoBack" w:colFirst="1" w:colLast="10"/>
            <w:r>
              <w:rPr>
                <w:rFonts w:hint="eastAsia" w:ascii="宋体" w:hAnsi="宋体" w:eastAsia="宋体" w:cs="宋体"/>
                <w:b w:val="0"/>
                <w:bCs w:val="0"/>
                <w:i w:val="0"/>
                <w:iCs w:val="0"/>
                <w:color w:val="000000"/>
                <w:kern w:val="0"/>
                <w:sz w:val="18"/>
                <w:szCs w:val="18"/>
                <w:u w:val="none"/>
                <w:lang w:val="en-US" w:eastAsia="zh-CN" w:bidi="ar"/>
              </w:rPr>
              <w:t>评价结论</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1BC768">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全校学生足额享受义务教育阶段营养餐改善计划，营养餐饭菜质量好，学生和家长满意。</w:t>
            </w:r>
          </w:p>
        </w:tc>
      </w:tr>
      <w:tr w14:paraId="1EAC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E5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存在问题</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24238D">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无</w:t>
            </w:r>
          </w:p>
        </w:tc>
      </w:tr>
      <w:tr w14:paraId="3658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8A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改进措施</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348BE5">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无</w:t>
            </w:r>
          </w:p>
        </w:tc>
      </w:tr>
      <w:bookmarkEnd w:id="115"/>
      <w:tr w14:paraId="3B4C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D256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项目负责人：王用成</w:t>
            </w:r>
          </w:p>
        </w:tc>
        <w:tc>
          <w:tcPr>
            <w:tcW w:w="6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1CE1A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财务负责人：王健</w:t>
            </w:r>
          </w:p>
        </w:tc>
      </w:tr>
      <w:tr w14:paraId="4F88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08FF8B48">
            <w:pPr>
              <w:rPr>
                <w:rFonts w:hint="eastAsia" w:ascii="宋体" w:hAnsi="宋体" w:eastAsia="宋体" w:cs="宋体"/>
                <w:b w:val="0"/>
                <w:bCs w:val="0"/>
                <w:i w:val="0"/>
                <w:iCs w:val="0"/>
                <w:color w:val="000000"/>
                <w:sz w:val="18"/>
                <w:szCs w:val="18"/>
                <w:u w:val="none"/>
              </w:rPr>
            </w:pPr>
          </w:p>
        </w:tc>
        <w:tc>
          <w:tcPr>
            <w:tcW w:w="1850" w:type="dxa"/>
            <w:tcBorders>
              <w:top w:val="nil"/>
              <w:left w:val="nil"/>
              <w:bottom w:val="nil"/>
              <w:right w:val="nil"/>
            </w:tcBorders>
            <w:shd w:val="clear" w:color="auto" w:fill="auto"/>
            <w:vAlign w:val="center"/>
          </w:tcPr>
          <w:p w14:paraId="455FF5EF">
            <w:pPr>
              <w:rPr>
                <w:rFonts w:hint="eastAsia" w:ascii="宋体" w:hAnsi="宋体" w:eastAsia="宋体" w:cs="宋体"/>
                <w:b w:val="0"/>
                <w:bCs w:val="0"/>
                <w:i w:val="0"/>
                <w:iCs w:val="0"/>
                <w:color w:val="000000"/>
                <w:sz w:val="18"/>
                <w:szCs w:val="18"/>
                <w:u w:val="none"/>
              </w:rPr>
            </w:pPr>
          </w:p>
        </w:tc>
        <w:tc>
          <w:tcPr>
            <w:tcW w:w="1593" w:type="dxa"/>
            <w:tcBorders>
              <w:top w:val="nil"/>
              <w:left w:val="nil"/>
              <w:bottom w:val="nil"/>
              <w:right w:val="nil"/>
            </w:tcBorders>
            <w:shd w:val="clear" w:color="auto" w:fill="auto"/>
            <w:vAlign w:val="center"/>
          </w:tcPr>
          <w:p w14:paraId="32D5D020">
            <w:pPr>
              <w:rPr>
                <w:rFonts w:hint="eastAsia" w:ascii="宋体" w:hAnsi="宋体" w:eastAsia="宋体" w:cs="宋体"/>
                <w:b w:val="0"/>
                <w:bCs w:val="0"/>
                <w:i w:val="0"/>
                <w:iCs w:val="0"/>
                <w:color w:val="000000"/>
                <w:sz w:val="18"/>
                <w:szCs w:val="18"/>
                <w:u w:val="none"/>
              </w:rPr>
            </w:pPr>
          </w:p>
        </w:tc>
        <w:tc>
          <w:tcPr>
            <w:tcW w:w="2039" w:type="dxa"/>
            <w:tcBorders>
              <w:top w:val="nil"/>
              <w:left w:val="nil"/>
              <w:bottom w:val="nil"/>
              <w:right w:val="nil"/>
            </w:tcBorders>
            <w:shd w:val="clear" w:color="auto" w:fill="auto"/>
            <w:vAlign w:val="center"/>
          </w:tcPr>
          <w:p w14:paraId="3ABCB983">
            <w:pPr>
              <w:rPr>
                <w:rFonts w:hint="eastAsia" w:ascii="宋体" w:hAnsi="宋体" w:eastAsia="宋体" w:cs="宋体"/>
                <w:b w:val="0"/>
                <w:bCs w:val="0"/>
                <w:i w:val="0"/>
                <w:iCs w:val="0"/>
                <w:color w:val="000000"/>
                <w:sz w:val="18"/>
                <w:szCs w:val="18"/>
                <w:u w:val="none"/>
              </w:rPr>
            </w:pPr>
          </w:p>
        </w:tc>
        <w:tc>
          <w:tcPr>
            <w:tcW w:w="473" w:type="dxa"/>
            <w:tcBorders>
              <w:top w:val="nil"/>
              <w:left w:val="nil"/>
              <w:bottom w:val="nil"/>
              <w:right w:val="nil"/>
            </w:tcBorders>
            <w:shd w:val="clear" w:color="auto" w:fill="auto"/>
            <w:vAlign w:val="center"/>
          </w:tcPr>
          <w:p w14:paraId="3B6B6E78">
            <w:pPr>
              <w:rPr>
                <w:rFonts w:hint="eastAsia" w:ascii="宋体" w:hAnsi="宋体" w:eastAsia="宋体" w:cs="宋体"/>
                <w:b w:val="0"/>
                <w:bCs w:val="0"/>
                <w:i w:val="0"/>
                <w:iCs w:val="0"/>
                <w:color w:val="000000"/>
                <w:sz w:val="18"/>
                <w:szCs w:val="18"/>
                <w:u w:val="none"/>
              </w:rPr>
            </w:pPr>
          </w:p>
        </w:tc>
        <w:tc>
          <w:tcPr>
            <w:tcW w:w="1512" w:type="dxa"/>
            <w:tcBorders>
              <w:top w:val="nil"/>
              <w:left w:val="nil"/>
              <w:bottom w:val="nil"/>
              <w:right w:val="nil"/>
            </w:tcBorders>
            <w:shd w:val="clear" w:color="auto" w:fill="auto"/>
            <w:vAlign w:val="center"/>
          </w:tcPr>
          <w:p w14:paraId="277D6D2A">
            <w:pPr>
              <w:rPr>
                <w:rFonts w:hint="eastAsia" w:ascii="宋体" w:hAnsi="宋体" w:eastAsia="宋体" w:cs="宋体"/>
                <w:b w:val="0"/>
                <w:bCs w:val="0"/>
                <w:i w:val="0"/>
                <w:iCs w:val="0"/>
                <w:color w:val="000000"/>
                <w:sz w:val="18"/>
                <w:szCs w:val="18"/>
                <w:u w:val="none"/>
              </w:rPr>
            </w:pPr>
          </w:p>
        </w:tc>
        <w:tc>
          <w:tcPr>
            <w:tcW w:w="473" w:type="dxa"/>
            <w:tcBorders>
              <w:top w:val="nil"/>
              <w:left w:val="nil"/>
              <w:bottom w:val="nil"/>
              <w:right w:val="nil"/>
            </w:tcBorders>
            <w:shd w:val="clear" w:color="auto" w:fill="auto"/>
            <w:vAlign w:val="center"/>
          </w:tcPr>
          <w:p w14:paraId="4343462D">
            <w:pPr>
              <w:rPr>
                <w:rFonts w:hint="eastAsia" w:ascii="宋体" w:hAnsi="宋体" w:eastAsia="宋体" w:cs="宋体"/>
                <w:b w:val="0"/>
                <w:bCs w:val="0"/>
                <w:i w:val="0"/>
                <w:iCs w:val="0"/>
                <w:color w:val="000000"/>
                <w:sz w:val="18"/>
                <w:szCs w:val="18"/>
                <w:u w:val="none"/>
              </w:rPr>
            </w:pPr>
          </w:p>
        </w:tc>
        <w:tc>
          <w:tcPr>
            <w:tcW w:w="986" w:type="dxa"/>
            <w:tcBorders>
              <w:top w:val="nil"/>
              <w:left w:val="nil"/>
              <w:bottom w:val="nil"/>
              <w:right w:val="nil"/>
            </w:tcBorders>
            <w:shd w:val="clear" w:color="auto" w:fill="auto"/>
            <w:vAlign w:val="center"/>
          </w:tcPr>
          <w:p w14:paraId="299FEEA3">
            <w:pPr>
              <w:rPr>
                <w:rFonts w:hint="eastAsia" w:ascii="宋体" w:hAnsi="宋体" w:eastAsia="宋体" w:cs="宋体"/>
                <w:b w:val="0"/>
                <w:bCs w:val="0"/>
                <w:i w:val="0"/>
                <w:iCs w:val="0"/>
                <w:color w:val="000000"/>
                <w:sz w:val="18"/>
                <w:szCs w:val="18"/>
                <w:u w:val="none"/>
              </w:rPr>
            </w:pPr>
          </w:p>
        </w:tc>
        <w:tc>
          <w:tcPr>
            <w:tcW w:w="459" w:type="dxa"/>
            <w:tcBorders>
              <w:top w:val="nil"/>
              <w:left w:val="nil"/>
              <w:bottom w:val="nil"/>
              <w:right w:val="nil"/>
            </w:tcBorders>
            <w:shd w:val="clear" w:color="auto" w:fill="auto"/>
            <w:vAlign w:val="center"/>
          </w:tcPr>
          <w:p w14:paraId="66BA2A80">
            <w:pPr>
              <w:rPr>
                <w:rFonts w:hint="eastAsia" w:ascii="宋体" w:hAnsi="宋体" w:eastAsia="宋体" w:cs="宋体"/>
                <w:b w:val="0"/>
                <w:bCs w:val="0"/>
                <w:i w:val="0"/>
                <w:iCs w:val="0"/>
                <w:color w:val="000000"/>
                <w:sz w:val="18"/>
                <w:szCs w:val="18"/>
                <w:u w:val="none"/>
              </w:rPr>
            </w:pPr>
          </w:p>
        </w:tc>
        <w:tc>
          <w:tcPr>
            <w:tcW w:w="405" w:type="dxa"/>
            <w:tcBorders>
              <w:top w:val="nil"/>
              <w:left w:val="nil"/>
              <w:bottom w:val="nil"/>
              <w:right w:val="nil"/>
            </w:tcBorders>
            <w:shd w:val="clear" w:color="auto" w:fill="auto"/>
            <w:vAlign w:val="center"/>
          </w:tcPr>
          <w:p w14:paraId="107AB256">
            <w:pPr>
              <w:rPr>
                <w:rFonts w:hint="eastAsia" w:ascii="宋体" w:hAnsi="宋体" w:eastAsia="宋体" w:cs="宋体"/>
                <w:b w:val="0"/>
                <w:bCs w:val="0"/>
                <w:i w:val="0"/>
                <w:iCs w:val="0"/>
                <w:color w:val="000000"/>
                <w:sz w:val="18"/>
                <w:szCs w:val="18"/>
                <w:u w:val="none"/>
              </w:rPr>
            </w:pPr>
          </w:p>
        </w:tc>
        <w:tc>
          <w:tcPr>
            <w:tcW w:w="2295" w:type="dxa"/>
            <w:tcBorders>
              <w:top w:val="nil"/>
              <w:left w:val="nil"/>
              <w:bottom w:val="nil"/>
              <w:right w:val="nil"/>
            </w:tcBorders>
            <w:shd w:val="clear" w:color="auto" w:fill="auto"/>
            <w:vAlign w:val="center"/>
          </w:tcPr>
          <w:p w14:paraId="43C7B9FD">
            <w:pPr>
              <w:rPr>
                <w:rFonts w:hint="eastAsia" w:ascii="宋体" w:hAnsi="宋体" w:eastAsia="宋体" w:cs="宋体"/>
                <w:b w:val="0"/>
                <w:bCs w:val="0"/>
                <w:i w:val="0"/>
                <w:iCs w:val="0"/>
                <w:color w:val="000000"/>
                <w:sz w:val="18"/>
                <w:szCs w:val="18"/>
                <w:u w:val="none"/>
              </w:rPr>
            </w:pPr>
          </w:p>
        </w:tc>
      </w:tr>
      <w:tr w14:paraId="7134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7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BC5F8F">
            <w:pPr>
              <w:keepNext w:val="0"/>
              <w:keepLines w:val="0"/>
              <w:widowControl/>
              <w:suppressLineNumbers w:val="0"/>
              <w:jc w:val="center"/>
              <w:textAlignment w:val="center"/>
              <w:rPr>
                <w:rFonts w:hint="eastAsia" w:ascii="宋体" w:hAnsi="宋体" w:eastAsia="宋体" w:cs="宋体"/>
                <w:b w:val="0"/>
                <w:bCs w:val="0"/>
                <w:i w:val="0"/>
                <w:iCs w:val="0"/>
                <w:color w:val="000000"/>
                <w:sz w:val="30"/>
                <w:szCs w:val="30"/>
                <w:u w:val="none"/>
              </w:rPr>
            </w:pPr>
            <w:r>
              <w:rPr>
                <w:rFonts w:hint="eastAsia" w:ascii="宋体" w:hAnsi="宋体" w:eastAsia="宋体" w:cs="宋体"/>
                <w:b w:val="0"/>
                <w:bCs w:val="0"/>
                <w:i w:val="0"/>
                <w:iCs w:val="0"/>
                <w:color w:val="000000"/>
                <w:kern w:val="0"/>
                <w:sz w:val="28"/>
                <w:szCs w:val="28"/>
                <w:u w:val="none"/>
                <w:lang w:val="en-US" w:eastAsia="zh-CN" w:bidi="ar"/>
              </w:rPr>
              <w:t>部门预算项目支出绩效自评表（2023年度）</w:t>
            </w:r>
          </w:p>
        </w:tc>
      </w:tr>
      <w:tr w14:paraId="1740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81A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776D1F">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51172423T000007819583-大竹县高明初级中学男生宿舍楼屋面维修工程</w:t>
            </w:r>
          </w:p>
        </w:tc>
      </w:tr>
      <w:tr w14:paraId="2530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96A2">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3F58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大竹县高明初级中学部门</w:t>
            </w:r>
          </w:p>
        </w:tc>
        <w:tc>
          <w:tcPr>
            <w:tcW w:w="986" w:type="dxa"/>
            <w:tcBorders>
              <w:top w:val="nil"/>
              <w:left w:val="nil"/>
              <w:bottom w:val="nil"/>
              <w:right w:val="nil"/>
            </w:tcBorders>
            <w:shd w:val="clear" w:color="auto" w:fill="auto"/>
            <w:vAlign w:val="center"/>
          </w:tcPr>
          <w:p w14:paraId="2DE2207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实施单位 （盖章）</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DE75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大竹县高明初级中学</w:t>
            </w:r>
          </w:p>
        </w:tc>
      </w:tr>
      <w:tr w14:paraId="38CC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E49D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AA09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366A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4358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年度目标完成情况</w:t>
            </w:r>
          </w:p>
        </w:tc>
      </w:tr>
      <w:tr w14:paraId="7E6D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05A5">
            <w:pPr>
              <w:rPr>
                <w:rFonts w:hint="eastAsia" w:ascii="宋体" w:hAnsi="宋体" w:eastAsia="宋体" w:cs="宋体"/>
                <w:b w:val="0"/>
                <w:bCs w:val="0"/>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AEDF">
            <w:pPr>
              <w:rPr>
                <w:rFonts w:hint="eastAsia" w:ascii="宋体" w:hAnsi="宋体" w:eastAsia="宋体" w:cs="宋体"/>
                <w:b w:val="0"/>
                <w:bCs w:val="0"/>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014C27">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严格执行相关政策，保障及时、足额发放。</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1FCB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严格执行预算，保障学校校舍安全</w:t>
            </w:r>
          </w:p>
        </w:tc>
      </w:tr>
      <w:tr w14:paraId="3151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C5CA">
            <w:pP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D532">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2.项目实施内容及过程概述</w:t>
            </w:r>
          </w:p>
        </w:tc>
        <w:tc>
          <w:tcPr>
            <w:tcW w:w="102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FDB786">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严格执行预算，保障学校校舍安全</w:t>
            </w:r>
          </w:p>
        </w:tc>
      </w:tr>
      <w:tr w14:paraId="5CBE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648F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9DE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78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E8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EC2A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74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B2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6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F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原因</w:t>
            </w:r>
          </w:p>
        </w:tc>
      </w:tr>
      <w:tr w14:paraId="4A0E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E0E7">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50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63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A9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2854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1D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EE2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DFBF">
            <w:pPr>
              <w:jc w:val="center"/>
              <w:rPr>
                <w:rFonts w:hint="eastAsia" w:ascii="宋体" w:hAnsi="宋体" w:eastAsia="宋体" w:cs="宋体"/>
                <w:b w:val="0"/>
                <w:bCs w:val="0"/>
                <w:i w:val="0"/>
                <w:iCs w:val="0"/>
                <w:color w:val="000000"/>
                <w:sz w:val="18"/>
                <w:szCs w:val="18"/>
                <w:u w:val="none"/>
              </w:rPr>
            </w:pP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CBEF">
            <w:pPr>
              <w:rPr>
                <w:rFonts w:hint="eastAsia" w:ascii="宋体" w:hAnsi="宋体" w:eastAsia="宋体" w:cs="宋体"/>
                <w:b w:val="0"/>
                <w:bCs w:val="0"/>
                <w:i/>
                <w:iCs/>
                <w:color w:val="000000"/>
                <w:sz w:val="18"/>
                <w:szCs w:val="18"/>
                <w:u w:val="none"/>
              </w:rPr>
            </w:pPr>
          </w:p>
        </w:tc>
      </w:tr>
      <w:tr w14:paraId="3AEE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DB31">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A9B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B9E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04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86B6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28.00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768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C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01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D6B1">
            <w:pPr>
              <w:rPr>
                <w:rFonts w:hint="eastAsia" w:ascii="宋体" w:hAnsi="宋体" w:eastAsia="宋体" w:cs="宋体"/>
                <w:b w:val="0"/>
                <w:bCs w:val="0"/>
                <w:i/>
                <w:iCs/>
                <w:color w:val="000000"/>
                <w:sz w:val="18"/>
                <w:szCs w:val="18"/>
                <w:u w:val="none"/>
              </w:rPr>
            </w:pPr>
          </w:p>
        </w:tc>
      </w:tr>
      <w:tr w14:paraId="2708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F918">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B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39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D2F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565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0C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F5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AD2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CC155">
            <w:pPr>
              <w:rPr>
                <w:rFonts w:hint="eastAsia" w:ascii="宋体" w:hAnsi="宋体" w:eastAsia="宋体" w:cs="宋体"/>
                <w:b w:val="0"/>
                <w:bCs w:val="0"/>
                <w:i/>
                <w:iCs/>
                <w:color w:val="000000"/>
                <w:sz w:val="18"/>
                <w:szCs w:val="18"/>
                <w:u w:val="none"/>
              </w:rPr>
            </w:pPr>
          </w:p>
        </w:tc>
      </w:tr>
      <w:tr w14:paraId="3A6E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DDC9">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0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DB1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7F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ADDD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47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C2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D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BD87">
            <w:pPr>
              <w:rPr>
                <w:rFonts w:hint="eastAsia" w:ascii="宋体" w:hAnsi="宋体" w:eastAsia="宋体" w:cs="宋体"/>
                <w:b w:val="0"/>
                <w:bCs w:val="0"/>
                <w:i/>
                <w:iCs/>
                <w:color w:val="000000"/>
                <w:sz w:val="18"/>
                <w:szCs w:val="18"/>
                <w:u w:val="none"/>
              </w:rPr>
            </w:pPr>
          </w:p>
        </w:tc>
      </w:tr>
      <w:tr w14:paraId="2F9F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2B45">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F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A377">
            <w:pPr>
              <w:jc w:val="center"/>
              <w:rPr>
                <w:rFonts w:hint="eastAsia" w:ascii="宋体" w:hAnsi="宋体" w:eastAsia="宋体" w:cs="宋体"/>
                <w:b w:val="0"/>
                <w:bCs w:val="0"/>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6CC5">
            <w:pPr>
              <w:jc w:val="center"/>
              <w:rPr>
                <w:rFonts w:hint="eastAsia" w:ascii="宋体" w:hAnsi="宋体" w:eastAsia="宋体" w:cs="宋体"/>
                <w:b w:val="0"/>
                <w:bCs w:val="0"/>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18655">
            <w:pPr>
              <w:jc w:val="center"/>
              <w:rPr>
                <w:rFonts w:hint="eastAsia" w:ascii="宋体" w:hAnsi="宋体" w:eastAsia="宋体" w:cs="宋体"/>
                <w:b w:val="0"/>
                <w:bCs w:val="0"/>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AA6">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023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706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62D3">
            <w:pPr>
              <w:rPr>
                <w:rFonts w:hint="eastAsia" w:ascii="宋体" w:hAnsi="宋体" w:eastAsia="宋体" w:cs="宋体"/>
                <w:b w:val="0"/>
                <w:bCs w:val="0"/>
                <w:i/>
                <w:iCs/>
                <w:color w:val="000000"/>
                <w:sz w:val="18"/>
                <w:szCs w:val="18"/>
                <w:u w:val="none"/>
              </w:rPr>
            </w:pPr>
          </w:p>
        </w:tc>
      </w:tr>
      <w:tr w14:paraId="645A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848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772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4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FC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8B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C9E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70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F4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11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4A5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21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未完成原因分析</w:t>
            </w:r>
          </w:p>
        </w:tc>
      </w:tr>
      <w:tr w14:paraId="3767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6AFD">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2D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3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D7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B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9AC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554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EA9">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A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518">
            <w:pPr>
              <w:jc w:val="cente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A0E7">
            <w:pPr>
              <w:jc w:val="center"/>
              <w:rPr>
                <w:rFonts w:hint="eastAsia" w:ascii="宋体" w:hAnsi="宋体" w:eastAsia="宋体" w:cs="宋体"/>
                <w:b w:val="0"/>
                <w:bCs w:val="0"/>
                <w:i/>
                <w:iCs/>
                <w:color w:val="000000"/>
                <w:sz w:val="16"/>
                <w:szCs w:val="16"/>
                <w:u w:val="none"/>
              </w:rPr>
            </w:pPr>
          </w:p>
        </w:tc>
      </w:tr>
      <w:tr w14:paraId="7F9E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39AA">
            <w:pPr>
              <w:jc w:val="center"/>
              <w:rPr>
                <w:rFonts w:hint="eastAsia" w:ascii="宋体" w:hAnsi="宋体" w:eastAsia="宋体" w:cs="宋体"/>
                <w:b w:val="0"/>
                <w:bCs w:val="0"/>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2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AB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7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7B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57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6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C752">
            <w:pPr>
              <w:jc w:val="center"/>
              <w:rPr>
                <w:rFonts w:hint="eastAsia" w:ascii="宋体" w:hAnsi="宋体" w:eastAsia="宋体" w:cs="宋体"/>
                <w:b w:val="0"/>
                <w:bCs w:val="0"/>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A8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FAC2">
            <w:pPr>
              <w:jc w:val="cente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E720">
            <w:pPr>
              <w:jc w:val="center"/>
              <w:rPr>
                <w:rFonts w:hint="eastAsia" w:ascii="宋体" w:hAnsi="宋体" w:eastAsia="宋体" w:cs="宋体"/>
                <w:b w:val="0"/>
                <w:bCs w:val="0"/>
                <w:i/>
                <w:iCs/>
                <w:color w:val="000000"/>
                <w:sz w:val="16"/>
                <w:szCs w:val="16"/>
                <w:u w:val="none"/>
              </w:rPr>
            </w:pPr>
          </w:p>
        </w:tc>
      </w:tr>
      <w:tr w14:paraId="7035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3A99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F7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9D39">
            <w:pPr>
              <w:rPr>
                <w:rFonts w:hint="eastAsia" w:ascii="宋体" w:hAnsi="宋体" w:eastAsia="宋体" w:cs="宋体"/>
                <w:b w:val="0"/>
                <w:bCs w:val="0"/>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A89">
            <w:pPr>
              <w:rPr>
                <w:rFonts w:hint="eastAsia" w:ascii="宋体" w:hAnsi="宋体" w:eastAsia="宋体" w:cs="宋体"/>
                <w:b w:val="0"/>
                <w:bCs w:val="0"/>
                <w:i w:val="0"/>
                <w:iCs w:val="0"/>
                <w:color w:val="000000"/>
                <w:sz w:val="18"/>
                <w:szCs w:val="18"/>
                <w:u w:val="none"/>
              </w:rPr>
            </w:pPr>
          </w:p>
        </w:tc>
      </w:tr>
      <w:tr w14:paraId="0190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B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评价结论</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0A7161">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改善学校办学条件，提高教学质量。</w:t>
            </w:r>
          </w:p>
        </w:tc>
      </w:tr>
      <w:tr w14:paraId="64D9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F9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存在问题</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30D6A6">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无</w:t>
            </w:r>
          </w:p>
        </w:tc>
      </w:tr>
      <w:tr w14:paraId="2E65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2A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改进措施</w:t>
            </w:r>
          </w:p>
        </w:tc>
        <w:tc>
          <w:tcPr>
            <w:tcW w:w="12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75879B">
            <w:pPr>
              <w:keepNext w:val="0"/>
              <w:keepLines w:val="0"/>
              <w:widowControl/>
              <w:suppressLineNumbers w:val="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无</w:t>
            </w:r>
          </w:p>
        </w:tc>
      </w:tr>
      <w:tr w14:paraId="785D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65B07">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项目负责人：王用成</w:t>
            </w:r>
          </w:p>
        </w:tc>
        <w:tc>
          <w:tcPr>
            <w:tcW w:w="6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0F144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财务负责人：王健</w:t>
            </w:r>
          </w:p>
        </w:tc>
      </w:tr>
      <w:tr w14:paraId="1D7E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 w:type="dxa"/>
            <w:tcBorders>
              <w:top w:val="nil"/>
              <w:left w:val="nil"/>
              <w:bottom w:val="nil"/>
              <w:right w:val="nil"/>
            </w:tcBorders>
            <w:shd w:val="clear" w:color="auto" w:fill="auto"/>
            <w:vAlign w:val="center"/>
          </w:tcPr>
          <w:p w14:paraId="635B78DF">
            <w:pPr>
              <w:rPr>
                <w:rFonts w:hint="eastAsia" w:ascii="宋体" w:hAnsi="宋体" w:eastAsia="宋体" w:cs="宋体"/>
                <w:b w:val="0"/>
                <w:bCs w:val="0"/>
                <w:i w:val="0"/>
                <w:iCs w:val="0"/>
                <w:color w:val="000000"/>
                <w:sz w:val="18"/>
                <w:szCs w:val="18"/>
                <w:u w:val="none"/>
              </w:rPr>
            </w:pPr>
          </w:p>
        </w:tc>
        <w:tc>
          <w:tcPr>
            <w:tcW w:w="1850" w:type="dxa"/>
            <w:tcBorders>
              <w:top w:val="nil"/>
              <w:left w:val="nil"/>
              <w:bottom w:val="nil"/>
              <w:right w:val="nil"/>
            </w:tcBorders>
            <w:shd w:val="clear" w:color="auto" w:fill="auto"/>
            <w:vAlign w:val="center"/>
          </w:tcPr>
          <w:p w14:paraId="18D02E54">
            <w:pPr>
              <w:rPr>
                <w:rFonts w:hint="eastAsia" w:ascii="宋体" w:hAnsi="宋体" w:eastAsia="宋体" w:cs="宋体"/>
                <w:b w:val="0"/>
                <w:bCs w:val="0"/>
                <w:i w:val="0"/>
                <w:iCs w:val="0"/>
                <w:color w:val="000000"/>
                <w:sz w:val="18"/>
                <w:szCs w:val="18"/>
                <w:u w:val="none"/>
              </w:rPr>
            </w:pPr>
          </w:p>
        </w:tc>
        <w:tc>
          <w:tcPr>
            <w:tcW w:w="1593" w:type="dxa"/>
            <w:tcBorders>
              <w:top w:val="nil"/>
              <w:left w:val="nil"/>
              <w:bottom w:val="nil"/>
              <w:right w:val="nil"/>
            </w:tcBorders>
            <w:shd w:val="clear" w:color="auto" w:fill="auto"/>
            <w:vAlign w:val="center"/>
          </w:tcPr>
          <w:p w14:paraId="532C2E7C">
            <w:pPr>
              <w:rPr>
                <w:rFonts w:hint="eastAsia" w:ascii="宋体" w:hAnsi="宋体" w:eastAsia="宋体" w:cs="宋体"/>
                <w:b w:val="0"/>
                <w:bCs w:val="0"/>
                <w:i w:val="0"/>
                <w:iCs w:val="0"/>
                <w:color w:val="000000"/>
                <w:sz w:val="18"/>
                <w:szCs w:val="18"/>
                <w:u w:val="none"/>
              </w:rPr>
            </w:pPr>
          </w:p>
        </w:tc>
        <w:tc>
          <w:tcPr>
            <w:tcW w:w="2039" w:type="dxa"/>
            <w:tcBorders>
              <w:top w:val="nil"/>
              <w:left w:val="nil"/>
              <w:bottom w:val="nil"/>
              <w:right w:val="nil"/>
            </w:tcBorders>
            <w:shd w:val="clear" w:color="auto" w:fill="auto"/>
            <w:vAlign w:val="center"/>
          </w:tcPr>
          <w:p w14:paraId="69D94623">
            <w:pPr>
              <w:rPr>
                <w:rFonts w:hint="eastAsia" w:ascii="宋体" w:hAnsi="宋体" w:eastAsia="宋体" w:cs="宋体"/>
                <w:b w:val="0"/>
                <w:bCs w:val="0"/>
                <w:i w:val="0"/>
                <w:iCs w:val="0"/>
                <w:color w:val="000000"/>
                <w:sz w:val="18"/>
                <w:szCs w:val="18"/>
                <w:u w:val="none"/>
              </w:rPr>
            </w:pPr>
          </w:p>
        </w:tc>
        <w:tc>
          <w:tcPr>
            <w:tcW w:w="473" w:type="dxa"/>
            <w:tcBorders>
              <w:top w:val="nil"/>
              <w:left w:val="nil"/>
              <w:bottom w:val="nil"/>
              <w:right w:val="nil"/>
            </w:tcBorders>
            <w:shd w:val="clear" w:color="auto" w:fill="auto"/>
            <w:vAlign w:val="center"/>
          </w:tcPr>
          <w:p w14:paraId="6DF86585">
            <w:pPr>
              <w:rPr>
                <w:rFonts w:hint="eastAsia" w:ascii="宋体" w:hAnsi="宋体" w:eastAsia="宋体" w:cs="宋体"/>
                <w:b w:val="0"/>
                <w:bCs w:val="0"/>
                <w:i w:val="0"/>
                <w:iCs w:val="0"/>
                <w:color w:val="000000"/>
                <w:sz w:val="18"/>
                <w:szCs w:val="18"/>
                <w:u w:val="none"/>
              </w:rPr>
            </w:pPr>
          </w:p>
        </w:tc>
        <w:tc>
          <w:tcPr>
            <w:tcW w:w="1512" w:type="dxa"/>
            <w:tcBorders>
              <w:top w:val="nil"/>
              <w:left w:val="nil"/>
              <w:bottom w:val="nil"/>
              <w:right w:val="nil"/>
            </w:tcBorders>
            <w:shd w:val="clear" w:color="auto" w:fill="auto"/>
            <w:vAlign w:val="center"/>
          </w:tcPr>
          <w:p w14:paraId="6F3FB2D0">
            <w:pPr>
              <w:rPr>
                <w:rFonts w:hint="eastAsia" w:ascii="宋体" w:hAnsi="宋体" w:eastAsia="宋体" w:cs="宋体"/>
                <w:b w:val="0"/>
                <w:bCs w:val="0"/>
                <w:i w:val="0"/>
                <w:iCs w:val="0"/>
                <w:color w:val="000000"/>
                <w:sz w:val="18"/>
                <w:szCs w:val="18"/>
                <w:u w:val="none"/>
              </w:rPr>
            </w:pPr>
          </w:p>
        </w:tc>
        <w:tc>
          <w:tcPr>
            <w:tcW w:w="473" w:type="dxa"/>
            <w:tcBorders>
              <w:top w:val="nil"/>
              <w:left w:val="nil"/>
              <w:bottom w:val="nil"/>
              <w:right w:val="nil"/>
            </w:tcBorders>
            <w:shd w:val="clear" w:color="auto" w:fill="auto"/>
            <w:vAlign w:val="center"/>
          </w:tcPr>
          <w:p w14:paraId="1DD2BD3B">
            <w:pPr>
              <w:rPr>
                <w:rFonts w:hint="eastAsia" w:ascii="宋体" w:hAnsi="宋体" w:eastAsia="宋体" w:cs="宋体"/>
                <w:b w:val="0"/>
                <w:bCs w:val="0"/>
                <w:i w:val="0"/>
                <w:iCs w:val="0"/>
                <w:color w:val="000000"/>
                <w:sz w:val="18"/>
                <w:szCs w:val="18"/>
                <w:u w:val="none"/>
              </w:rPr>
            </w:pPr>
          </w:p>
        </w:tc>
        <w:tc>
          <w:tcPr>
            <w:tcW w:w="986" w:type="dxa"/>
            <w:tcBorders>
              <w:top w:val="nil"/>
              <w:left w:val="nil"/>
              <w:bottom w:val="nil"/>
              <w:right w:val="nil"/>
            </w:tcBorders>
            <w:shd w:val="clear" w:color="auto" w:fill="auto"/>
            <w:vAlign w:val="center"/>
          </w:tcPr>
          <w:p w14:paraId="7021FD71">
            <w:pPr>
              <w:rPr>
                <w:rFonts w:hint="eastAsia" w:ascii="宋体" w:hAnsi="宋体" w:eastAsia="宋体" w:cs="宋体"/>
                <w:b w:val="0"/>
                <w:bCs w:val="0"/>
                <w:i w:val="0"/>
                <w:iCs w:val="0"/>
                <w:color w:val="000000"/>
                <w:sz w:val="18"/>
                <w:szCs w:val="18"/>
                <w:u w:val="none"/>
              </w:rPr>
            </w:pPr>
          </w:p>
        </w:tc>
        <w:tc>
          <w:tcPr>
            <w:tcW w:w="459" w:type="dxa"/>
            <w:tcBorders>
              <w:top w:val="nil"/>
              <w:left w:val="nil"/>
              <w:bottom w:val="nil"/>
              <w:right w:val="nil"/>
            </w:tcBorders>
            <w:shd w:val="clear" w:color="auto" w:fill="auto"/>
            <w:vAlign w:val="center"/>
          </w:tcPr>
          <w:p w14:paraId="65DDB8FD">
            <w:pPr>
              <w:rPr>
                <w:rFonts w:hint="eastAsia" w:ascii="宋体" w:hAnsi="宋体" w:eastAsia="宋体" w:cs="宋体"/>
                <w:b w:val="0"/>
                <w:bCs w:val="0"/>
                <w:i w:val="0"/>
                <w:iCs w:val="0"/>
                <w:color w:val="000000"/>
                <w:sz w:val="18"/>
                <w:szCs w:val="18"/>
                <w:u w:val="none"/>
              </w:rPr>
            </w:pPr>
          </w:p>
        </w:tc>
        <w:tc>
          <w:tcPr>
            <w:tcW w:w="405" w:type="dxa"/>
            <w:tcBorders>
              <w:top w:val="nil"/>
              <w:left w:val="nil"/>
              <w:bottom w:val="nil"/>
              <w:right w:val="nil"/>
            </w:tcBorders>
            <w:shd w:val="clear" w:color="auto" w:fill="auto"/>
            <w:vAlign w:val="center"/>
          </w:tcPr>
          <w:p w14:paraId="5E0E1757">
            <w:pPr>
              <w:rPr>
                <w:rFonts w:hint="eastAsia" w:ascii="宋体" w:hAnsi="宋体" w:eastAsia="宋体" w:cs="宋体"/>
                <w:b w:val="0"/>
                <w:bCs w:val="0"/>
                <w:i w:val="0"/>
                <w:iCs w:val="0"/>
                <w:color w:val="000000"/>
                <w:sz w:val="18"/>
                <w:szCs w:val="18"/>
                <w:u w:val="none"/>
              </w:rPr>
            </w:pPr>
          </w:p>
        </w:tc>
        <w:tc>
          <w:tcPr>
            <w:tcW w:w="2295" w:type="dxa"/>
            <w:tcBorders>
              <w:top w:val="nil"/>
              <w:left w:val="nil"/>
              <w:bottom w:val="nil"/>
              <w:right w:val="nil"/>
            </w:tcBorders>
            <w:shd w:val="clear" w:color="auto" w:fill="auto"/>
            <w:vAlign w:val="center"/>
          </w:tcPr>
          <w:p w14:paraId="7966A821">
            <w:pPr>
              <w:rPr>
                <w:rFonts w:hint="eastAsia" w:ascii="宋体" w:hAnsi="宋体" w:eastAsia="宋体" w:cs="宋体"/>
                <w:b w:val="0"/>
                <w:bCs w:val="0"/>
                <w:i w:val="0"/>
                <w:iCs w:val="0"/>
                <w:color w:val="000000"/>
                <w:sz w:val="18"/>
                <w:szCs w:val="18"/>
                <w:u w:val="none"/>
              </w:rPr>
            </w:pPr>
          </w:p>
        </w:tc>
      </w:tr>
    </w:tbl>
    <w:p w14:paraId="386BEA9C">
      <w:pPr>
        <w:pStyle w:val="2"/>
        <w:spacing w:before="93"/>
        <w:rPr>
          <w:rFonts w:hint="eastAsia" w:ascii="宋体" w:hAnsi="宋体" w:eastAsia="宋体" w:cs="宋体"/>
          <w:b w:val="0"/>
          <w:bCs w:val="0"/>
          <w:sz w:val="32"/>
          <w:szCs w:val="32"/>
          <w:lang w:val="en-US" w:eastAsia="zh-CN"/>
        </w:rPr>
        <w:sectPr>
          <w:footerReference r:id="rId7" w:type="first"/>
          <w:footerReference r:id="rId6" w:type="default"/>
          <w:pgSz w:w="16838" w:h="11906" w:orient="landscape"/>
          <w:pgMar w:top="1800" w:right="1440" w:bottom="1800" w:left="1440" w:header="851" w:footer="992" w:gutter="0"/>
          <w:pgNumType w:fmt="decimal"/>
          <w:cols w:space="425" w:num="1"/>
          <w:titlePg/>
          <w:docGrid w:type="lines" w:linePitch="312" w:charSpace="0"/>
        </w:sectPr>
      </w:pPr>
      <w:r>
        <w:rPr>
          <w:rFonts w:hint="eastAsia" w:ascii="宋体" w:hAnsi="宋体" w:eastAsia="宋体" w:cs="宋体"/>
          <w:b w:val="0"/>
          <w:bCs w:val="0"/>
          <w:sz w:val="32"/>
          <w:szCs w:val="32"/>
          <w:lang w:val="en-US" w:eastAsia="zh-CN"/>
        </w:rPr>
        <w:t xml:space="preserve">       </w:t>
      </w:r>
    </w:p>
    <w:p w14:paraId="4B102DC9">
      <w:pPr>
        <w:pStyle w:val="3"/>
        <w:bidi w:val="0"/>
        <w:jc w:val="center"/>
        <w:rPr>
          <w:rFonts w:hint="eastAsia"/>
        </w:rPr>
      </w:pPr>
      <w:bookmarkStart w:id="88" w:name="_Toc6218"/>
      <w:r>
        <w:rPr>
          <w:rFonts w:hint="eastAsia"/>
        </w:rPr>
        <w:t>第五部分 附表</w:t>
      </w:r>
      <w:bookmarkEnd w:id="83"/>
      <w:bookmarkEnd w:id="87"/>
      <w:bookmarkEnd w:id="88"/>
      <w:bookmarkStart w:id="89" w:name="_Toc15396619"/>
    </w:p>
    <w:p w14:paraId="713AA5A7">
      <w:pPr>
        <w:pStyle w:val="4"/>
        <w:rPr>
          <w:rFonts w:hint="eastAsia" w:ascii="宋体" w:hAnsi="宋体" w:eastAsia="宋体" w:cs="宋体"/>
          <w:b w:val="0"/>
          <w:bCs w:val="0"/>
          <w:sz w:val="28"/>
          <w:szCs w:val="28"/>
        </w:rPr>
      </w:pPr>
      <w:bookmarkStart w:id="90" w:name="_Toc8132"/>
      <w:r>
        <w:rPr>
          <w:rFonts w:hint="eastAsia" w:ascii="宋体" w:hAnsi="宋体" w:eastAsia="宋体" w:cs="宋体"/>
          <w:b w:val="0"/>
          <w:bCs w:val="0"/>
          <w:sz w:val="28"/>
          <w:szCs w:val="28"/>
        </w:rPr>
        <w:t>一、收</w:t>
      </w:r>
      <w:r>
        <w:rPr>
          <w:rStyle w:val="28"/>
          <w:rFonts w:hint="eastAsia" w:ascii="宋体" w:hAnsi="宋体" w:eastAsia="宋体" w:cs="宋体"/>
          <w:b w:val="0"/>
          <w:bCs w:val="0"/>
          <w:sz w:val="28"/>
          <w:szCs w:val="28"/>
        </w:rPr>
        <w:t>入支出决算总表</w:t>
      </w:r>
      <w:bookmarkEnd w:id="89"/>
      <w:bookmarkEnd w:id="90"/>
    </w:p>
    <w:p w14:paraId="498D2C48">
      <w:pPr>
        <w:pStyle w:val="4"/>
        <w:rPr>
          <w:rFonts w:hint="eastAsia" w:ascii="宋体" w:hAnsi="宋体" w:eastAsia="宋体" w:cs="宋体"/>
          <w:b w:val="0"/>
          <w:bCs w:val="0"/>
          <w:sz w:val="28"/>
          <w:szCs w:val="28"/>
        </w:rPr>
      </w:pPr>
      <w:bookmarkStart w:id="91" w:name="_Toc15396620"/>
      <w:bookmarkStart w:id="92" w:name="_Toc6091"/>
      <w:r>
        <w:rPr>
          <w:rFonts w:hint="eastAsia" w:ascii="宋体" w:hAnsi="宋体" w:eastAsia="宋体" w:cs="宋体"/>
          <w:b w:val="0"/>
          <w:bCs w:val="0"/>
          <w:sz w:val="28"/>
          <w:szCs w:val="28"/>
        </w:rPr>
        <w:t>二、收</w:t>
      </w:r>
      <w:r>
        <w:rPr>
          <w:rStyle w:val="28"/>
          <w:rFonts w:hint="eastAsia" w:ascii="宋体" w:hAnsi="宋体" w:eastAsia="宋体" w:cs="宋体"/>
          <w:b w:val="0"/>
          <w:bCs w:val="0"/>
          <w:sz w:val="28"/>
          <w:szCs w:val="28"/>
        </w:rPr>
        <w:t>入决算表</w:t>
      </w:r>
      <w:bookmarkEnd w:id="91"/>
      <w:bookmarkEnd w:id="92"/>
    </w:p>
    <w:p w14:paraId="6E2F67BB">
      <w:pPr>
        <w:pStyle w:val="4"/>
        <w:rPr>
          <w:rFonts w:hint="eastAsia" w:ascii="宋体" w:hAnsi="宋体" w:eastAsia="宋体" w:cs="宋体"/>
          <w:b w:val="0"/>
          <w:bCs w:val="0"/>
          <w:sz w:val="28"/>
          <w:szCs w:val="28"/>
        </w:rPr>
      </w:pPr>
      <w:bookmarkStart w:id="93" w:name="_Toc15396621"/>
      <w:bookmarkStart w:id="94" w:name="_Toc26307"/>
      <w:r>
        <w:rPr>
          <w:rStyle w:val="28"/>
          <w:rFonts w:hint="eastAsia" w:ascii="宋体" w:hAnsi="宋体" w:eastAsia="宋体" w:cs="宋体"/>
          <w:b w:val="0"/>
          <w:bCs w:val="0"/>
          <w:sz w:val="28"/>
          <w:szCs w:val="28"/>
        </w:rPr>
        <w:t>三、</w:t>
      </w:r>
      <w:r>
        <w:rPr>
          <w:rFonts w:hint="eastAsia" w:ascii="宋体" w:hAnsi="宋体" w:eastAsia="宋体" w:cs="宋体"/>
          <w:b w:val="0"/>
          <w:bCs w:val="0"/>
          <w:sz w:val="28"/>
          <w:szCs w:val="28"/>
        </w:rPr>
        <w:t>支</w:t>
      </w:r>
      <w:r>
        <w:rPr>
          <w:rStyle w:val="28"/>
          <w:rFonts w:hint="eastAsia" w:ascii="宋体" w:hAnsi="宋体" w:eastAsia="宋体" w:cs="宋体"/>
          <w:b w:val="0"/>
          <w:bCs w:val="0"/>
          <w:sz w:val="28"/>
          <w:szCs w:val="28"/>
        </w:rPr>
        <w:t>出决算表</w:t>
      </w:r>
      <w:bookmarkEnd w:id="93"/>
      <w:bookmarkEnd w:id="94"/>
    </w:p>
    <w:p w14:paraId="01656176">
      <w:pPr>
        <w:pStyle w:val="4"/>
        <w:rPr>
          <w:rFonts w:hint="eastAsia" w:ascii="宋体" w:hAnsi="宋体" w:eastAsia="宋体" w:cs="宋体"/>
          <w:b w:val="0"/>
          <w:bCs w:val="0"/>
          <w:sz w:val="28"/>
          <w:szCs w:val="28"/>
        </w:rPr>
      </w:pPr>
      <w:bookmarkStart w:id="95" w:name="_Toc28002"/>
      <w:bookmarkStart w:id="96" w:name="_Toc15396622"/>
      <w:r>
        <w:rPr>
          <w:rStyle w:val="28"/>
          <w:rFonts w:hint="eastAsia" w:ascii="宋体" w:hAnsi="宋体" w:eastAsia="宋体" w:cs="宋体"/>
          <w:b w:val="0"/>
          <w:bCs w:val="0"/>
          <w:sz w:val="28"/>
          <w:szCs w:val="28"/>
        </w:rPr>
        <w:t>四、</w:t>
      </w:r>
      <w:r>
        <w:rPr>
          <w:rFonts w:hint="eastAsia" w:ascii="宋体" w:hAnsi="宋体" w:eastAsia="宋体" w:cs="宋体"/>
          <w:b w:val="0"/>
          <w:bCs w:val="0"/>
          <w:sz w:val="28"/>
          <w:szCs w:val="28"/>
        </w:rPr>
        <w:t>财</w:t>
      </w:r>
      <w:r>
        <w:rPr>
          <w:rStyle w:val="28"/>
          <w:rFonts w:hint="eastAsia" w:ascii="宋体" w:hAnsi="宋体" w:eastAsia="宋体" w:cs="宋体"/>
          <w:b w:val="0"/>
          <w:bCs w:val="0"/>
          <w:sz w:val="28"/>
          <w:szCs w:val="28"/>
        </w:rPr>
        <w:t>政拨款收入支出决算总表</w:t>
      </w:r>
      <w:bookmarkEnd w:id="95"/>
      <w:bookmarkEnd w:id="96"/>
    </w:p>
    <w:p w14:paraId="1F0C529C">
      <w:pPr>
        <w:pStyle w:val="4"/>
        <w:rPr>
          <w:rStyle w:val="28"/>
          <w:rFonts w:hint="eastAsia" w:ascii="宋体" w:hAnsi="宋体" w:eastAsia="宋体" w:cs="宋体"/>
          <w:b w:val="0"/>
          <w:bCs w:val="0"/>
          <w:sz w:val="28"/>
          <w:szCs w:val="28"/>
        </w:rPr>
      </w:pPr>
      <w:bookmarkStart w:id="97" w:name="_Toc15396623"/>
      <w:bookmarkStart w:id="98" w:name="_Toc29926"/>
      <w:r>
        <w:rPr>
          <w:rStyle w:val="28"/>
          <w:rFonts w:hint="eastAsia" w:ascii="宋体" w:hAnsi="宋体" w:eastAsia="宋体" w:cs="宋体"/>
          <w:b w:val="0"/>
          <w:bCs w:val="0"/>
          <w:sz w:val="28"/>
          <w:szCs w:val="28"/>
        </w:rPr>
        <w:t>五、</w:t>
      </w:r>
      <w:r>
        <w:rPr>
          <w:rFonts w:hint="eastAsia" w:ascii="宋体" w:hAnsi="宋体" w:eastAsia="宋体" w:cs="宋体"/>
          <w:b w:val="0"/>
          <w:bCs w:val="0"/>
          <w:sz w:val="28"/>
          <w:szCs w:val="28"/>
        </w:rPr>
        <w:t>财</w:t>
      </w:r>
      <w:r>
        <w:rPr>
          <w:rStyle w:val="28"/>
          <w:rFonts w:hint="eastAsia" w:ascii="宋体" w:hAnsi="宋体" w:eastAsia="宋体" w:cs="宋体"/>
          <w:b w:val="0"/>
          <w:bCs w:val="0"/>
          <w:sz w:val="28"/>
          <w:szCs w:val="28"/>
        </w:rPr>
        <w:t>政拨款支出决算明细表</w:t>
      </w:r>
      <w:bookmarkEnd w:id="97"/>
      <w:bookmarkEnd w:id="98"/>
      <w:bookmarkStart w:id="99" w:name="_Toc15396624"/>
    </w:p>
    <w:p w14:paraId="581E9E81">
      <w:pPr>
        <w:pStyle w:val="4"/>
        <w:rPr>
          <w:rFonts w:hint="eastAsia" w:ascii="宋体" w:hAnsi="宋体" w:eastAsia="宋体" w:cs="宋体"/>
          <w:b w:val="0"/>
          <w:bCs w:val="0"/>
          <w:sz w:val="28"/>
          <w:szCs w:val="28"/>
        </w:rPr>
      </w:pPr>
      <w:bookmarkStart w:id="100" w:name="_Toc27234"/>
      <w:r>
        <w:rPr>
          <w:rStyle w:val="28"/>
          <w:rFonts w:hint="eastAsia" w:ascii="宋体" w:hAnsi="宋体" w:eastAsia="宋体" w:cs="宋体"/>
          <w:b w:val="0"/>
          <w:bCs w:val="0"/>
          <w:sz w:val="28"/>
          <w:szCs w:val="28"/>
        </w:rPr>
        <w:t>六、</w:t>
      </w:r>
      <w:r>
        <w:rPr>
          <w:rFonts w:hint="eastAsia" w:ascii="宋体" w:hAnsi="宋体" w:eastAsia="宋体" w:cs="宋体"/>
          <w:b w:val="0"/>
          <w:bCs w:val="0"/>
          <w:sz w:val="28"/>
          <w:szCs w:val="28"/>
        </w:rPr>
        <w:t>一</w:t>
      </w:r>
      <w:r>
        <w:rPr>
          <w:rStyle w:val="28"/>
          <w:rFonts w:hint="eastAsia" w:ascii="宋体" w:hAnsi="宋体" w:eastAsia="宋体" w:cs="宋体"/>
          <w:b w:val="0"/>
          <w:bCs w:val="0"/>
          <w:sz w:val="28"/>
          <w:szCs w:val="28"/>
        </w:rPr>
        <w:t>般公共预算财政拨款支出决算表</w:t>
      </w:r>
      <w:bookmarkEnd w:id="99"/>
      <w:bookmarkEnd w:id="100"/>
    </w:p>
    <w:p w14:paraId="130517E3">
      <w:pPr>
        <w:pStyle w:val="4"/>
        <w:rPr>
          <w:rFonts w:hint="eastAsia" w:ascii="宋体" w:hAnsi="宋体" w:eastAsia="宋体" w:cs="宋体"/>
          <w:b w:val="0"/>
          <w:bCs w:val="0"/>
          <w:sz w:val="28"/>
          <w:szCs w:val="28"/>
        </w:rPr>
      </w:pPr>
      <w:bookmarkStart w:id="101" w:name="_Toc2879"/>
      <w:bookmarkStart w:id="102" w:name="_Toc15396625"/>
      <w:r>
        <w:rPr>
          <w:rStyle w:val="28"/>
          <w:rFonts w:hint="eastAsia" w:ascii="宋体" w:hAnsi="宋体" w:eastAsia="宋体" w:cs="宋体"/>
          <w:b w:val="0"/>
          <w:bCs w:val="0"/>
          <w:sz w:val="28"/>
          <w:szCs w:val="28"/>
        </w:rPr>
        <w:t>七、</w:t>
      </w:r>
      <w:r>
        <w:rPr>
          <w:rFonts w:hint="eastAsia" w:ascii="宋体" w:hAnsi="宋体" w:eastAsia="宋体" w:cs="宋体"/>
          <w:b w:val="0"/>
          <w:bCs w:val="0"/>
          <w:sz w:val="28"/>
          <w:szCs w:val="28"/>
        </w:rPr>
        <w:t>一</w:t>
      </w:r>
      <w:r>
        <w:rPr>
          <w:rStyle w:val="28"/>
          <w:rFonts w:hint="eastAsia" w:ascii="宋体" w:hAnsi="宋体" w:eastAsia="宋体" w:cs="宋体"/>
          <w:b w:val="0"/>
          <w:bCs w:val="0"/>
          <w:sz w:val="28"/>
          <w:szCs w:val="28"/>
        </w:rPr>
        <w:t>般公共预算财政拨款支出决算明细表</w:t>
      </w:r>
      <w:bookmarkEnd w:id="101"/>
      <w:bookmarkEnd w:id="102"/>
    </w:p>
    <w:p w14:paraId="7E121E80">
      <w:pPr>
        <w:pStyle w:val="4"/>
        <w:rPr>
          <w:rFonts w:hint="eastAsia" w:ascii="宋体" w:hAnsi="宋体" w:eastAsia="宋体" w:cs="宋体"/>
          <w:b w:val="0"/>
          <w:bCs w:val="0"/>
          <w:sz w:val="28"/>
          <w:szCs w:val="28"/>
        </w:rPr>
      </w:pPr>
      <w:bookmarkStart w:id="103" w:name="_Toc15396626"/>
      <w:bookmarkStart w:id="104" w:name="_Toc29801"/>
      <w:r>
        <w:rPr>
          <w:rStyle w:val="28"/>
          <w:rFonts w:hint="eastAsia" w:ascii="宋体" w:hAnsi="宋体" w:eastAsia="宋体" w:cs="宋体"/>
          <w:b w:val="0"/>
          <w:bCs w:val="0"/>
          <w:sz w:val="28"/>
          <w:szCs w:val="28"/>
        </w:rPr>
        <w:t>八、</w:t>
      </w:r>
      <w:r>
        <w:rPr>
          <w:rFonts w:hint="eastAsia" w:ascii="宋体" w:hAnsi="宋体" w:eastAsia="宋体" w:cs="宋体"/>
          <w:b w:val="0"/>
          <w:bCs w:val="0"/>
          <w:sz w:val="28"/>
          <w:szCs w:val="28"/>
        </w:rPr>
        <w:t>一</w:t>
      </w:r>
      <w:r>
        <w:rPr>
          <w:rStyle w:val="28"/>
          <w:rFonts w:hint="eastAsia" w:ascii="宋体" w:hAnsi="宋体" w:eastAsia="宋体" w:cs="宋体"/>
          <w:b w:val="0"/>
          <w:bCs w:val="0"/>
          <w:sz w:val="28"/>
          <w:szCs w:val="28"/>
        </w:rPr>
        <w:t>般公共预算财政拨款基本支出决算表</w:t>
      </w:r>
      <w:bookmarkEnd w:id="103"/>
      <w:bookmarkEnd w:id="104"/>
    </w:p>
    <w:p w14:paraId="4E771BCB">
      <w:pPr>
        <w:pStyle w:val="4"/>
        <w:rPr>
          <w:rFonts w:hint="eastAsia" w:ascii="宋体" w:hAnsi="宋体" w:eastAsia="宋体" w:cs="宋体"/>
          <w:b w:val="0"/>
          <w:bCs w:val="0"/>
          <w:sz w:val="28"/>
          <w:szCs w:val="28"/>
        </w:rPr>
      </w:pPr>
      <w:bookmarkStart w:id="105" w:name="_Toc15396627"/>
      <w:bookmarkStart w:id="106" w:name="_Toc9885"/>
      <w:r>
        <w:rPr>
          <w:rStyle w:val="28"/>
          <w:rFonts w:hint="eastAsia" w:ascii="宋体" w:hAnsi="宋体" w:eastAsia="宋体" w:cs="宋体"/>
          <w:b w:val="0"/>
          <w:bCs w:val="0"/>
          <w:sz w:val="28"/>
          <w:szCs w:val="28"/>
        </w:rPr>
        <w:t>九、</w:t>
      </w:r>
      <w:r>
        <w:rPr>
          <w:rFonts w:hint="eastAsia" w:ascii="宋体" w:hAnsi="宋体" w:eastAsia="宋体" w:cs="宋体"/>
          <w:b w:val="0"/>
          <w:bCs w:val="0"/>
          <w:sz w:val="28"/>
          <w:szCs w:val="28"/>
        </w:rPr>
        <w:t>一</w:t>
      </w:r>
      <w:r>
        <w:rPr>
          <w:rStyle w:val="28"/>
          <w:rFonts w:hint="eastAsia" w:ascii="宋体" w:hAnsi="宋体" w:eastAsia="宋体" w:cs="宋体"/>
          <w:b w:val="0"/>
          <w:bCs w:val="0"/>
          <w:sz w:val="28"/>
          <w:szCs w:val="28"/>
        </w:rPr>
        <w:t>般公共预算财政拨款项目支出决算表</w:t>
      </w:r>
      <w:bookmarkEnd w:id="105"/>
      <w:bookmarkEnd w:id="106"/>
    </w:p>
    <w:p w14:paraId="48B2CCCE">
      <w:pPr>
        <w:pStyle w:val="4"/>
        <w:rPr>
          <w:rFonts w:hint="eastAsia" w:ascii="宋体" w:hAnsi="宋体" w:eastAsia="宋体" w:cs="宋体"/>
          <w:b w:val="0"/>
          <w:bCs w:val="0"/>
          <w:sz w:val="28"/>
          <w:szCs w:val="28"/>
        </w:rPr>
      </w:pPr>
      <w:bookmarkStart w:id="107" w:name="_Toc15396628"/>
      <w:bookmarkStart w:id="108" w:name="_Toc5148"/>
      <w:r>
        <w:rPr>
          <w:rStyle w:val="28"/>
          <w:rFonts w:hint="eastAsia" w:ascii="宋体" w:hAnsi="宋体" w:eastAsia="宋体" w:cs="宋体"/>
          <w:b w:val="0"/>
          <w:bCs w:val="0"/>
          <w:sz w:val="28"/>
          <w:szCs w:val="28"/>
        </w:rPr>
        <w:t>十、</w:t>
      </w:r>
      <w:bookmarkEnd w:id="107"/>
      <w:r>
        <w:rPr>
          <w:rFonts w:hint="eastAsia" w:ascii="宋体" w:hAnsi="宋体" w:eastAsia="宋体" w:cs="宋体"/>
          <w:b w:val="0"/>
          <w:bCs w:val="0"/>
          <w:sz w:val="28"/>
          <w:szCs w:val="28"/>
        </w:rPr>
        <w:t>政</w:t>
      </w:r>
      <w:r>
        <w:rPr>
          <w:rStyle w:val="28"/>
          <w:rFonts w:hint="eastAsia" w:ascii="宋体" w:hAnsi="宋体" w:eastAsia="宋体" w:cs="宋体"/>
          <w:b w:val="0"/>
          <w:bCs w:val="0"/>
          <w:sz w:val="28"/>
          <w:szCs w:val="28"/>
        </w:rPr>
        <w:t>府性基金预算财政拨款收入支出决算表</w:t>
      </w:r>
      <w:bookmarkEnd w:id="108"/>
    </w:p>
    <w:p w14:paraId="1BA1B4DE">
      <w:pPr>
        <w:pStyle w:val="4"/>
        <w:rPr>
          <w:rFonts w:hint="eastAsia" w:ascii="宋体" w:hAnsi="宋体" w:eastAsia="宋体" w:cs="宋体"/>
          <w:b w:val="0"/>
          <w:bCs w:val="0"/>
          <w:sz w:val="28"/>
          <w:szCs w:val="28"/>
        </w:rPr>
      </w:pPr>
      <w:bookmarkStart w:id="109" w:name="_Toc15396629"/>
      <w:bookmarkStart w:id="110" w:name="_Toc6077"/>
      <w:r>
        <w:rPr>
          <w:rStyle w:val="28"/>
          <w:rFonts w:hint="eastAsia" w:ascii="宋体" w:hAnsi="宋体" w:eastAsia="宋体" w:cs="宋体"/>
          <w:b w:val="0"/>
          <w:bCs w:val="0"/>
          <w:sz w:val="28"/>
          <w:szCs w:val="28"/>
        </w:rPr>
        <w:t>十一、</w:t>
      </w:r>
      <w:bookmarkEnd w:id="109"/>
      <w:r>
        <w:rPr>
          <w:rFonts w:hint="eastAsia" w:ascii="宋体" w:hAnsi="宋体" w:eastAsia="宋体" w:cs="宋体"/>
          <w:b w:val="0"/>
          <w:bCs w:val="0"/>
          <w:sz w:val="28"/>
          <w:szCs w:val="28"/>
        </w:rPr>
        <w:t>国</w:t>
      </w:r>
      <w:r>
        <w:rPr>
          <w:rStyle w:val="28"/>
          <w:rFonts w:hint="eastAsia" w:ascii="宋体" w:hAnsi="宋体" w:eastAsia="宋体" w:cs="宋体"/>
          <w:b w:val="0"/>
          <w:bCs w:val="0"/>
          <w:sz w:val="28"/>
          <w:szCs w:val="28"/>
        </w:rPr>
        <w:t>有资本经营预算财政拨款收入支出决算表</w:t>
      </w:r>
      <w:bookmarkEnd w:id="110"/>
    </w:p>
    <w:p w14:paraId="78928D80">
      <w:pPr>
        <w:pStyle w:val="4"/>
        <w:rPr>
          <w:rFonts w:hint="eastAsia" w:ascii="宋体" w:hAnsi="宋体" w:eastAsia="宋体" w:cs="宋体"/>
          <w:b w:val="0"/>
          <w:bCs w:val="0"/>
          <w:sz w:val="28"/>
          <w:szCs w:val="28"/>
        </w:rPr>
      </w:pPr>
      <w:bookmarkStart w:id="111" w:name="_Toc15396630"/>
      <w:bookmarkStart w:id="112" w:name="_Toc24366"/>
      <w:r>
        <w:rPr>
          <w:rStyle w:val="28"/>
          <w:rFonts w:hint="eastAsia" w:ascii="宋体" w:hAnsi="宋体" w:eastAsia="宋体" w:cs="宋体"/>
          <w:b w:val="0"/>
          <w:bCs w:val="0"/>
          <w:sz w:val="28"/>
          <w:szCs w:val="28"/>
        </w:rPr>
        <w:t>十二、</w:t>
      </w:r>
      <w:bookmarkEnd w:id="111"/>
      <w:r>
        <w:rPr>
          <w:rStyle w:val="28"/>
          <w:rFonts w:hint="eastAsia" w:ascii="宋体" w:hAnsi="宋体" w:eastAsia="宋体" w:cs="宋体"/>
          <w:b w:val="0"/>
          <w:bCs w:val="0"/>
          <w:sz w:val="28"/>
          <w:szCs w:val="28"/>
        </w:rPr>
        <w:t>国有资本经营预算财政拨款支出决算表</w:t>
      </w:r>
      <w:bookmarkEnd w:id="112"/>
    </w:p>
    <w:p w14:paraId="01F209AF">
      <w:pPr>
        <w:pStyle w:val="4"/>
        <w:rPr>
          <w:rFonts w:hint="eastAsia" w:ascii="宋体" w:hAnsi="宋体" w:eastAsia="宋体" w:cs="宋体"/>
          <w:b w:val="0"/>
          <w:bCs w:val="0"/>
          <w:sz w:val="28"/>
          <w:szCs w:val="28"/>
        </w:rPr>
      </w:pPr>
      <w:bookmarkStart w:id="113" w:name="_Toc15396631"/>
      <w:bookmarkStart w:id="114" w:name="_Toc11721"/>
      <w:r>
        <w:rPr>
          <w:rStyle w:val="28"/>
          <w:rFonts w:hint="eastAsia" w:ascii="宋体" w:hAnsi="宋体" w:eastAsia="宋体" w:cs="宋体"/>
          <w:b w:val="0"/>
          <w:bCs w:val="0"/>
          <w:sz w:val="28"/>
          <w:szCs w:val="28"/>
        </w:rPr>
        <w:t>十三、</w:t>
      </w:r>
      <w:bookmarkEnd w:id="113"/>
      <w:r>
        <w:rPr>
          <w:rStyle w:val="28"/>
          <w:rFonts w:hint="eastAsia" w:ascii="宋体" w:hAnsi="宋体" w:eastAsia="宋体" w:cs="宋体"/>
          <w:b w:val="0"/>
          <w:bCs w:val="0"/>
          <w:sz w:val="28"/>
          <w:szCs w:val="28"/>
        </w:rPr>
        <w:t>财政拨款“三公”经费支出决算表</w:t>
      </w:r>
      <w:bookmarkEnd w:id="114"/>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90A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0692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8F0692B">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E67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CCF3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FCCF3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72A3">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4FEB9">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94FEB9">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000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AF12E">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AAF12E">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E83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23D4"/>
    <w:multiLevelType w:val="singleLevel"/>
    <w:tmpl w:val="F59C23D4"/>
    <w:lvl w:ilvl="0" w:tentative="0">
      <w:start w:val="9"/>
      <w:numFmt w:val="chineseCounting"/>
      <w:suff w:val="nothing"/>
      <w:lvlText w:val="%1、"/>
      <w:lvlJc w:val="left"/>
      <w:rPr>
        <w:rFonts w:hint="eastAsia"/>
      </w:rPr>
    </w:lvl>
  </w:abstractNum>
  <w:abstractNum w:abstractNumId="1">
    <w:nsid w:val="0D76FED6"/>
    <w:multiLevelType w:val="singleLevel"/>
    <w:tmpl w:val="0D76FED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5F5FE3"/>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741F"/>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646E1"/>
    <w:rsid w:val="030E48E0"/>
    <w:rsid w:val="03DC2831"/>
    <w:rsid w:val="03EC461B"/>
    <w:rsid w:val="03F67248"/>
    <w:rsid w:val="040000C7"/>
    <w:rsid w:val="05A304EE"/>
    <w:rsid w:val="070457D8"/>
    <w:rsid w:val="075E75DE"/>
    <w:rsid w:val="07EF0236"/>
    <w:rsid w:val="081B5E94"/>
    <w:rsid w:val="08E104C7"/>
    <w:rsid w:val="08F60E02"/>
    <w:rsid w:val="0A2032A3"/>
    <w:rsid w:val="0B8A37D8"/>
    <w:rsid w:val="0C352B9F"/>
    <w:rsid w:val="0C3D1EB8"/>
    <w:rsid w:val="0DAD0977"/>
    <w:rsid w:val="0F5FFB2F"/>
    <w:rsid w:val="0FFFCF60"/>
    <w:rsid w:val="10C055FF"/>
    <w:rsid w:val="11567578"/>
    <w:rsid w:val="118107EC"/>
    <w:rsid w:val="11DD6519"/>
    <w:rsid w:val="135E4FCE"/>
    <w:rsid w:val="13FD65A3"/>
    <w:rsid w:val="142851FC"/>
    <w:rsid w:val="16BB723D"/>
    <w:rsid w:val="17514A69"/>
    <w:rsid w:val="18015F3F"/>
    <w:rsid w:val="183D0B4A"/>
    <w:rsid w:val="18846779"/>
    <w:rsid w:val="193006AE"/>
    <w:rsid w:val="1B8B33D7"/>
    <w:rsid w:val="1BE8440E"/>
    <w:rsid w:val="1C191C7C"/>
    <w:rsid w:val="1D155CEE"/>
    <w:rsid w:val="1E1C6D23"/>
    <w:rsid w:val="1EA85166"/>
    <w:rsid w:val="1F372797"/>
    <w:rsid w:val="1FDBBF84"/>
    <w:rsid w:val="20F57F95"/>
    <w:rsid w:val="21044946"/>
    <w:rsid w:val="221C3EC6"/>
    <w:rsid w:val="229816E8"/>
    <w:rsid w:val="240371BF"/>
    <w:rsid w:val="24F46A34"/>
    <w:rsid w:val="253E5089"/>
    <w:rsid w:val="25711CC6"/>
    <w:rsid w:val="25C741E6"/>
    <w:rsid w:val="26D27249"/>
    <w:rsid w:val="276F80C0"/>
    <w:rsid w:val="27842671"/>
    <w:rsid w:val="27ED433A"/>
    <w:rsid w:val="299B5324"/>
    <w:rsid w:val="29FD04D3"/>
    <w:rsid w:val="2A1536D4"/>
    <w:rsid w:val="2ABE7A3E"/>
    <w:rsid w:val="2AFF09B6"/>
    <w:rsid w:val="2B8054C5"/>
    <w:rsid w:val="2CA234A8"/>
    <w:rsid w:val="2EFA178C"/>
    <w:rsid w:val="2EFDF86C"/>
    <w:rsid w:val="2F144911"/>
    <w:rsid w:val="2F725125"/>
    <w:rsid w:val="2F9D17E1"/>
    <w:rsid w:val="30B46D73"/>
    <w:rsid w:val="319F7F4E"/>
    <w:rsid w:val="356A28F1"/>
    <w:rsid w:val="357C035A"/>
    <w:rsid w:val="365D08DD"/>
    <w:rsid w:val="368E000D"/>
    <w:rsid w:val="37070849"/>
    <w:rsid w:val="37C404E8"/>
    <w:rsid w:val="383D272C"/>
    <w:rsid w:val="39AE70AB"/>
    <w:rsid w:val="3A4DCE41"/>
    <w:rsid w:val="3BCB56FA"/>
    <w:rsid w:val="3C0C0783"/>
    <w:rsid w:val="3CD4741F"/>
    <w:rsid w:val="3E3A59A8"/>
    <w:rsid w:val="3EE7C2F4"/>
    <w:rsid w:val="3F371B56"/>
    <w:rsid w:val="3F792ED8"/>
    <w:rsid w:val="3F9D450B"/>
    <w:rsid w:val="3F9F3A96"/>
    <w:rsid w:val="3FECA4B2"/>
    <w:rsid w:val="3FF58C48"/>
    <w:rsid w:val="41DB4DAC"/>
    <w:rsid w:val="428A37DB"/>
    <w:rsid w:val="42FF6694"/>
    <w:rsid w:val="434A043B"/>
    <w:rsid w:val="43790026"/>
    <w:rsid w:val="445F6B54"/>
    <w:rsid w:val="46D36999"/>
    <w:rsid w:val="47AA7E7C"/>
    <w:rsid w:val="48BF60AB"/>
    <w:rsid w:val="493C27E9"/>
    <w:rsid w:val="496F39ED"/>
    <w:rsid w:val="49A85EBB"/>
    <w:rsid w:val="49FC7FB5"/>
    <w:rsid w:val="49FF41D3"/>
    <w:rsid w:val="4A995F73"/>
    <w:rsid w:val="4BE068DB"/>
    <w:rsid w:val="4BF6002B"/>
    <w:rsid w:val="4BFFC6BE"/>
    <w:rsid w:val="4ECE2238"/>
    <w:rsid w:val="4F7A5C04"/>
    <w:rsid w:val="51DB4B86"/>
    <w:rsid w:val="51F64DB0"/>
    <w:rsid w:val="547F6CE6"/>
    <w:rsid w:val="55333C3E"/>
    <w:rsid w:val="56781A69"/>
    <w:rsid w:val="56D95906"/>
    <w:rsid w:val="575C02E5"/>
    <w:rsid w:val="57790E97"/>
    <w:rsid w:val="5B261A2F"/>
    <w:rsid w:val="5D1C3D84"/>
    <w:rsid w:val="5E8C5954"/>
    <w:rsid w:val="5F3D6D4F"/>
    <w:rsid w:val="5F67802D"/>
    <w:rsid w:val="5F7DC4F2"/>
    <w:rsid w:val="5FB36814"/>
    <w:rsid w:val="5FBB8E56"/>
    <w:rsid w:val="5FFB5535"/>
    <w:rsid w:val="61BD7BD2"/>
    <w:rsid w:val="621041A6"/>
    <w:rsid w:val="63846BFA"/>
    <w:rsid w:val="64CA39A1"/>
    <w:rsid w:val="65C52215"/>
    <w:rsid w:val="68CB0E27"/>
    <w:rsid w:val="69630ADE"/>
    <w:rsid w:val="69BD5F13"/>
    <w:rsid w:val="69FB0B4B"/>
    <w:rsid w:val="6A372C18"/>
    <w:rsid w:val="6BFFE1FB"/>
    <w:rsid w:val="6C4A05C8"/>
    <w:rsid w:val="6C783074"/>
    <w:rsid w:val="6D3B1A89"/>
    <w:rsid w:val="6DB7D8A3"/>
    <w:rsid w:val="6E313E22"/>
    <w:rsid w:val="6EC78701"/>
    <w:rsid w:val="6F7A5481"/>
    <w:rsid w:val="6F906926"/>
    <w:rsid w:val="6FFE07A9"/>
    <w:rsid w:val="713C0B14"/>
    <w:rsid w:val="71BF4EC2"/>
    <w:rsid w:val="7242215A"/>
    <w:rsid w:val="72734D90"/>
    <w:rsid w:val="728E1843"/>
    <w:rsid w:val="729130E1"/>
    <w:rsid w:val="7395275D"/>
    <w:rsid w:val="73E75B71"/>
    <w:rsid w:val="7412278C"/>
    <w:rsid w:val="75DDCDA9"/>
    <w:rsid w:val="75FF44B1"/>
    <w:rsid w:val="76642C4E"/>
    <w:rsid w:val="76F854DD"/>
    <w:rsid w:val="77670518"/>
    <w:rsid w:val="777FA627"/>
    <w:rsid w:val="77DF1B5F"/>
    <w:rsid w:val="77EF2D9D"/>
    <w:rsid w:val="784F62EA"/>
    <w:rsid w:val="786C0D79"/>
    <w:rsid w:val="79E7B28D"/>
    <w:rsid w:val="79F53F55"/>
    <w:rsid w:val="7ACFF0C2"/>
    <w:rsid w:val="7AE11971"/>
    <w:rsid w:val="7AFB9108"/>
    <w:rsid w:val="7BB8348D"/>
    <w:rsid w:val="7BD5340C"/>
    <w:rsid w:val="7BE81FC4"/>
    <w:rsid w:val="7BFB19D2"/>
    <w:rsid w:val="7BFD1750"/>
    <w:rsid w:val="7BFDAA1B"/>
    <w:rsid w:val="7CDF9A82"/>
    <w:rsid w:val="7CFFA1BD"/>
    <w:rsid w:val="7D2E3F7A"/>
    <w:rsid w:val="7DED9490"/>
    <w:rsid w:val="7DFF4872"/>
    <w:rsid w:val="7E6416AA"/>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Chars="200"/>
    </w:pPr>
    <w:rPr>
      <w:rFonts w:ascii="Calibri" w:hAnsi="Calibri" w:eastAsia="宋体" w:cs="Times New Roman"/>
      <w:sz w:val="20"/>
      <w:szCs w:val="20"/>
    </w:rPr>
  </w:style>
  <w:style w:type="character" w:customStyle="1" w:styleId="34">
    <w:name w:val="font21"/>
    <w:basedOn w:val="15"/>
    <w:qFormat/>
    <w:uiPriority w:val="0"/>
    <w:rPr>
      <w:rFonts w:ascii="宋体" w:hAnsi="宋体" w:eastAsia="宋体" w:cs="宋体"/>
      <w:color w:val="000000"/>
      <w:sz w:val="18"/>
      <w:szCs w:val="18"/>
      <w:u w:val="none"/>
    </w:rPr>
  </w:style>
  <w:style w:type="character" w:customStyle="1" w:styleId="35">
    <w:name w:val="font41"/>
    <w:basedOn w:val="15"/>
    <w:qFormat/>
    <w:uiPriority w:val="0"/>
    <w:rPr>
      <w:rFonts w:hint="default" w:ascii="Times New Roman" w:hAnsi="Times New Roman" w:cs="Times New Roman"/>
      <w:color w:val="000000"/>
      <w:sz w:val="18"/>
      <w:szCs w:val="18"/>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0915;&#31639;&#20844;&#24320;&#26609;&#29366;&#22270;&#12289;&#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                       </a:t>
            </a:r>
            <a:r>
              <a:t>收、支决算总计变动情况</a:t>
            </a:r>
          </a:p>
          <a:p>
            <a:pPr defTabSz="914400">
              <a:defRPr lang="zh-CN" sz="1400" b="1" i="0" u="none" strike="noStrike" kern="1200" baseline="0">
                <a:solidFill>
                  <a:schemeClr val="tx1">
                    <a:lumMod val="75000"/>
                    <a:lumOff val="25000"/>
                  </a:schemeClr>
                </a:solidFill>
                <a:latin typeface="+mn-lt"/>
                <a:ea typeface="+mn-ea"/>
                <a:cs typeface="+mn-cs"/>
              </a:defRPr>
            </a:pPr>
            <a:endParaRPr altLang="en-US" sz="1000"/>
          </a:p>
          <a:p>
            <a:pPr defTabSz="914400">
              <a:defRPr lang="zh-CN" sz="1400" b="1" i="0" u="none" strike="noStrike" kern="1200" baseline="0">
                <a:solidFill>
                  <a:schemeClr val="tx1">
                    <a:lumMod val="75000"/>
                    <a:lumOff val="25000"/>
                  </a:schemeClr>
                </a:solidFill>
                <a:latin typeface="+mn-lt"/>
                <a:ea typeface="+mn-ea"/>
                <a:cs typeface="+mn-cs"/>
              </a:defRPr>
            </a:pPr>
            <a:r>
              <a:rPr altLang="en-US" sz="1000"/>
              <a:t>单位：万元</a:t>
            </a:r>
            <a:endParaRPr altLang="en-US" sz="1000"/>
          </a:p>
        </c:rich>
      </c:tx>
      <c:layout>
        <c:manualLayout>
          <c:xMode val="edge"/>
          <c:yMode val="edge"/>
          <c:x val="0.122171052631579"/>
          <c:y val="0.0277777777777778"/>
        </c:manualLayout>
      </c:layout>
      <c:overlay val="0"/>
      <c:spPr>
        <a:noFill/>
        <a:ln>
          <a:noFill/>
        </a:ln>
        <a:effectLst/>
      </c:spPr>
    </c:title>
    <c:autoTitleDeleted val="0"/>
    <c:plotArea>
      <c:layout/>
      <c:barChart>
        <c:barDir val="col"/>
        <c:grouping val="clustered"/>
        <c:varyColors val="0"/>
        <c:ser>
          <c:idx val="0"/>
          <c:order val="0"/>
          <c:tx>
            <c:strRef>
              <c:f>'[新建 XLS 工作表.xls]Sheet1'!$A$2</c:f>
              <c:strCache>
                <c:ptCount val="1"/>
                <c:pt idx="0">
                  <c:v>收入</c:v>
                </c:pt>
              </c:strCache>
            </c:strRef>
          </c:tx>
          <c:spPr>
            <a:solidFill>
              <a:schemeClr val="accent1"/>
            </a:solidFill>
            <a:ln>
              <a:noFill/>
            </a:ln>
            <a:effectLst/>
          </c:spPr>
          <c:invertIfNegative val="0"/>
          <c:dLbls>
            <c:delete val="1"/>
          </c:dLbls>
          <c:cat>
            <c:strRef>
              <c:f>'[新建 XLS 工作表.xls]Sheet1'!$B$1:$C$1</c:f>
              <c:strCache>
                <c:ptCount val="2"/>
                <c:pt idx="0">
                  <c:v>2022年</c:v>
                </c:pt>
                <c:pt idx="1">
                  <c:v>2023年</c:v>
                </c:pt>
              </c:strCache>
            </c:strRef>
          </c:cat>
          <c:val>
            <c:numRef>
              <c:f>'[新建 XLS 工作表.xls]Sheet1'!$B$2:$C$2</c:f>
              <c:numCache>
                <c:formatCode>General</c:formatCode>
                <c:ptCount val="2"/>
                <c:pt idx="0">
                  <c:v>675.2</c:v>
                </c:pt>
                <c:pt idx="1">
                  <c:v>902.38</c:v>
                </c:pt>
              </c:numCache>
            </c:numRef>
          </c:val>
        </c:ser>
        <c:ser>
          <c:idx val="1"/>
          <c:order val="1"/>
          <c:tx>
            <c:strRef>
              <c:f>'[新建 XLS 工作表.xls]Sheet1'!$A$3</c:f>
              <c:strCache>
                <c:ptCount val="1"/>
                <c:pt idx="0">
                  <c:v>支出</c:v>
                </c:pt>
              </c:strCache>
            </c:strRef>
          </c:tx>
          <c:spPr>
            <a:solidFill>
              <a:schemeClr val="accent2"/>
            </a:solidFill>
            <a:ln>
              <a:noFill/>
            </a:ln>
            <a:effectLst/>
          </c:spPr>
          <c:invertIfNegative val="0"/>
          <c:dLbls>
            <c:delete val="1"/>
          </c:dLbls>
          <c:cat>
            <c:strRef>
              <c:f>'[新建 XLS 工作表.xls]Sheet1'!$B$1:$C$1</c:f>
              <c:strCache>
                <c:ptCount val="2"/>
                <c:pt idx="0">
                  <c:v>2022年</c:v>
                </c:pt>
                <c:pt idx="1">
                  <c:v>2023年</c:v>
                </c:pt>
              </c:strCache>
            </c:strRef>
          </c:cat>
          <c:val>
            <c:numRef>
              <c:f>'[新建 XLS 工作表.xls]Sheet1'!$B$3:$C$3</c:f>
              <c:numCache>
                <c:formatCode>General</c:formatCode>
                <c:ptCount val="2"/>
                <c:pt idx="0">
                  <c:v>675.2</c:v>
                </c:pt>
                <c:pt idx="1">
                  <c:v>902.38</c:v>
                </c:pt>
              </c:numCache>
            </c:numRef>
          </c:val>
        </c:ser>
        <c:dLbls>
          <c:showLegendKey val="0"/>
          <c:showVal val="0"/>
          <c:showCatName val="0"/>
          <c:showSerName val="0"/>
          <c:showPercent val="0"/>
          <c:showBubbleSize val="0"/>
        </c:dLbls>
        <c:gapWidth val="246"/>
        <c:overlap val="-28"/>
        <c:axId val="576340512"/>
        <c:axId val="894441597"/>
      </c:barChart>
      <c:catAx>
        <c:axId val="576340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441597"/>
        <c:crosses val="autoZero"/>
        <c:auto val="1"/>
        <c:lblAlgn val="ctr"/>
        <c:lblOffset val="100"/>
        <c:noMultiLvlLbl val="0"/>
      </c:catAx>
      <c:valAx>
        <c:axId val="89444159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40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5f7a6d9-4c9d-49bc-8864-e074758e60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收入决算结构图</a:t>
            </a:r>
            <a:endParaRPr lang="en-US" sz="1100"/>
          </a:p>
        </c:rich>
      </c:tx>
      <c:layout/>
      <c:overlay val="0"/>
    </c:title>
    <c:autoTitleDeleted val="0"/>
    <c:plotArea>
      <c:layout/>
      <c:pieChart>
        <c:varyColors val="1"/>
        <c:ser>
          <c:idx val="1"/>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3"/>
              <c:delete val="1"/>
            </c:dLbl>
            <c:dLbl>
              <c:idx val="4"/>
              <c:delete val="1"/>
            </c:dLbl>
            <c:dLbl>
              <c:idx val="5"/>
              <c:delete val="1"/>
            </c:dLbl>
            <c:dLbl>
              <c:idx val="6"/>
              <c:delete val="1"/>
            </c:dLbl>
            <c:dLbl>
              <c:idx val="7"/>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{"一般公共预算财政拨款收入","政府性基金预算财政拨款收入","国有资本经营预算财政拨款收入","上级补助收入","事业收入","经营收入","附属单位上缴收入","其他收入"}</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{6751953.69,0,0,0,0,0,0,0}</c:f>
              <c:numCache>
                <c:formatCode>General</c:formatCode>
                <c:ptCount val="8"/>
                <c:pt idx="0">
                  <c:v>6751953.69</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643129316503929"/>
          <c:y val="0.377310924369748"/>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extLst>
      <c:ext uri="{0b15fc19-7d7d-44ad-8c2d-2c3a37ce22c3}">
        <chartProps xmlns="https://web.wps.cn/et/2018/main" chartId="{3dbe64a6-58c6-4080-b940-f1aaa43abe5c}"/>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支出计算结构图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748134931351061"/>
                  <c:y val="-0.2391907947665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2979072931115"/>
                  <c:y val="0.1111428446585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工作表.xls]Sheet1'!$A$1:$A$2</c:f>
              <c:strCache>
                <c:ptCount val="2"/>
                <c:pt idx="0">
                  <c:v>基本支出</c:v>
                </c:pt>
                <c:pt idx="1">
                  <c:v>项目支出</c:v>
                </c:pt>
              </c:strCache>
            </c:strRef>
          </c:cat>
          <c:val>
            <c:numRef>
              <c:f>'[新建 XLS 工作表.xls]Sheet1'!$B$1:$B$2</c:f>
              <c:numCache>
                <c:formatCode>0.00%</c:formatCode>
                <c:ptCount val="2"/>
                <c:pt idx="0">
                  <c:v>0.9229</c:v>
                </c:pt>
                <c:pt idx="1">
                  <c:v>0.0771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7da1a2-8e0c-4227-b5ed-39e6e4d345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tx1">
                    <a:lumMod val="75000"/>
                    <a:lumOff val="25000"/>
                  </a:schemeClr>
                </a:solidFill>
                <a:latin typeface="+mn-lt"/>
                <a:ea typeface="+mn-ea"/>
                <a:cs typeface="+mn-cs"/>
              </a:defRPr>
            </a:pPr>
            <a:r>
              <a:rPr lang="en-US" altLang="zh-CN" sz="1400"/>
              <a:t>                     </a:t>
            </a:r>
            <a:r>
              <a:rPr sz="1400"/>
              <a:t>财政拨款收、支决算总计变动情况</a:t>
            </a:r>
            <a:r>
              <a:rPr lang="en-US" altLang="zh-CN" sz="1400"/>
              <a:t>     </a:t>
            </a:r>
            <a:endParaRPr sz="1080"/>
          </a:p>
          <a:p>
            <a:pPr defTabSz="914400">
              <a:defRPr lang="zh-CN" sz="1080" b="1" i="0" u="none" strike="noStrike" kern="1200" baseline="0">
                <a:solidFill>
                  <a:schemeClr val="tx1">
                    <a:lumMod val="75000"/>
                    <a:lumOff val="25000"/>
                  </a:schemeClr>
                </a:solidFill>
                <a:latin typeface="+mn-lt"/>
                <a:ea typeface="+mn-ea"/>
                <a:cs typeface="+mn-cs"/>
              </a:defRPr>
            </a:pPr>
            <a:endParaRPr lang="en-US" altLang="zh-CN" sz="1080"/>
          </a:p>
          <a:p>
            <a:pPr defTabSz="914400">
              <a:defRPr lang="zh-CN" sz="1080" b="1" i="0" u="none" strike="noStrike" kern="1200" baseline="0">
                <a:solidFill>
                  <a:schemeClr val="tx1">
                    <a:lumMod val="75000"/>
                    <a:lumOff val="25000"/>
                  </a:schemeClr>
                </a:solidFill>
                <a:latin typeface="+mn-lt"/>
                <a:ea typeface="+mn-ea"/>
                <a:cs typeface="+mn-cs"/>
              </a:defRPr>
            </a:pPr>
            <a:r>
              <a:rPr sz="1080"/>
              <a:t>单位：万元</a:t>
            </a:r>
            <a:r>
              <a:rPr lang="en-US" altLang="zh-CN" sz="1080"/>
              <a:t>     </a:t>
            </a:r>
            <a:endParaRPr lang="en-US" altLang="zh-CN" sz="1080"/>
          </a:p>
        </c:rich>
      </c:tx>
      <c:layout>
        <c:manualLayout>
          <c:xMode val="edge"/>
          <c:yMode val="edge"/>
          <c:x val="0.105269841269841"/>
          <c:y val="0.0540675844806007"/>
        </c:manualLayout>
      </c:layout>
      <c:overlay val="0"/>
      <c:spPr>
        <a:noFill/>
        <a:ln>
          <a:noFill/>
        </a:ln>
        <a:effectLst/>
      </c:spPr>
    </c:title>
    <c:autoTitleDeleted val="0"/>
    <c:plotArea>
      <c:layout>
        <c:manualLayout>
          <c:layoutTarget val="inner"/>
          <c:xMode val="edge"/>
          <c:yMode val="edge"/>
          <c:x val="0.0758857142857143"/>
          <c:y val="0.342177722152691"/>
          <c:w val="0.909765079365079"/>
          <c:h val="0.447659574468085"/>
        </c:manualLayout>
      </c:layout>
      <c:barChart>
        <c:barDir val="col"/>
        <c:grouping val="clustered"/>
        <c:varyColors val="0"/>
        <c:ser>
          <c:idx val="0"/>
          <c:order val="0"/>
          <c:tx>
            <c:strRef>
              <c:f>'[新建 XLS 工作表.xls]Sheet1'!$A$2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工作表.xls]Sheet1'!$B$1:$C$1</c:f>
              <c:numCache>
                <c:formatCode>General</c:formatCode>
                <c:ptCount val="2"/>
                <c:pt idx="0">
                  <c:v>2022</c:v>
                </c:pt>
                <c:pt idx="1">
                  <c:v>2023</c:v>
                </c:pt>
              </c:numCache>
            </c:numRef>
          </c:cat>
          <c:val>
            <c:numRef>
              <c:f>'[新建 XLS 工作表.xls]Sheet1'!$B$2:$C$2</c:f>
              <c:numCache>
                <c:formatCode>General</c:formatCode>
                <c:ptCount val="2"/>
                <c:pt idx="0">
                  <c:v>675.2</c:v>
                </c:pt>
                <c:pt idx="1">
                  <c:v>902.38</c:v>
                </c:pt>
              </c:numCache>
            </c:numRef>
          </c:val>
        </c:ser>
        <c:ser>
          <c:idx val="1"/>
          <c:order val="1"/>
          <c:tx>
            <c:strRef>
              <c:f>'[新建 XLS 工作表.xls]Sheet1'!$A$3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工作表.xls]Sheet1'!$B$1:$C$1</c:f>
              <c:numCache>
                <c:formatCode>General</c:formatCode>
                <c:ptCount val="2"/>
                <c:pt idx="0">
                  <c:v>2022</c:v>
                </c:pt>
                <c:pt idx="1">
                  <c:v>2023</c:v>
                </c:pt>
              </c:numCache>
            </c:numRef>
          </c:cat>
          <c:val>
            <c:numRef>
              <c:f>'[新建 XLS 工作表.xls]Sheet1'!$B$3:$C$3</c:f>
              <c:numCache>
                <c:formatCode>General</c:formatCode>
                <c:ptCount val="2"/>
                <c:pt idx="0">
                  <c:v>675.2</c:v>
                </c:pt>
                <c:pt idx="1">
                  <c:v>902.38</c:v>
                </c:pt>
              </c:numCache>
            </c:numRef>
          </c:val>
        </c:ser>
        <c:dLbls>
          <c:showLegendKey val="0"/>
          <c:showVal val="1"/>
          <c:showCatName val="0"/>
          <c:showSerName val="0"/>
          <c:showPercent val="0"/>
          <c:showBubbleSize val="0"/>
        </c:dLbls>
        <c:gapWidth val="246"/>
        <c:overlap val="-28"/>
        <c:axId val="983465906"/>
        <c:axId val="447282418"/>
      </c:barChart>
      <c:catAx>
        <c:axId val="9834659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282418"/>
        <c:crosses val="autoZero"/>
        <c:auto val="1"/>
        <c:lblAlgn val="ctr"/>
        <c:lblOffset val="100"/>
        <c:noMultiLvlLbl val="0"/>
      </c:catAx>
      <c:valAx>
        <c:axId val="44728241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46590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313307203025615"/>
          <c:y val="0.850770515986017"/>
          <c:w val="0.325554409489428"/>
          <c:h val="0.1417200972805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f86e99-b07c-43ce-8c68-63b37ba1e0ce}"/>
      </c:ext>
    </c:extLst>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108141164894803"/>
          <c:y val="0.187638640340614"/>
          <c:w val="0.754511326860841"/>
          <c:h val="0.624190679473497"/>
        </c:manualLayout>
      </c:layout>
      <c:barChart>
        <c:barDir val="col"/>
        <c:grouping val="clustered"/>
        <c:varyColors val="0"/>
        <c:ser>
          <c:idx val="1"/>
          <c:order val="0"/>
          <c:tx>
            <c:strRef>
              <c:f>"2022"</c:f>
              <c:strCache>
                <c:ptCount val="1"/>
                <c:pt idx="0">
                  <c:v>2022</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657.2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{"一般公共预算财政拨款支出"}</c:f>
              <c:strCache>
                <c:ptCount val="1"/>
                <c:pt idx="0">
                  <c:v>一般公共预算财政拨款支出</c:v>
                </c:pt>
              </c:strCache>
            </c:strRef>
          </c:cat>
          <c:val>
            <c:numRef>
              <c:f>{657.2}</c:f>
              <c:numCache>
                <c:formatCode>General</c:formatCode>
                <c:ptCount val="1"/>
                <c:pt idx="0">
                  <c:v>657.2</c:v>
                </c:pt>
              </c:numCache>
            </c:numRef>
          </c:val>
        </c:ser>
        <c:ser>
          <c:idx val="2"/>
          <c:order val="1"/>
          <c:tx>
            <c:strRef>
              <c:f>"2023"</c:f>
              <c:strCache>
                <c:ptCount val="1"/>
                <c:pt idx="0">
                  <c:v>2023</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{"一般公共预算财政拨款支出"}</c:f>
              <c:strCache>
                <c:ptCount val="1"/>
                <c:pt idx="0">
                  <c:v>一般公共预算财政拨款支出</c:v>
                </c:pt>
              </c:strCache>
            </c:strRef>
          </c:cat>
          <c:val>
            <c:numRef>
              <c:f>{902.38}</c:f>
              <c:numCache>
                <c:formatCode>General</c:formatCode>
                <c:ptCount val="1"/>
                <c:pt idx="0">
                  <c:v>902.38</c:v>
                </c:pt>
              </c:numCache>
            </c:numRef>
          </c:val>
        </c:ser>
        <c:dLbls>
          <c:showLegendKey val="0"/>
          <c:showVal val="1"/>
          <c:showCatName val="0"/>
          <c:showSerName val="0"/>
          <c:showPercent val="0"/>
          <c:showBubbleSize val="0"/>
        </c:dLbls>
        <c:gapWidth val="260"/>
        <c:overlap val="-32"/>
        <c:axId val="263440640"/>
        <c:axId val="263135232"/>
      </c:barChart>
      <c:catAx>
        <c:axId val="263440640"/>
        <c:scaling>
          <c:orientation val="minMax"/>
        </c:scaling>
        <c:delete val="0"/>
        <c:axPos val="b"/>
        <c:title>
          <c:tx>
            <c:rich>
              <a:bodyPr rot="0" spcFirstLastPara="0" vertOverflow="ellipsis" vert="horz" wrap="square" anchor="ctr" anchorCtr="1"/>
              <a:lstStyle/>
              <a:p>
                <a:pPr algn="l">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129838187702265"/>
              <c:y val="0.111704019921736"/>
            </c:manualLayout>
          </c:layout>
          <c:overlay val="0"/>
          <c:spPr>
            <a:noFill/>
            <a:ln>
              <a:noFill/>
            </a:ln>
            <a:effectLst/>
          </c:spPr>
        </c:title>
        <c:numFmt formatCode="General" sourceLinked="0"/>
        <c:majorTickMark val="none"/>
        <c:minorTickMark val="none"/>
        <c:tickLblPos val="none"/>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135232"/>
        <c:crosses val="autoZero"/>
        <c:auto val="1"/>
        <c:lblAlgn val="ctr"/>
        <c:lblOffset val="100"/>
        <c:noMultiLvlLbl val="0"/>
      </c:catAx>
      <c:valAx>
        <c:axId val="263135232"/>
        <c:scaling>
          <c:orientation val="minMax"/>
        </c:scaling>
        <c:delete val="1"/>
        <c:axPos val="l"/>
        <c:title>
          <c:tx>
            <c:rich>
              <a:bodyPr rot="-5400000" spcFirstLastPara="0" vertOverflow="ellipsis" vert="horz" wrap="square" anchor="ctr" anchorCtr="1"/>
              <a:lstStyle/>
              <a:p>
                <a:pPr algn="l">
                  <a:defRPr lang="zh-CN" sz="1000" b="0" i="0" u="none" strike="noStrike" kern="1200" baseline="0">
                    <a:solidFill>
                      <a:schemeClr val="tx1">
                        <a:lumMod val="65000"/>
                        <a:lumOff val="35000"/>
                      </a:schemeClr>
                    </a:solidFill>
                    <a:latin typeface="+mn-lt"/>
                    <a:ea typeface="+mn-ea"/>
                    <a:cs typeface="+mn-cs"/>
                  </a:defRPr>
                </a:pPr>
                <a:r>
                  <a:t> </a:t>
                </a:r>
              </a:p>
            </c:rich>
          </c:tx>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440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0724c5f-017d-41bf-9cba-e855129746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 一般公共预算财政拨款支出 单位：万元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工作表.xls]Sheet1'!$A$1:$A$4</c:f>
              <c:strCache>
                <c:ptCount val="4"/>
                <c:pt idx="0">
                  <c:v>教育支出</c:v>
                </c:pt>
                <c:pt idx="1">
                  <c:v>社会保障和就业支出</c:v>
                </c:pt>
                <c:pt idx="2">
                  <c:v>卫生健康</c:v>
                </c:pt>
                <c:pt idx="3">
                  <c:v>住房保障支出</c:v>
                </c:pt>
              </c:strCache>
            </c:strRef>
          </c:cat>
          <c:val>
            <c:numRef>
              <c:f>'[新建 XLS 工作表.xls]Sheet1'!$B$1:$B$4</c:f>
              <c:numCache>
                <c:formatCode>General</c:formatCode>
                <c:ptCount val="4"/>
                <c:pt idx="0">
                  <c:v>743.96</c:v>
                </c:pt>
                <c:pt idx="1">
                  <c:v>73.01</c:v>
                </c:pt>
                <c:pt idx="2">
                  <c:v>32</c:v>
                </c:pt>
                <c:pt idx="3">
                  <c:v>53.41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d375b1-06db-4087-b995-22ace67770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[决算公开柱状图、饼状图参考.xlsx]Sheet1!$B$130:$D$130</c:f>
              <c:strCache>
                <c:ptCount val="3"/>
                <c:pt idx="0">
                  <c:v>公务接待费</c:v>
                </c:pt>
                <c:pt idx="1">
                  <c:v>公务用车购置及运行维护费</c:v>
                </c:pt>
                <c:pt idx="2">
                  <c:v>因公出国（境）费</c:v>
                </c:pt>
              </c:strCache>
            </c:strRef>
          </c:cat>
          <c:val>
            <c:numRef>
              <c:f>[决算公开柱状图、饼状图参考.xlsx]Sheet1!$B$131:$D$131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c84e381-b486-4ff5-aeee-6d6238d2fc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4844</Words>
  <Characters>5448</Characters>
  <Lines>42</Lines>
  <Paragraphs>11</Paragraphs>
  <TotalTime>2</TotalTime>
  <ScaleCrop>false</ScaleCrop>
  <LinksUpToDate>false</LinksUpToDate>
  <CharactersWithSpaces>5631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2024-10-24T16:01:00Z</dcterms:created>
  <dc:creator>曹颖</dc:creator>
  <cp:lastModifiedBy>Lenovo</cp:lastModifiedBy>
  <cp:lastPrinted>2023-08-03T02:35:00Z</cp:lastPrinted>
  <dcterms:modified xsi:type="dcterms:W3CDTF">2024-10-29T00:39:40Z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5AFEF55A389D4EE1996670CBAD6494F5_12</vt:lpwstr>
  </property>
</Properties>
</file>