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E8F37">
      <w:pPr>
        <w:spacing w:line="600" w:lineRule="exact"/>
        <w:jc w:val="left"/>
        <w:outlineLvl w:val="0"/>
        <w:rPr>
          <w:rFonts w:ascii="方正小标宋简体" w:hAnsi="宋体" w:eastAsia="方正小标宋简体"/>
          <w:color w:val="auto"/>
          <w:sz w:val="21"/>
          <w:szCs w:val="21"/>
          <w:highlight w:val="none"/>
        </w:rPr>
      </w:pPr>
      <w:bookmarkStart w:id="0" w:name="_Toc15306267"/>
    </w:p>
    <w:p w14:paraId="5F37C268">
      <w:pPr>
        <w:spacing w:line="600" w:lineRule="exact"/>
        <w:jc w:val="center"/>
        <w:outlineLvl w:val="0"/>
        <w:rPr>
          <w:rFonts w:ascii="方正小标宋简体" w:hAnsi="宋体" w:eastAsia="方正小标宋简体"/>
          <w:color w:val="auto"/>
          <w:sz w:val="72"/>
          <w:szCs w:val="72"/>
          <w:highlight w:val="none"/>
        </w:rPr>
      </w:pPr>
    </w:p>
    <w:p w14:paraId="00F8DFB3">
      <w:pPr>
        <w:spacing w:line="600" w:lineRule="exact"/>
        <w:jc w:val="center"/>
        <w:outlineLvl w:val="0"/>
        <w:rPr>
          <w:rFonts w:ascii="方正小标宋简体" w:hAnsi="宋体" w:eastAsia="方正小标宋简体"/>
          <w:color w:val="auto"/>
          <w:sz w:val="72"/>
          <w:szCs w:val="72"/>
          <w:highlight w:val="none"/>
        </w:rPr>
      </w:pPr>
    </w:p>
    <w:p w14:paraId="4E64FF9F">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方正小标宋简体" w:eastAsia="方正小标宋简体" w:cs="方正小标宋简体"/>
          <w:b/>
          <w:bCs/>
          <w:color w:val="auto"/>
          <w:sz w:val="52"/>
          <w:szCs w:val="52"/>
          <w:highlight w:val="none"/>
        </w:rPr>
      </w:pPr>
      <w:bookmarkStart w:id="1" w:name="_Toc15396475"/>
      <w:bookmarkStart w:id="2" w:name="_Toc15377193"/>
      <w:bookmarkStart w:id="3" w:name="_Toc15378441"/>
      <w:bookmarkStart w:id="4" w:name="_Toc15377425"/>
      <w:bookmarkStart w:id="5" w:name="_Toc15396597"/>
      <w:r>
        <w:rPr>
          <w:rFonts w:hint="eastAsia" w:ascii="方正小标宋简体" w:hAnsi="方正小标宋简体" w:eastAsia="方正小标宋简体" w:cs="方正小标宋简体"/>
          <w:b/>
          <w:bCs/>
          <w:color w:val="auto"/>
          <w:sz w:val="52"/>
          <w:szCs w:val="52"/>
          <w:highlight w:val="none"/>
        </w:rPr>
        <w:t>20</w:t>
      </w:r>
      <w:r>
        <w:rPr>
          <w:rFonts w:hint="eastAsia" w:ascii="方正小标宋简体" w:hAnsi="方正小标宋简体" w:eastAsia="方正小标宋简体" w:cs="方正小标宋简体"/>
          <w:b/>
          <w:bCs/>
          <w:color w:val="auto"/>
          <w:sz w:val="52"/>
          <w:szCs w:val="52"/>
          <w:highlight w:val="none"/>
          <w:lang w:val="en-US" w:eastAsia="zh-CN"/>
        </w:rPr>
        <w:t>23</w:t>
      </w:r>
      <w:r>
        <w:rPr>
          <w:rFonts w:hint="eastAsia" w:ascii="方正小标宋简体" w:hAnsi="方正小标宋简体" w:eastAsia="方正小标宋简体" w:cs="方正小标宋简体"/>
          <w:b/>
          <w:bCs/>
          <w:color w:val="auto"/>
          <w:sz w:val="52"/>
          <w:szCs w:val="52"/>
          <w:highlight w:val="none"/>
        </w:rPr>
        <w:t>年度</w:t>
      </w:r>
      <w:bookmarkEnd w:id="1"/>
      <w:bookmarkEnd w:id="2"/>
      <w:bookmarkEnd w:id="3"/>
      <w:bookmarkEnd w:id="4"/>
      <w:bookmarkEnd w:id="5"/>
    </w:p>
    <w:p w14:paraId="4245C17D">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方正小标宋简体" w:eastAsia="方正小标宋简体" w:cs="方正小标宋简体"/>
          <w:b/>
          <w:bCs/>
          <w:color w:val="auto"/>
          <w:sz w:val="52"/>
          <w:szCs w:val="52"/>
          <w:highlight w:val="none"/>
        </w:rPr>
      </w:pPr>
      <w:bookmarkStart w:id="6" w:name="_Toc15378442"/>
      <w:bookmarkStart w:id="7" w:name="_Toc15396598"/>
      <w:bookmarkStart w:id="8" w:name="_Toc15377194"/>
      <w:bookmarkStart w:id="9" w:name="_Toc15377426"/>
      <w:bookmarkStart w:id="10" w:name="_Toc15396476"/>
      <w:r>
        <w:rPr>
          <w:rFonts w:hint="eastAsia" w:ascii="方正小标宋简体" w:hAnsi="方正小标宋简体" w:eastAsia="方正小标宋简体" w:cs="方正小标宋简体"/>
          <w:b/>
          <w:bCs/>
          <w:color w:val="auto"/>
          <w:sz w:val="52"/>
          <w:szCs w:val="52"/>
          <w:highlight w:val="none"/>
          <w:lang w:eastAsia="zh-CN"/>
        </w:rPr>
        <w:t>大竹县</w:t>
      </w:r>
      <w:bookmarkEnd w:id="0"/>
      <w:bookmarkStart w:id="11" w:name="_Toc15306268"/>
      <w:r>
        <w:rPr>
          <w:rFonts w:hint="eastAsia" w:ascii="方正小标宋简体" w:hAnsi="方正小标宋简体" w:eastAsia="方正小标宋简体" w:cs="方正小标宋简体"/>
          <w:b/>
          <w:bCs/>
          <w:color w:val="auto"/>
          <w:sz w:val="52"/>
          <w:szCs w:val="52"/>
          <w:highlight w:val="none"/>
          <w:lang w:eastAsia="zh-CN"/>
        </w:rPr>
        <w:t>行政审批局单位</w:t>
      </w:r>
      <w:r>
        <w:rPr>
          <w:rFonts w:hint="eastAsia" w:ascii="方正小标宋简体" w:hAnsi="方正小标宋简体" w:eastAsia="方正小标宋简体" w:cs="方正小标宋简体"/>
          <w:b/>
          <w:bCs/>
          <w:color w:val="auto"/>
          <w:sz w:val="52"/>
          <w:szCs w:val="52"/>
          <w:highlight w:val="none"/>
        </w:rPr>
        <w:t>决算</w:t>
      </w:r>
      <w:bookmarkEnd w:id="6"/>
      <w:bookmarkEnd w:id="7"/>
      <w:bookmarkEnd w:id="8"/>
      <w:bookmarkEnd w:id="9"/>
      <w:bookmarkEnd w:id="10"/>
      <w:bookmarkEnd w:id="11"/>
    </w:p>
    <w:p w14:paraId="78961BAE">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3214240">
      <w:pPr>
        <w:widowControl/>
        <w:jc w:val="center"/>
        <w:rPr>
          <w:rFonts w:ascii="黑体" w:hAnsi="黑体" w:eastAsia="黑体" w:cstheme="minorBidi"/>
          <w:color w:val="auto"/>
          <w:sz w:val="28"/>
          <w:szCs w:val="28"/>
          <w:highlight w:val="none"/>
        </w:rPr>
      </w:pPr>
    </w:p>
    <w:p w14:paraId="49D7F43E">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08870AC4">
      <w:pPr>
        <w:rPr>
          <w:color w:val="auto"/>
          <w:highlight w:val="none"/>
        </w:rPr>
      </w:pPr>
    </w:p>
    <w:p w14:paraId="21F4C2B7">
      <w:pPr>
        <w:pStyle w:val="10"/>
        <w:adjustRightInd w:val="0"/>
        <w:snapToGrid w:val="0"/>
        <w:spacing w:before="0"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第一部分 </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概况</w:t>
      </w:r>
      <w:r>
        <w:rPr>
          <w:rFonts w:hint="eastAsia" w:cs="仿宋"/>
          <w:color w:val="auto"/>
          <w:sz w:val="28"/>
          <w:szCs w:val="28"/>
          <w:highlight w:val="none"/>
          <w:lang w:val="en-US" w:eastAsia="zh-CN"/>
        </w:rPr>
        <w:t>.........................................4</w:t>
      </w:r>
    </w:p>
    <w:p w14:paraId="2B7C1BEF">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主要职责</w:t>
      </w:r>
      <w:r>
        <w:rPr>
          <w:rFonts w:hint="eastAsia" w:ascii="仿宋" w:hAnsi="仿宋" w:eastAsia="仿宋" w:cs="仿宋"/>
          <w:color w:val="auto"/>
          <w:sz w:val="28"/>
          <w:szCs w:val="28"/>
          <w:highlight w:val="none"/>
          <w:lang w:val="en-US" w:eastAsia="zh-CN"/>
        </w:rPr>
        <w:t>...........................................4</w:t>
      </w:r>
    </w:p>
    <w:p w14:paraId="1A47E53B">
      <w:pPr>
        <w:pStyle w:val="11"/>
        <w:adjustRightInd w:val="0"/>
        <w:snapToGrid w:val="0"/>
        <w:spacing w:line="440" w:lineRule="exact"/>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机构设置</w:t>
      </w:r>
      <w:r>
        <w:rPr>
          <w:rFonts w:hint="eastAsia" w:ascii="仿宋" w:hAnsi="仿宋" w:eastAsia="仿宋" w:cs="仿宋"/>
          <w:color w:val="auto"/>
          <w:sz w:val="28"/>
          <w:szCs w:val="28"/>
          <w:highlight w:val="none"/>
          <w:lang w:val="en-US" w:eastAsia="zh-CN"/>
        </w:rPr>
        <w:t>...........................................5</w:t>
      </w:r>
    </w:p>
    <w:p w14:paraId="63663C14">
      <w:pPr>
        <w:pStyle w:val="10"/>
        <w:adjustRightInd w:val="0"/>
        <w:snapToGrid w:val="0"/>
        <w:spacing w:before="0"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第二部分</w:t>
      </w:r>
      <w:r>
        <w:rPr>
          <w:rFonts w:hint="eastAsia" w:ascii="仿宋" w:hAnsi="仿宋" w:eastAsia="仿宋" w:cs="仿宋"/>
          <w:color w:val="auto"/>
          <w:sz w:val="28"/>
          <w:szCs w:val="28"/>
          <w:highlight w:val="none"/>
          <w:lang w:val="en-US" w:eastAsia="zh-CN"/>
        </w:rPr>
        <w:t xml:space="preserve"> 202</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年度</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决算情况说明</w:t>
      </w:r>
      <w:r>
        <w:rPr>
          <w:rFonts w:hint="eastAsia" w:cs="仿宋"/>
          <w:color w:val="auto"/>
          <w:sz w:val="28"/>
          <w:szCs w:val="28"/>
          <w:highlight w:val="none"/>
          <w:lang w:val="en-US" w:eastAsia="zh-CN"/>
        </w:rPr>
        <w:t>........................7</w:t>
      </w:r>
    </w:p>
    <w:p w14:paraId="2BC87B62">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一、收入支出决算总体情况说明</w:t>
      </w:r>
      <w:r>
        <w:rPr>
          <w:rFonts w:hint="eastAsia" w:ascii="仿宋" w:hAnsi="仿宋" w:eastAsia="仿宋" w:cs="仿宋"/>
          <w:color w:val="auto"/>
          <w:sz w:val="28"/>
          <w:szCs w:val="28"/>
          <w:highlight w:val="none"/>
          <w:lang w:val="en-US" w:eastAsia="zh-CN"/>
        </w:rPr>
        <w:t>...........................7</w:t>
      </w:r>
    </w:p>
    <w:p w14:paraId="55178B3E">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二、收入决算情况说明</w:t>
      </w:r>
      <w:r>
        <w:rPr>
          <w:rFonts w:hint="eastAsia" w:ascii="仿宋" w:hAnsi="仿宋" w:eastAsia="仿宋" w:cs="仿宋"/>
          <w:color w:val="auto"/>
          <w:sz w:val="28"/>
          <w:szCs w:val="28"/>
          <w:highlight w:val="none"/>
          <w:lang w:val="en-US" w:eastAsia="zh-CN"/>
        </w:rPr>
        <w:t>...................................7</w:t>
      </w:r>
    </w:p>
    <w:p w14:paraId="54640479">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三、支出决算情况说明</w:t>
      </w:r>
      <w:r>
        <w:rPr>
          <w:rFonts w:hint="eastAsia" w:ascii="仿宋" w:hAnsi="仿宋" w:eastAsia="仿宋" w:cs="仿宋"/>
          <w:color w:val="auto"/>
          <w:sz w:val="28"/>
          <w:szCs w:val="28"/>
          <w:highlight w:val="none"/>
          <w:lang w:val="en-US" w:eastAsia="zh-CN"/>
        </w:rPr>
        <w:t>...................................8</w:t>
      </w:r>
    </w:p>
    <w:p w14:paraId="3231437E">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四、财政拨款收入支出决算总体情况说明</w:t>
      </w:r>
      <w:r>
        <w:rPr>
          <w:rFonts w:hint="eastAsia" w:ascii="仿宋" w:hAnsi="仿宋" w:eastAsia="仿宋" w:cs="仿宋"/>
          <w:color w:val="auto"/>
          <w:sz w:val="28"/>
          <w:szCs w:val="28"/>
          <w:highlight w:val="none"/>
          <w:lang w:val="en-US" w:eastAsia="zh-CN"/>
        </w:rPr>
        <w:t>...................8</w:t>
      </w:r>
    </w:p>
    <w:p w14:paraId="18282548">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五、一般公共预算财政拨款支出决算情况说明</w:t>
      </w:r>
      <w:r>
        <w:rPr>
          <w:rFonts w:hint="eastAsia" w:ascii="仿宋" w:hAnsi="仿宋" w:eastAsia="仿宋" w:cs="仿宋"/>
          <w:color w:val="auto"/>
          <w:sz w:val="28"/>
          <w:szCs w:val="28"/>
          <w:highlight w:val="none"/>
          <w:lang w:val="en-US" w:eastAsia="zh-CN"/>
        </w:rPr>
        <w:t>...............9</w:t>
      </w:r>
    </w:p>
    <w:p w14:paraId="2D25728D">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六、一般公共预算财政拨款基本支出决算情况说明</w:t>
      </w:r>
      <w:r>
        <w:rPr>
          <w:rFonts w:hint="eastAsia" w:ascii="仿宋" w:hAnsi="仿宋" w:eastAsia="仿宋" w:cs="仿宋"/>
          <w:color w:val="auto"/>
          <w:sz w:val="28"/>
          <w:szCs w:val="28"/>
          <w:highlight w:val="none"/>
          <w:lang w:val="en-US" w:eastAsia="zh-CN"/>
        </w:rPr>
        <w:t>..........12</w:t>
      </w:r>
    </w:p>
    <w:p w14:paraId="2A0D879D">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七、财政拨款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三公”经费支出决算情况说明</w:t>
      </w:r>
      <w:r>
        <w:rPr>
          <w:rFonts w:hint="eastAsia" w:ascii="仿宋" w:hAnsi="仿宋" w:eastAsia="仿宋" w:cs="仿宋"/>
          <w:color w:val="auto"/>
          <w:sz w:val="28"/>
          <w:szCs w:val="28"/>
          <w:highlight w:val="none"/>
          <w:lang w:val="en-US" w:eastAsia="zh-CN"/>
        </w:rPr>
        <w:t>..............13</w:t>
      </w:r>
    </w:p>
    <w:p w14:paraId="33611AFE">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八、政府性基金预算支出决算情况说明</w:t>
      </w:r>
      <w:r>
        <w:rPr>
          <w:rFonts w:hint="eastAsia" w:ascii="仿宋" w:hAnsi="仿宋" w:eastAsia="仿宋" w:cs="仿宋"/>
          <w:color w:val="auto"/>
          <w:sz w:val="28"/>
          <w:szCs w:val="28"/>
          <w:highlight w:val="none"/>
          <w:lang w:val="en-US" w:eastAsia="zh-CN"/>
        </w:rPr>
        <w:t>....................14</w:t>
      </w:r>
    </w:p>
    <w:p w14:paraId="11D1312E">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九、国有资本经营预算支出决算情况说明</w:t>
      </w:r>
      <w:r>
        <w:rPr>
          <w:rFonts w:hint="eastAsia" w:ascii="仿宋" w:hAnsi="仿宋" w:eastAsia="仿宋" w:cs="仿宋"/>
          <w:color w:val="auto"/>
          <w:sz w:val="28"/>
          <w:szCs w:val="28"/>
          <w:highlight w:val="none"/>
          <w:lang w:val="en-US" w:eastAsia="zh-CN"/>
        </w:rPr>
        <w:t>..................14</w:t>
      </w:r>
    </w:p>
    <w:p w14:paraId="0488DC4C">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十、其他重要事项的情况说明</w:t>
      </w:r>
      <w:r>
        <w:rPr>
          <w:rFonts w:hint="eastAsia" w:ascii="仿宋" w:hAnsi="仿宋" w:eastAsia="仿宋" w:cs="仿宋"/>
          <w:color w:val="auto"/>
          <w:sz w:val="28"/>
          <w:szCs w:val="28"/>
          <w:highlight w:val="none"/>
          <w:lang w:val="en-US" w:eastAsia="zh-CN"/>
        </w:rPr>
        <w:t>............................15</w:t>
      </w:r>
    </w:p>
    <w:p w14:paraId="6A08F8D0">
      <w:pPr>
        <w:pStyle w:val="10"/>
        <w:adjustRightInd w:val="0"/>
        <w:snapToGrid w:val="0"/>
        <w:spacing w:before="0"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第三部分 名词解释</w:t>
      </w:r>
      <w:r>
        <w:rPr>
          <w:rFonts w:hint="eastAsia" w:cs="仿宋"/>
          <w:color w:val="auto"/>
          <w:sz w:val="28"/>
          <w:szCs w:val="28"/>
          <w:highlight w:val="none"/>
          <w:lang w:val="en-US" w:eastAsia="zh-CN"/>
        </w:rPr>
        <w:t>........................................17</w:t>
      </w:r>
    </w:p>
    <w:p w14:paraId="65637DC0">
      <w:pPr>
        <w:pStyle w:val="10"/>
        <w:adjustRightInd w:val="0"/>
        <w:snapToGrid w:val="0"/>
        <w:spacing w:before="0"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第四部分 附件</w:t>
      </w:r>
      <w:r>
        <w:rPr>
          <w:rFonts w:hint="eastAsia" w:cs="仿宋"/>
          <w:color w:val="auto"/>
          <w:sz w:val="28"/>
          <w:szCs w:val="28"/>
          <w:highlight w:val="none"/>
          <w:lang w:val="en-US" w:eastAsia="zh-CN"/>
        </w:rPr>
        <w:t>............................................21</w:t>
      </w:r>
    </w:p>
    <w:p w14:paraId="761C4066">
      <w:pPr>
        <w:pStyle w:val="10"/>
        <w:adjustRightInd w:val="0"/>
        <w:snapToGrid w:val="0"/>
        <w:spacing w:before="0"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第五部分 附表</w:t>
      </w:r>
      <w:r>
        <w:rPr>
          <w:rFonts w:hint="eastAsia" w:cs="仿宋"/>
          <w:color w:val="auto"/>
          <w:sz w:val="28"/>
          <w:szCs w:val="28"/>
          <w:highlight w:val="none"/>
          <w:lang w:val="en-US" w:eastAsia="zh-CN"/>
        </w:rPr>
        <w:t>............................................23</w:t>
      </w:r>
    </w:p>
    <w:p w14:paraId="49CAA6CB">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一、收入支出决算总表</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二、收入决算表</w:t>
      </w:r>
      <w:r>
        <w:rPr>
          <w:rFonts w:hint="eastAsia" w:ascii="仿宋" w:hAnsi="仿宋" w:eastAsia="仿宋" w:cs="仿宋"/>
          <w:color w:val="auto"/>
          <w:sz w:val="28"/>
          <w:szCs w:val="28"/>
          <w:highlight w:val="none"/>
          <w:lang w:val="en-US" w:eastAsia="zh-CN"/>
        </w:rPr>
        <w:t>........................................23</w:t>
      </w:r>
    </w:p>
    <w:p w14:paraId="5169408B">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三、支出决算表</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四、财政拨款收入支出决算总表</w:t>
      </w:r>
      <w:r>
        <w:rPr>
          <w:rFonts w:hint="eastAsia" w:ascii="仿宋" w:hAnsi="仿宋" w:eastAsia="仿宋" w:cs="仿宋"/>
          <w:color w:val="auto"/>
          <w:sz w:val="28"/>
          <w:szCs w:val="28"/>
          <w:highlight w:val="none"/>
          <w:lang w:val="en-US" w:eastAsia="zh-CN"/>
        </w:rPr>
        <w:t>..........................23</w:t>
      </w:r>
    </w:p>
    <w:p w14:paraId="2CE71CC2">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五、财政拨款支出决算明细表</w:t>
      </w:r>
      <w:r>
        <w:rPr>
          <w:rFonts w:hint="eastAsia" w:ascii="仿宋" w:hAnsi="仿宋" w:eastAsia="仿宋" w:cs="仿宋"/>
          <w:color w:val="auto"/>
          <w:sz w:val="28"/>
          <w:szCs w:val="28"/>
          <w:highlight w:val="none"/>
          <w:lang w:val="en-US" w:eastAsia="zh-CN"/>
        </w:rPr>
        <w:t>............................23</w:t>
      </w:r>
    </w:p>
    <w:p w14:paraId="30A2379D">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六、一般公共预算财政拨款支出决算表</w:t>
      </w:r>
      <w:r>
        <w:rPr>
          <w:rFonts w:hint="eastAsia" w:ascii="仿宋" w:hAnsi="仿宋" w:eastAsia="仿宋" w:cs="仿宋"/>
          <w:color w:val="auto"/>
          <w:sz w:val="28"/>
          <w:szCs w:val="28"/>
          <w:highlight w:val="none"/>
          <w:lang w:val="en-US" w:eastAsia="zh-CN"/>
        </w:rPr>
        <w:t>....................23</w:t>
      </w:r>
    </w:p>
    <w:p w14:paraId="31E63E36">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七、一般公共预算财政拨款支出决算明细表</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九、一般公共预算财政拨款项目支出决算表</w:t>
      </w:r>
      <w:r>
        <w:rPr>
          <w:rFonts w:hint="eastAsia" w:ascii="仿宋" w:hAnsi="仿宋" w:eastAsia="仿宋" w:cs="仿宋"/>
          <w:color w:val="auto"/>
          <w:sz w:val="28"/>
          <w:szCs w:val="28"/>
          <w:highlight w:val="none"/>
          <w:lang w:val="en-US" w:eastAsia="zh-CN"/>
        </w:rPr>
        <w:t>................23</w:t>
      </w:r>
    </w:p>
    <w:p w14:paraId="792707D3">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十、政府性基金预算财政拨款收入支出决算表</w:t>
      </w:r>
      <w:r>
        <w:rPr>
          <w:rFonts w:hint="eastAsia" w:ascii="仿宋" w:hAnsi="仿宋" w:eastAsia="仿宋" w:cs="仿宋"/>
          <w:color w:val="auto"/>
          <w:sz w:val="28"/>
          <w:szCs w:val="28"/>
          <w:highlight w:val="none"/>
          <w:lang w:val="en-US" w:eastAsia="zh-CN"/>
        </w:rPr>
        <w:t>..............23</w:t>
      </w:r>
    </w:p>
    <w:p w14:paraId="3B988034">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十一、国有资本经营预算财政拨款收入支出决算表</w:t>
      </w:r>
      <w:r>
        <w:rPr>
          <w:rFonts w:hint="eastAsia" w:ascii="仿宋" w:hAnsi="仿宋" w:eastAsia="仿宋" w:cs="仿宋"/>
          <w:color w:val="auto"/>
          <w:sz w:val="28"/>
          <w:szCs w:val="28"/>
          <w:highlight w:val="none"/>
          <w:lang w:val="en-US" w:eastAsia="zh-CN"/>
        </w:rPr>
        <w:t>..........23</w:t>
      </w:r>
    </w:p>
    <w:p w14:paraId="383ECDFE">
      <w:pPr>
        <w:pStyle w:val="11"/>
        <w:adjustRightInd w:val="0"/>
        <w:snapToGrid w:val="0"/>
        <w:spacing w:line="440" w:lineRule="exact"/>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国有资本经营预算财政拨款支出决算表..............23</w:t>
      </w:r>
    </w:p>
    <w:p w14:paraId="5784DD18">
      <w:pPr>
        <w:pStyle w:val="11"/>
        <w:adjustRightInd w:val="0"/>
        <w:snapToGrid w:val="0"/>
        <w:spacing w:line="44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十三、财政拨款“三公”经费支出决算表</w:t>
      </w:r>
      <w:r>
        <w:rPr>
          <w:rFonts w:hint="eastAsia" w:ascii="仿宋" w:hAnsi="仿宋" w:eastAsia="仿宋" w:cs="仿宋"/>
          <w:color w:val="auto"/>
          <w:sz w:val="28"/>
          <w:szCs w:val="28"/>
          <w:highlight w:val="none"/>
          <w:lang w:val="en-US" w:eastAsia="zh-CN"/>
        </w:rPr>
        <w:t>..................23</w:t>
      </w:r>
      <w:bookmarkStart w:id="67" w:name="_GoBack"/>
      <w:bookmarkEnd w:id="67"/>
    </w:p>
    <w:p w14:paraId="6C1702A4">
      <w:pPr>
        <w:pStyle w:val="11"/>
        <w:adjustRightInd w:val="0"/>
        <w:snapToGrid w:val="0"/>
        <w:spacing w:line="440" w:lineRule="exact"/>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14:paraId="743426DC">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62CBA05B">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14:paraId="55B26EA7">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一、主要职责</w:t>
      </w:r>
    </w:p>
    <w:p w14:paraId="58ACBED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大竹县行政审批局是大竹人民政府的工作部门，为正科单位。</w:t>
      </w:r>
      <w:r>
        <w:rPr>
          <w:rFonts w:hint="eastAsia" w:ascii="仿宋" w:hAnsi="仿宋" w:eastAsia="仿宋" w:cs="仿宋"/>
          <w:sz w:val="32"/>
          <w:szCs w:val="32"/>
        </w:rPr>
        <w:t>县行政审批局贯彻</w:t>
      </w:r>
      <w:r>
        <w:rPr>
          <w:rFonts w:hint="eastAsia" w:ascii="仿宋" w:hAnsi="仿宋" w:eastAsia="仿宋" w:cs="仿宋"/>
          <w:sz w:val="32"/>
          <w:szCs w:val="32"/>
          <w:lang w:eastAsia="zh-CN"/>
        </w:rPr>
        <w:t>落实党中央关于政务服务建设工作的方针政策</w:t>
      </w:r>
      <w:r>
        <w:rPr>
          <w:rFonts w:hint="eastAsia" w:ascii="仿宋" w:hAnsi="仿宋" w:eastAsia="仿宋" w:cs="仿宋"/>
          <w:sz w:val="32"/>
          <w:szCs w:val="32"/>
        </w:rPr>
        <w:t>和省委、市委、县</w:t>
      </w:r>
      <w:r>
        <w:rPr>
          <w:rFonts w:hint="eastAsia" w:ascii="仿宋" w:hAnsi="仿宋" w:eastAsia="仿宋" w:cs="仿宋"/>
          <w:sz w:val="32"/>
          <w:szCs w:val="32"/>
          <w:lang w:eastAsia="zh-CN"/>
        </w:rPr>
        <w:t>委的决策部署，在履行职责过程中坚持加强党对政务服务工作</w:t>
      </w:r>
      <w:r>
        <w:rPr>
          <w:rFonts w:hint="eastAsia" w:ascii="仿宋" w:hAnsi="仿宋" w:eastAsia="仿宋" w:cs="仿宋"/>
          <w:sz w:val="32"/>
          <w:szCs w:val="32"/>
        </w:rPr>
        <w:t>的</w:t>
      </w:r>
      <w:r>
        <w:rPr>
          <w:rFonts w:hint="eastAsia" w:ascii="仿宋" w:hAnsi="仿宋" w:eastAsia="仿宋" w:cs="仿宋"/>
          <w:sz w:val="32"/>
          <w:szCs w:val="32"/>
          <w:lang w:eastAsia="zh-CN"/>
        </w:rPr>
        <w:t>集中统一领导。主要职责是：</w:t>
      </w:r>
    </w:p>
    <w:p w14:paraId="74D1F2D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贯彻落实中央、省、</w:t>
      </w:r>
      <w:r>
        <w:rPr>
          <w:rFonts w:hint="eastAsia" w:ascii="仿宋" w:hAnsi="仿宋" w:eastAsia="仿宋" w:cs="仿宋"/>
          <w:sz w:val="32"/>
          <w:szCs w:val="32"/>
          <w:lang w:eastAsia="zh-CN"/>
        </w:rPr>
        <w:t>市“</w:t>
      </w:r>
      <w:r>
        <w:rPr>
          <w:rFonts w:hint="eastAsia" w:ascii="仿宋" w:hAnsi="仿宋" w:eastAsia="仿宋" w:cs="仿宋"/>
          <w:sz w:val="32"/>
          <w:szCs w:val="32"/>
        </w:rPr>
        <w:t>放管服”改革</w:t>
      </w:r>
      <w:r>
        <w:rPr>
          <w:rFonts w:hint="eastAsia" w:ascii="仿宋" w:hAnsi="仿宋" w:eastAsia="仿宋" w:cs="仿宋"/>
          <w:sz w:val="32"/>
          <w:szCs w:val="32"/>
          <w:lang w:eastAsia="zh-CN"/>
        </w:rPr>
        <w:t>工作要求，统筹协调推进“</w:t>
      </w:r>
      <w:r>
        <w:rPr>
          <w:rFonts w:hint="eastAsia" w:ascii="仿宋" w:hAnsi="仿宋" w:eastAsia="仿宋" w:cs="仿宋"/>
          <w:sz w:val="32"/>
          <w:szCs w:val="32"/>
        </w:rPr>
        <w:t>放管服”改革。</w:t>
      </w:r>
    </w:p>
    <w:p w14:paraId="5F3426D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贯彻落实国家、省</w:t>
      </w:r>
      <w:r>
        <w:rPr>
          <w:rFonts w:hint="eastAsia" w:ascii="仿宋" w:hAnsi="仿宋" w:eastAsia="仿宋" w:cs="仿宋"/>
          <w:sz w:val="32"/>
          <w:szCs w:val="32"/>
          <w:lang w:eastAsia="zh-CN"/>
        </w:rPr>
        <w:t>、市有关行政审批制度改革的相关政策规定，</w:t>
      </w:r>
      <w:r>
        <w:rPr>
          <w:rFonts w:hint="eastAsia" w:ascii="仿宋" w:hAnsi="仿宋" w:eastAsia="仿宋" w:cs="仿宋"/>
          <w:sz w:val="32"/>
          <w:szCs w:val="32"/>
        </w:rPr>
        <w:t>创新和完善相关工作</w:t>
      </w:r>
      <w:r>
        <w:rPr>
          <w:rFonts w:hint="eastAsia" w:ascii="仿宋" w:hAnsi="仿宋" w:eastAsia="仿宋" w:cs="仿宋"/>
          <w:sz w:val="32"/>
          <w:szCs w:val="32"/>
          <w:lang w:eastAsia="zh-CN"/>
        </w:rPr>
        <w:t>体制机制。</w:t>
      </w:r>
    </w:p>
    <w:p w14:paraId="27DC300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负责承担已划转的</w:t>
      </w:r>
      <w:r>
        <w:rPr>
          <w:rFonts w:hint="eastAsia" w:ascii="仿宋" w:hAnsi="仿宋" w:eastAsia="仿宋" w:cs="仿宋"/>
          <w:sz w:val="32"/>
          <w:szCs w:val="32"/>
          <w:lang w:eastAsia="zh-CN"/>
        </w:rPr>
        <w:t>县级部门行政权力事项的依法受理、审批及决定送达</w:t>
      </w:r>
      <w:r>
        <w:rPr>
          <w:rFonts w:hint="eastAsia" w:ascii="仿宋" w:hAnsi="仿宋" w:eastAsia="仿宋" w:cs="仿宋"/>
          <w:sz w:val="32"/>
          <w:szCs w:val="32"/>
        </w:rPr>
        <w:t>，并承担相</w:t>
      </w:r>
      <w:r>
        <w:rPr>
          <w:rFonts w:hint="eastAsia" w:ascii="仿宋" w:hAnsi="仿宋" w:eastAsia="仿宋" w:cs="仿宋"/>
          <w:sz w:val="32"/>
          <w:szCs w:val="32"/>
          <w:lang w:eastAsia="zh-CN"/>
        </w:rPr>
        <w:t>应的法律责任；</w:t>
      </w:r>
      <w:r>
        <w:rPr>
          <w:rFonts w:hint="eastAsia" w:ascii="仿宋" w:hAnsi="仿宋" w:eastAsia="仿宋" w:cs="仿宋"/>
          <w:sz w:val="32"/>
          <w:szCs w:val="32"/>
        </w:rPr>
        <w:t>负责</w:t>
      </w:r>
      <w:r>
        <w:rPr>
          <w:rFonts w:hint="eastAsia" w:ascii="仿宋" w:hAnsi="仿宋" w:eastAsia="仿宋" w:cs="仿宋"/>
          <w:sz w:val="32"/>
          <w:szCs w:val="32"/>
          <w:lang w:eastAsia="zh-CN"/>
        </w:rPr>
        <w:t>做好上级部门下放的行政许可事项承接落实工作。</w:t>
      </w:r>
    </w:p>
    <w:p w14:paraId="38CF5E0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（四）负责</w:t>
      </w:r>
      <w:r>
        <w:rPr>
          <w:rFonts w:hint="eastAsia" w:ascii="仿宋" w:hAnsi="仿宋" w:eastAsia="仿宋" w:cs="仿宋"/>
          <w:sz w:val="32"/>
          <w:szCs w:val="32"/>
        </w:rPr>
        <w:t>承拒的行政权力</w:t>
      </w:r>
      <w:r>
        <w:rPr>
          <w:rFonts w:hint="eastAsia" w:ascii="仿宋" w:hAnsi="仿宋" w:eastAsia="仿宋" w:cs="仿宋"/>
          <w:sz w:val="32"/>
          <w:szCs w:val="32"/>
          <w:lang w:eastAsia="zh-CN"/>
        </w:rPr>
        <w:t>事项现场踏勘、论证和听证等工作的协调和</w:t>
      </w:r>
      <w:r>
        <w:rPr>
          <w:rFonts w:hint="eastAsia" w:ascii="仿宋" w:hAnsi="仿宋" w:eastAsia="仿宋" w:cs="仿宋"/>
          <w:sz w:val="32"/>
          <w:szCs w:val="32"/>
        </w:rPr>
        <w:t>组织实施。</w:t>
      </w:r>
    </w:p>
    <w:p w14:paraId="6310C5B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）负责组织清理和规范行政审批事项前置</w:t>
      </w:r>
      <w:r>
        <w:rPr>
          <w:rFonts w:hint="eastAsia" w:ascii="仿宋" w:hAnsi="仿宋" w:eastAsia="仿宋" w:cs="仿宋"/>
          <w:sz w:val="32"/>
          <w:szCs w:val="32"/>
          <w:lang w:eastAsia="zh-CN"/>
        </w:rPr>
        <w:t>条件；负责对行政审批服务事项进行流程再造、优化环节、压缩时限，并对办理情况进</w:t>
      </w:r>
      <w:r>
        <w:rPr>
          <w:rFonts w:hint="eastAsia" w:ascii="仿宋" w:hAnsi="仿宋" w:eastAsia="仿宋" w:cs="仿宋"/>
          <w:sz w:val="32"/>
          <w:szCs w:val="32"/>
        </w:rPr>
        <w:t>行跟踪督办，协调解决事项办理中存在的</w:t>
      </w:r>
      <w:r>
        <w:rPr>
          <w:rFonts w:hint="eastAsia" w:ascii="仿宋" w:hAnsi="仿宋" w:eastAsia="仿宋" w:cs="仿宋"/>
          <w:sz w:val="32"/>
          <w:szCs w:val="32"/>
          <w:lang w:eastAsia="zh-CN"/>
        </w:rPr>
        <w:t>问题。</w:t>
      </w:r>
    </w:p>
    <w:p w14:paraId="13A2C7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w:t>
      </w:r>
      <w:r>
        <w:rPr>
          <w:rFonts w:hint="eastAsia" w:ascii="仿宋" w:hAnsi="仿宋" w:eastAsia="仿宋" w:cs="仿宋"/>
          <w:sz w:val="32"/>
          <w:szCs w:val="32"/>
        </w:rPr>
        <w:t>）负责协调进驻政务服务大厅的依申请服</w:t>
      </w:r>
      <w:r>
        <w:rPr>
          <w:rFonts w:hint="eastAsia" w:ascii="仿宋" w:hAnsi="仿宋" w:eastAsia="仿宋" w:cs="仿宋"/>
          <w:sz w:val="32"/>
          <w:szCs w:val="32"/>
          <w:lang w:eastAsia="zh-CN"/>
        </w:rPr>
        <w:t>务事项办理；负责对大</w:t>
      </w:r>
      <w:r>
        <w:rPr>
          <w:rFonts w:hint="eastAsia" w:ascii="仿宋" w:hAnsi="仿宋" w:eastAsia="仿宋" w:cs="仿宋"/>
          <w:sz w:val="32"/>
          <w:szCs w:val="32"/>
        </w:rPr>
        <w:t>厅内行政审批、政务服务行为进行监督检</w:t>
      </w:r>
      <w:r>
        <w:rPr>
          <w:rFonts w:hint="eastAsia" w:ascii="仿宋" w:hAnsi="仿宋" w:eastAsia="仿宋" w:cs="仿宋"/>
          <w:sz w:val="32"/>
          <w:szCs w:val="32"/>
          <w:lang w:eastAsia="zh-CN"/>
        </w:rPr>
        <w:t>查；负责对大厅窗口工</w:t>
      </w:r>
      <w:r>
        <w:rPr>
          <w:rFonts w:hint="eastAsia" w:ascii="仿宋" w:hAnsi="仿宋" w:eastAsia="仿宋" w:cs="仿宋"/>
          <w:sz w:val="32"/>
          <w:szCs w:val="32"/>
        </w:rPr>
        <w:t>作人员进行日常监督、教育培训和检查考</w:t>
      </w:r>
      <w:r>
        <w:rPr>
          <w:rFonts w:hint="eastAsia" w:ascii="仿宋" w:hAnsi="仿宋" w:eastAsia="仿宋" w:cs="仿宋"/>
          <w:sz w:val="32"/>
          <w:szCs w:val="32"/>
          <w:lang w:eastAsia="zh-CN"/>
        </w:rPr>
        <w:t>核。</w:t>
      </w:r>
    </w:p>
    <w:p w14:paraId="1351895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）负责指导全县各级政务服务、便民服务</w:t>
      </w:r>
      <w:r>
        <w:rPr>
          <w:rFonts w:hint="eastAsia" w:ascii="仿宋" w:hAnsi="仿宋" w:eastAsia="仿宋" w:cs="仿宋"/>
          <w:sz w:val="32"/>
          <w:szCs w:val="32"/>
          <w:lang w:eastAsia="zh-CN"/>
        </w:rPr>
        <w:t>体系建设，负责建立</w:t>
      </w:r>
      <w:r>
        <w:rPr>
          <w:rFonts w:hint="eastAsia" w:ascii="仿宋" w:hAnsi="仿宋" w:eastAsia="仿宋" w:cs="仿宋"/>
          <w:sz w:val="32"/>
          <w:szCs w:val="32"/>
        </w:rPr>
        <w:t>行政审批、公共服务运行规程和考核体系。</w:t>
      </w:r>
    </w:p>
    <w:p w14:paraId="050E7F7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八）负责承担行政权力事项收费工作。</w:t>
      </w:r>
    </w:p>
    <w:p w14:paraId="7DC6EF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九）负责会同有关部门加强行政审批和政务服</w:t>
      </w:r>
      <w:r>
        <w:rPr>
          <w:rFonts w:hint="eastAsia" w:ascii="仿宋" w:hAnsi="仿宋" w:eastAsia="仿宋" w:cs="仿宋"/>
          <w:sz w:val="32"/>
          <w:szCs w:val="32"/>
          <w:lang w:eastAsia="zh-CN"/>
        </w:rPr>
        <w:t>务信息化建设。</w:t>
      </w:r>
    </w:p>
    <w:p w14:paraId="419D79B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十）负责一体化政务服务平台运行和管理</w:t>
      </w:r>
      <w:r>
        <w:rPr>
          <w:rFonts w:hint="eastAsia" w:ascii="仿宋" w:hAnsi="仿宋" w:eastAsia="仿宋" w:cs="仿宋"/>
          <w:sz w:val="32"/>
          <w:szCs w:val="32"/>
          <w:lang w:eastAsia="zh-CN"/>
        </w:rPr>
        <w:t>，推进行政权力</w:t>
      </w:r>
      <w:r>
        <w:rPr>
          <w:rFonts w:hint="eastAsia" w:ascii="仿宋" w:hAnsi="仿宋" w:eastAsia="仿宋" w:cs="仿宋"/>
          <w:sz w:val="32"/>
          <w:szCs w:val="32"/>
          <w:lang w:val="en-US" w:eastAsia="zh-CN"/>
        </w:rPr>
        <w:t xml:space="preserve"> 依法规范公开运行。</w:t>
      </w:r>
    </w:p>
    <w:p w14:paraId="366EA0E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十一）负</w:t>
      </w:r>
      <w:r>
        <w:rPr>
          <w:rFonts w:hint="eastAsia" w:ascii="仿宋" w:hAnsi="仿宋" w:eastAsia="仿宋" w:cs="仿宋"/>
          <w:sz w:val="32"/>
          <w:szCs w:val="32"/>
          <w:lang w:eastAsia="zh-CN"/>
        </w:rPr>
        <w:t>责职责</w:t>
      </w:r>
      <w:r>
        <w:rPr>
          <w:rFonts w:hint="eastAsia" w:ascii="仿宋" w:hAnsi="仿宋" w:eastAsia="仿宋" w:cs="仿宋"/>
          <w:sz w:val="32"/>
          <w:szCs w:val="32"/>
        </w:rPr>
        <w:t>范围内的安全生产</w:t>
      </w:r>
      <w:r>
        <w:rPr>
          <w:rFonts w:hint="eastAsia" w:ascii="仿宋" w:hAnsi="仿宋" w:eastAsia="仿宋" w:cs="仿宋"/>
          <w:sz w:val="32"/>
          <w:szCs w:val="32"/>
          <w:lang w:eastAsia="zh-CN"/>
        </w:rPr>
        <w:t>和职业健康、生态环境保护、</w:t>
      </w:r>
      <w:r>
        <w:rPr>
          <w:rFonts w:hint="eastAsia" w:ascii="仿宋" w:hAnsi="仿宋" w:eastAsia="仿宋" w:cs="仿宋"/>
          <w:sz w:val="32"/>
          <w:szCs w:val="32"/>
        </w:rPr>
        <w:t>人才队伍建设等工作。</w:t>
      </w:r>
    </w:p>
    <w:p w14:paraId="22F4863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（十二）完成县委、县政府交办的其他工作。</w:t>
      </w:r>
    </w:p>
    <w:p w14:paraId="0F197C6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（十三）职能转变。</w:t>
      </w:r>
    </w:p>
    <w:p w14:paraId="00D8BC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.将县级有关部门承担的行政许可事项划入</w:t>
      </w:r>
      <w:r>
        <w:rPr>
          <w:rFonts w:hint="eastAsia" w:ascii="仿宋" w:hAnsi="仿宋" w:eastAsia="仿宋" w:cs="仿宋"/>
          <w:sz w:val="32"/>
          <w:szCs w:val="32"/>
          <w:lang w:eastAsia="zh-CN"/>
        </w:rPr>
        <w:t>县行政审批局。</w:t>
      </w:r>
    </w:p>
    <w:p w14:paraId="7740ADE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2．将原县政务服务中心承拒的行政职责整体划</w:t>
      </w:r>
      <w:r>
        <w:rPr>
          <w:rFonts w:hint="eastAsia" w:ascii="仿宋" w:hAnsi="仿宋" w:eastAsia="仿宋" w:cs="仿宋"/>
          <w:sz w:val="32"/>
          <w:szCs w:val="32"/>
          <w:lang w:eastAsia="zh-CN"/>
        </w:rPr>
        <w:t>入县行政审批局</w:t>
      </w:r>
    </w:p>
    <w:p w14:paraId="34B11F9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3．深化行政审批制度改革、努力打造“至简审</w:t>
      </w:r>
      <w:r>
        <w:rPr>
          <w:rFonts w:hint="eastAsia" w:ascii="仿宋" w:hAnsi="仿宋" w:eastAsia="仿宋" w:cs="仿宋"/>
          <w:sz w:val="32"/>
          <w:szCs w:val="32"/>
          <w:lang w:eastAsia="zh-CN"/>
        </w:rPr>
        <w:t>批”模式，</w:t>
      </w:r>
    </w:p>
    <w:p w14:paraId="3786EBE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实现“</w:t>
      </w:r>
      <w:r>
        <w:rPr>
          <w:rFonts w:hint="eastAsia" w:ascii="仿宋" w:hAnsi="仿宋" w:eastAsia="仿宋" w:cs="仿宋"/>
          <w:sz w:val="32"/>
          <w:szCs w:val="32"/>
        </w:rPr>
        <w:t>一枚印章管审批”，大力推进“一网一门一次”改革，最大限度</w:t>
      </w:r>
      <w:r>
        <w:rPr>
          <w:rFonts w:hint="eastAsia" w:ascii="仿宋" w:hAnsi="仿宋" w:eastAsia="仿宋" w:cs="仿宋"/>
          <w:sz w:val="32"/>
          <w:szCs w:val="32"/>
          <w:lang w:eastAsia="zh-CN"/>
        </w:rPr>
        <w:t>减少</w:t>
      </w:r>
      <w:r>
        <w:rPr>
          <w:rFonts w:hint="eastAsia" w:ascii="仿宋" w:hAnsi="仿宋" w:eastAsia="仿宋" w:cs="仿宋"/>
          <w:sz w:val="32"/>
          <w:szCs w:val="32"/>
        </w:rPr>
        <w:t>企业和群众办事成本，促进政府治理体系和治理能力现代</w:t>
      </w:r>
      <w:r>
        <w:rPr>
          <w:rFonts w:hint="eastAsia" w:ascii="仿宋" w:hAnsi="仿宋" w:eastAsia="仿宋" w:cs="仿宋"/>
          <w:sz w:val="32"/>
          <w:szCs w:val="32"/>
          <w:lang w:eastAsia="zh-CN"/>
        </w:rPr>
        <w:t>化。</w:t>
      </w:r>
    </w:p>
    <w:p w14:paraId="00935B4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将“放管服”相关职能划入县行政审批局。</w:t>
      </w:r>
    </w:p>
    <w:p w14:paraId="1F9F7486">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3B33F25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大竹县行政审批局</w:t>
      </w:r>
      <w:r>
        <w:rPr>
          <w:rFonts w:hint="eastAsia" w:ascii="仿宋" w:hAnsi="仿宋" w:eastAsia="仿宋" w:cs="仿宋"/>
          <w:sz w:val="32"/>
          <w:szCs w:val="32"/>
        </w:rPr>
        <w:t>下属</w:t>
      </w:r>
      <w:r>
        <w:rPr>
          <w:rFonts w:hint="eastAsia" w:ascii="仿宋" w:hAnsi="仿宋" w:eastAsia="仿宋" w:cs="仿宋"/>
          <w:sz w:val="32"/>
          <w:szCs w:val="32"/>
          <w:lang w:eastAsia="zh-CN"/>
        </w:rPr>
        <w:t>二级</w:t>
      </w:r>
      <w:r>
        <w:rPr>
          <w:rFonts w:hint="eastAsia" w:ascii="仿宋" w:hAnsi="仿宋" w:eastAsia="仿宋" w:cs="仿宋"/>
          <w:sz w:val="32"/>
          <w:szCs w:val="32"/>
        </w:rPr>
        <w:t>单位3个，其中行政单位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个，其他事业单位3个。</w:t>
      </w:r>
    </w:p>
    <w:p w14:paraId="52E1E558">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大竹县行政审批局</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年度部门决算编制范围的二级预算单位包括：</w:t>
      </w:r>
    </w:p>
    <w:p w14:paraId="4C4965B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大竹县政务服务中心</w:t>
      </w:r>
    </w:p>
    <w:p w14:paraId="2511CF9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大竹县12345政务服务热线办理中心</w:t>
      </w:r>
    </w:p>
    <w:p w14:paraId="4BFDC71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大竹县政务网络保障中心</w:t>
      </w:r>
    </w:p>
    <w:p w14:paraId="157B6352">
      <w:pPr>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16F37087">
      <w:pPr>
        <w:pStyle w:val="3"/>
        <w:ind w:right="440"/>
        <w:jc w:val="center"/>
        <w:rPr>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14:paraId="0CE9AC39">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14:paraId="248D0EF4">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106.48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5.02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节约经费开支。</w:t>
      </w:r>
    </w:p>
    <w:p w14:paraId="7B2CA25A">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45D1F0A7">
      <w:pPr>
        <w:pStyle w:val="2"/>
        <w:rPr>
          <w:rFonts w:ascii="仿宋_GB2312" w:eastAsia="仿宋_GB2312"/>
          <w:color w:val="auto"/>
          <w:sz w:val="32"/>
          <w:szCs w:val="32"/>
          <w:highlight w:val="none"/>
        </w:rPr>
      </w:pPr>
      <w:r>
        <w:drawing>
          <wp:inline distT="0" distB="0" distL="114300" distR="114300">
            <wp:extent cx="5267960" cy="2286000"/>
            <wp:effectExtent l="4445" t="4445" r="23495" b="14605"/>
            <wp:docPr id="114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2C52D3">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14:paraId="0206B287">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D94C06F">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27DE8630">
      <w:pPr>
        <w:spacing w:line="600" w:lineRule="exact"/>
        <w:ind w:firstLine="640" w:firstLineChars="200"/>
        <w:outlineLvl w:val="1"/>
        <w:rPr>
          <w:rFonts w:ascii="仿宋" w:hAnsi="仿宋" w:eastAsia="仿宋"/>
          <w:color w:val="auto"/>
          <w:sz w:val="32"/>
          <w:szCs w:val="32"/>
          <w:highlight w:val="none"/>
        </w:rPr>
      </w:pPr>
    </w:p>
    <w:p w14:paraId="29A8F5F7">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14:paraId="19122CAD">
      <w:pPr>
        <w:pStyle w:val="2"/>
        <w:rPr>
          <w:rFonts w:ascii="仿宋_GB2312" w:eastAsia="仿宋_GB2312"/>
          <w:color w:val="auto"/>
          <w:sz w:val="32"/>
          <w:szCs w:val="32"/>
          <w:highlight w:val="none"/>
        </w:rPr>
      </w:pPr>
      <w:r>
        <w:drawing>
          <wp:inline distT="0" distB="0" distL="114300" distR="114300">
            <wp:extent cx="4801235" cy="2813050"/>
            <wp:effectExtent l="4445" t="4445" r="13970" b="20955"/>
            <wp:docPr id="116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7347B2">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14:paraId="68F7D8B1">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1083.30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930.25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D1C811F">
      <w:pPr>
        <w:spacing w:line="600" w:lineRule="exact"/>
        <w:ind w:firstLine="643" w:firstLineChars="200"/>
        <w:outlineLvl w:val="1"/>
        <w:rPr>
          <w:rFonts w:ascii="仿宋_GB2312" w:eastAsia="仿宋_GB2312"/>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r>
        <w:rPr>
          <w:rFonts w:hint="eastAsia" w:ascii="仿宋" w:hAnsi="仿宋" w:eastAsia="仿宋"/>
          <w:color w:val="auto"/>
          <w:sz w:val="32"/>
          <w:szCs w:val="32"/>
          <w:highlight w:val="none"/>
        </w:rPr>
        <w:t>（图3：支出决算结构图）（饼状图）</w:t>
      </w:r>
    </w:p>
    <w:p w14:paraId="25DEA1FB">
      <w:pPr>
        <w:pStyle w:val="2"/>
        <w:rPr>
          <w:rFonts w:ascii="仿宋_GB2312" w:eastAsia="仿宋_GB2312"/>
          <w:color w:val="auto"/>
          <w:sz w:val="32"/>
          <w:szCs w:val="32"/>
          <w:highlight w:val="none"/>
        </w:rPr>
      </w:pPr>
      <w:r>
        <w:drawing>
          <wp:inline distT="0" distB="0" distL="114300" distR="114300">
            <wp:extent cx="4800600" cy="3067050"/>
            <wp:effectExtent l="4445" t="4445" r="14605" b="14605"/>
            <wp:docPr id="114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58CA95">
      <w:pPr>
        <w:spacing w:line="600" w:lineRule="exact"/>
        <w:ind w:firstLine="640" w:firstLineChars="200"/>
        <w:outlineLvl w:val="1"/>
        <w:rPr>
          <w:rFonts w:hint="eastAsia" w:ascii="黑体" w:hAnsi="黑体" w:eastAsia="黑体"/>
          <w:color w:val="auto"/>
          <w:sz w:val="32"/>
          <w:szCs w:val="32"/>
          <w:highlight w:val="none"/>
        </w:rPr>
      </w:pPr>
      <w:bookmarkStart w:id="24" w:name="_Toc15396606"/>
      <w:bookmarkStart w:id="25" w:name="_Toc15377208"/>
    </w:p>
    <w:p w14:paraId="5B101ECC">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14:paraId="0495C773">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106.48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5.02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节约经费开支。</w:t>
      </w:r>
    </w:p>
    <w:p w14:paraId="198755CE">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5AA32289">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1ABC6D93">
      <w:pPr>
        <w:pStyle w:val="2"/>
        <w:rPr>
          <w:rFonts w:ascii="仿宋" w:hAnsi="仿宋" w:eastAsia="仿宋"/>
          <w:b/>
          <w:color w:val="auto"/>
          <w:sz w:val="32"/>
          <w:szCs w:val="32"/>
          <w:highlight w:val="none"/>
        </w:rPr>
      </w:pPr>
      <w:r>
        <w:drawing>
          <wp:inline distT="0" distB="0" distL="114300" distR="114300">
            <wp:extent cx="5267960" cy="2286000"/>
            <wp:effectExtent l="4445" t="4445" r="2349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511B89">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14:paraId="084D4C35">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617DD55D">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支出减少</w:t>
      </w:r>
      <w:r>
        <w:rPr>
          <w:rFonts w:hint="eastAsia" w:ascii="仿宋" w:hAnsi="仿宋" w:eastAsia="仿宋"/>
          <w:color w:val="auto"/>
          <w:sz w:val="32"/>
          <w:szCs w:val="32"/>
          <w:highlight w:val="none"/>
          <w:lang w:val="en-US" w:eastAsia="zh-CN"/>
        </w:rPr>
        <w:t>106.48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5.02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节约经费开支。</w:t>
      </w:r>
    </w:p>
    <w:p w14:paraId="2363753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21CFF583">
      <w:pPr>
        <w:pStyle w:val="2"/>
        <w:rPr>
          <w:rFonts w:ascii="仿宋" w:hAnsi="仿宋" w:eastAsia="仿宋"/>
          <w:color w:val="auto"/>
          <w:sz w:val="32"/>
          <w:szCs w:val="32"/>
          <w:highlight w:val="none"/>
        </w:rPr>
      </w:pPr>
      <w:r>
        <w:drawing>
          <wp:inline distT="0" distB="0" distL="114300" distR="114300">
            <wp:extent cx="4800600" cy="2607945"/>
            <wp:effectExtent l="4445" t="4445" r="14605" b="16510"/>
            <wp:docPr id="115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EC4024">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359D26D3">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1747.02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107.76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38.48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120.29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D1018BB">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48851F22">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73E80B6">
      <w:pPr>
        <w:pStyle w:val="2"/>
        <w:rPr>
          <w:rFonts w:ascii="仿宋" w:hAnsi="仿宋" w:eastAsia="仿宋"/>
          <w:color w:val="auto"/>
          <w:sz w:val="32"/>
          <w:szCs w:val="32"/>
          <w:highlight w:val="none"/>
        </w:rPr>
      </w:pPr>
      <w:r>
        <w:drawing>
          <wp:inline distT="0" distB="0" distL="114300" distR="114300">
            <wp:extent cx="4181475" cy="2639060"/>
            <wp:effectExtent l="4445" t="4445" r="5080" b="23495"/>
            <wp:docPr id="115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CB2156">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20DB6F90">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2013.55</w:t>
      </w:r>
      <w:r>
        <w:rPr>
          <w:rFonts w:hint="eastAsia" w:ascii="仿宋" w:hAnsi="仿宋" w:eastAsia="仿宋"/>
          <w:color w:val="auto"/>
          <w:sz w:val="32"/>
          <w:szCs w:val="32"/>
          <w:highlight w:val="none"/>
        </w:rPr>
        <w:t>万元，</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14:paraId="369D72F5">
      <w:pPr>
        <w:numPr>
          <w:ilvl w:val="0"/>
          <w:numId w:val="2"/>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val="en-US" w:eastAsia="zh-CN"/>
        </w:rPr>
        <w:t>20103</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379.24</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p>
    <w:p w14:paraId="329CFD04">
      <w:pPr>
        <w:numPr>
          <w:ilvl w:val="0"/>
          <w:numId w:val="0"/>
        </w:num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）一般行政管理事务（</w:t>
      </w:r>
      <w:r>
        <w:rPr>
          <w:rFonts w:hint="eastAsia" w:ascii="仿宋_GB2312" w:hAnsi="仿宋_GB2312" w:eastAsia="仿宋_GB2312" w:cs="仿宋_GB2312"/>
          <w:sz w:val="32"/>
          <w:szCs w:val="32"/>
          <w:lang w:val="en-US" w:eastAsia="zh-CN"/>
        </w:rPr>
        <w:t>20103</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910.25</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r>
        <w:rPr>
          <w:rFonts w:hint="eastAsia" w:ascii="仿宋_GB2312" w:hAnsi="仿宋_GB2312" w:eastAsia="仿宋_GB2312" w:cs="仿宋_GB2312"/>
          <w:sz w:val="32"/>
          <w:szCs w:val="32"/>
          <w:lang w:eastAsia="zh-CN"/>
        </w:rPr>
        <w:t>；</w:t>
      </w:r>
    </w:p>
    <w:p w14:paraId="7DF2DB9E">
      <w:pPr>
        <w:numPr>
          <w:ilvl w:val="0"/>
          <w:numId w:val="0"/>
        </w:num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val="en-US" w:eastAsia="zh-CN"/>
        </w:rPr>
        <w:t>2010350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437.54</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r>
        <w:rPr>
          <w:rFonts w:hint="eastAsia" w:ascii="仿宋_GB2312" w:hAnsi="仿宋_GB2312" w:eastAsia="仿宋_GB2312" w:cs="仿宋_GB2312"/>
          <w:sz w:val="32"/>
          <w:szCs w:val="32"/>
          <w:lang w:eastAsia="zh-CN"/>
        </w:rPr>
        <w:t>；</w:t>
      </w:r>
    </w:p>
    <w:p w14:paraId="53CD320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纪检监察事务（20111）派驻派出机构（2011105）：支</w:t>
      </w:r>
      <w:r>
        <w:rPr>
          <w:rFonts w:hint="eastAsia" w:ascii="仿宋_GB2312" w:hAnsi="仿宋_GB2312" w:eastAsia="仿宋_GB2312" w:cs="仿宋_GB2312"/>
          <w:sz w:val="32"/>
          <w:szCs w:val="32"/>
        </w:rPr>
        <w:t>出决算为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p>
    <w:p w14:paraId="3DC949E1">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w:t>
      </w:r>
      <w:r>
        <w:rPr>
          <w:rFonts w:ascii="仿宋_GB2312" w:hAnsi="仿宋_GB2312" w:eastAsia="仿宋_GB2312" w:cs="仿宋_GB2312"/>
          <w:sz w:val="32"/>
          <w:szCs w:val="32"/>
        </w:rPr>
        <w:t>208</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CN"/>
        </w:rPr>
        <w:t>208</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）行政单位离退休（</w:t>
      </w:r>
      <w:r>
        <w:rPr>
          <w:rFonts w:hint="eastAsia" w:ascii="仿宋_GB2312" w:hAnsi="仿宋_GB2312" w:eastAsia="仿宋_GB2312" w:cs="仿宋_GB2312"/>
          <w:sz w:val="32"/>
          <w:szCs w:val="32"/>
          <w:lang w:val="en-US" w:eastAsia="zh-CN"/>
        </w:rPr>
        <w:t>20805</w:t>
      </w:r>
      <w:r>
        <w:rPr>
          <w:rFonts w:ascii="仿宋_GB2312" w:hAnsi="仿宋_GB2312" w:eastAsia="仿宋_GB2312" w:cs="仿宋_GB2312"/>
          <w:sz w:val="32"/>
          <w:szCs w:val="32"/>
        </w:rPr>
        <w:t>0</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hAnsi="仿宋_GB2312" w:cs="仿宋_GB2312"/>
          <w:sz w:val="32"/>
          <w:szCs w:val="32"/>
          <w:lang w:val="en-US" w:eastAsia="zh-CN"/>
        </w:rPr>
        <w:t>1.75</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p>
    <w:p w14:paraId="64145AD4">
      <w:pPr>
        <w:spacing w:line="578" w:lineRule="exact"/>
        <w:ind w:firstLine="960" w:firstLineChars="300"/>
        <w:rPr>
          <w:rFonts w:ascii="仿宋_GB2312" w:hAnsi="仿宋_GB2312" w:eastAsia="仿宋_GB2312"/>
          <w:sz w:val="32"/>
          <w:szCs w:val="32"/>
        </w:rPr>
      </w:pPr>
      <w:r>
        <w:rPr>
          <w:rFonts w:hint="eastAsia" w:ascii="仿宋_GB2312" w:hAnsi="仿宋_GB2312" w:eastAsia="仿宋_GB2312" w:cs="仿宋_GB2312"/>
          <w:sz w:val="32"/>
          <w:szCs w:val="32"/>
        </w:rPr>
        <w:t>社会保障和就业（</w:t>
      </w:r>
      <w:r>
        <w:rPr>
          <w:rFonts w:ascii="仿宋_GB2312" w:hAnsi="仿宋_GB2312" w:eastAsia="仿宋_GB2312" w:cs="仿宋_GB2312"/>
          <w:sz w:val="32"/>
          <w:szCs w:val="32"/>
        </w:rPr>
        <w:t>208</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CN"/>
        </w:rPr>
        <w:t>208</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CN"/>
        </w:rPr>
        <w:t>20805</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102.31</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p>
    <w:p w14:paraId="250BD84C">
      <w:pPr>
        <w:spacing w:line="578"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color w:val="000000"/>
          <w:sz w:val="32"/>
          <w:szCs w:val="32"/>
        </w:rPr>
        <w:t xml:space="preserve"> </w:t>
      </w: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行政单位医疗（</w:t>
      </w:r>
      <w:r>
        <w:rPr>
          <w:rFonts w:ascii="仿宋_GB2312" w:eastAsia="仿宋_GB2312" w:cs="仿宋_GB2312"/>
          <w:color w:val="000000"/>
          <w:sz w:val="32"/>
          <w:szCs w:val="32"/>
        </w:rPr>
        <w:t>2101101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hAnsi="宋体" w:eastAsia="仿宋_GB2312" w:cs="仿宋_GB2312"/>
          <w:sz w:val="32"/>
          <w:szCs w:val="32"/>
        </w:rPr>
        <w:t>支出决算为</w:t>
      </w:r>
      <w:r>
        <w:rPr>
          <w:rFonts w:hint="eastAsia" w:ascii="仿宋_GB2312" w:hAnsi="??_GB2312" w:eastAsia="仿宋_GB2312" w:cs="仿宋_GB2312"/>
          <w:sz w:val="32"/>
          <w:szCs w:val="32"/>
          <w:lang w:val="en-US" w:eastAsia="zh-CN"/>
        </w:rPr>
        <w:t>11.13</w:t>
      </w:r>
      <w:r>
        <w:rPr>
          <w:rFonts w:hint="eastAsia" w:ascii="仿宋_GB2312" w:hAnsi="宋体" w:eastAsia="仿宋_GB2312" w:cs="仿宋_GB2312"/>
          <w:sz w:val="32"/>
          <w:szCs w:val="32"/>
        </w:rPr>
        <w:t>万元，完成预算</w:t>
      </w:r>
      <w:r>
        <w:rPr>
          <w:rFonts w:ascii="仿宋_GB2312" w:hAnsi="??_GB2312" w:eastAsia="仿宋_GB2312" w:cs="仿宋_GB2312"/>
          <w:sz w:val="32"/>
          <w:szCs w:val="32"/>
        </w:rPr>
        <w:t>100%</w:t>
      </w:r>
      <w:r>
        <w:rPr>
          <w:rFonts w:hint="eastAsia" w:ascii="仿宋_GB2312" w:hAnsi="宋体" w:eastAsia="仿宋_GB2312" w:cs="仿宋_GB2312"/>
          <w:sz w:val="32"/>
          <w:szCs w:val="32"/>
        </w:rPr>
        <w:t>，决算数等于预算数；</w:t>
      </w:r>
    </w:p>
    <w:p w14:paraId="423018C7">
      <w:pPr>
        <w:spacing w:line="578" w:lineRule="exact"/>
        <w:ind w:firstLine="960" w:firstLineChars="300"/>
        <w:rPr>
          <w:rFonts w:hint="eastAsia" w:ascii="仿宋_GB2312" w:hAnsi="宋体" w:eastAsia="仿宋_GB2312" w:cs="仿宋_GB2312"/>
          <w:sz w:val="32"/>
          <w:szCs w:val="32"/>
          <w:lang w:eastAsia="zh-CN"/>
        </w:rPr>
      </w:pP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事业</w:t>
      </w:r>
      <w:r>
        <w:rPr>
          <w:rFonts w:hint="eastAsia" w:ascii="仿宋_GB2312" w:eastAsia="仿宋_GB2312" w:cs="仿宋_GB2312"/>
          <w:color w:val="000000"/>
          <w:sz w:val="32"/>
          <w:szCs w:val="32"/>
        </w:rPr>
        <w:t>单位医疗（</w:t>
      </w:r>
      <w:r>
        <w:rPr>
          <w:rFonts w:ascii="仿宋_GB2312" w:eastAsia="仿宋_GB2312" w:cs="仿宋_GB2312"/>
          <w:color w:val="000000"/>
          <w:sz w:val="32"/>
          <w:szCs w:val="32"/>
        </w:rPr>
        <w:t>210110</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hAnsi="宋体" w:eastAsia="仿宋_GB2312" w:cs="仿宋_GB2312"/>
          <w:sz w:val="32"/>
          <w:szCs w:val="32"/>
        </w:rPr>
        <w:t>支出决算为</w:t>
      </w:r>
      <w:r>
        <w:rPr>
          <w:rFonts w:hint="eastAsia" w:ascii="仿宋_GB2312" w:hAnsi="??_GB2312" w:eastAsia="仿宋_GB2312" w:cs="仿宋_GB2312"/>
          <w:sz w:val="32"/>
          <w:szCs w:val="32"/>
          <w:lang w:val="en-US" w:eastAsia="zh-CN"/>
        </w:rPr>
        <w:t>22.58</w:t>
      </w:r>
      <w:r>
        <w:rPr>
          <w:rFonts w:hint="eastAsia" w:ascii="仿宋_GB2312" w:hAnsi="宋体" w:eastAsia="仿宋_GB2312" w:cs="仿宋_GB2312"/>
          <w:sz w:val="32"/>
          <w:szCs w:val="32"/>
        </w:rPr>
        <w:t>万元，完成预算</w:t>
      </w:r>
      <w:r>
        <w:rPr>
          <w:rFonts w:ascii="仿宋_GB2312" w:hAnsi="??_GB2312" w:eastAsia="仿宋_GB2312" w:cs="仿宋_GB2312"/>
          <w:sz w:val="32"/>
          <w:szCs w:val="32"/>
        </w:rPr>
        <w:t>100%</w:t>
      </w:r>
      <w:r>
        <w:rPr>
          <w:rFonts w:hint="eastAsia" w:ascii="仿宋_GB2312" w:hAnsi="宋体" w:eastAsia="仿宋_GB2312" w:cs="仿宋_GB2312"/>
          <w:sz w:val="32"/>
          <w:szCs w:val="32"/>
        </w:rPr>
        <w:t>，决算数等于预算数</w:t>
      </w:r>
      <w:r>
        <w:rPr>
          <w:rFonts w:hint="eastAsia" w:ascii="仿宋_GB2312" w:hAnsi="宋体" w:eastAsia="仿宋_GB2312" w:cs="仿宋_GB2312"/>
          <w:sz w:val="32"/>
          <w:szCs w:val="32"/>
          <w:lang w:eastAsia="zh-CN"/>
        </w:rPr>
        <w:t>；</w:t>
      </w:r>
    </w:p>
    <w:p w14:paraId="16DCA8D6">
      <w:pPr>
        <w:spacing w:line="578" w:lineRule="exact"/>
        <w:ind w:firstLine="960" w:firstLineChars="300"/>
        <w:rPr>
          <w:color w:val="000000"/>
          <w:sz w:val="32"/>
          <w:szCs w:val="32"/>
        </w:rPr>
      </w:pP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公务员医疗补助（</w:t>
      </w:r>
      <w:r>
        <w:rPr>
          <w:rFonts w:ascii="仿宋_GB2312" w:eastAsia="仿宋_GB2312" w:cs="仿宋_GB2312"/>
          <w:color w:val="000000"/>
          <w:sz w:val="32"/>
          <w:szCs w:val="32"/>
        </w:rPr>
        <w:t>2101103</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hAnsi="宋体" w:eastAsia="仿宋_GB2312" w:cs="仿宋_GB2312"/>
          <w:sz w:val="32"/>
          <w:szCs w:val="32"/>
        </w:rPr>
        <w:t>支出决算为</w:t>
      </w:r>
      <w:r>
        <w:rPr>
          <w:rFonts w:hint="eastAsia" w:ascii="仿宋_GB2312" w:hAnsi="??_GB2312" w:eastAsia="仿宋_GB2312" w:cs="仿宋_GB2312"/>
          <w:sz w:val="32"/>
          <w:szCs w:val="32"/>
          <w:lang w:val="en-US" w:eastAsia="zh-CN"/>
        </w:rPr>
        <w:t>4.77</w:t>
      </w:r>
      <w:r>
        <w:rPr>
          <w:rFonts w:hint="eastAsia" w:ascii="仿宋_GB2312" w:hAnsi="宋体" w:eastAsia="仿宋_GB2312" w:cs="仿宋_GB2312"/>
          <w:sz w:val="32"/>
          <w:szCs w:val="32"/>
        </w:rPr>
        <w:t>万元，完成预算</w:t>
      </w:r>
      <w:r>
        <w:rPr>
          <w:rFonts w:ascii="仿宋_GB2312" w:hAnsi="??_GB2312" w:eastAsia="仿宋_GB2312" w:cs="仿宋_GB2312"/>
          <w:sz w:val="32"/>
          <w:szCs w:val="32"/>
        </w:rPr>
        <w:t>100%</w:t>
      </w:r>
      <w:r>
        <w:rPr>
          <w:rFonts w:hint="eastAsia" w:ascii="仿宋_GB2312" w:hAnsi="宋体" w:eastAsia="仿宋_GB2312" w:cs="仿宋_GB2312"/>
          <w:sz w:val="32"/>
          <w:szCs w:val="32"/>
        </w:rPr>
        <w:t>，决算数等于预算数</w:t>
      </w:r>
      <w:r>
        <w:rPr>
          <w:rFonts w:hint="eastAsia" w:ascii="仿宋_GB2312" w:hAnsi="宋体" w:eastAsia="仿宋_GB2312" w:cs="仿宋_GB2312"/>
          <w:sz w:val="32"/>
          <w:szCs w:val="32"/>
          <w:lang w:eastAsia="zh-CN"/>
        </w:rPr>
        <w:t>；</w:t>
      </w:r>
      <w:r>
        <w:rPr>
          <w:color w:val="000000"/>
          <w:sz w:val="32"/>
          <w:szCs w:val="32"/>
        </w:rPr>
        <w:t xml:space="preserve"> </w:t>
      </w:r>
    </w:p>
    <w:p w14:paraId="41F427CD">
      <w:pPr>
        <w:spacing w:line="578" w:lineRule="exact"/>
        <w:ind w:firstLine="640" w:firstLineChars="200"/>
        <w:rPr>
          <w:rStyle w:val="14"/>
          <w:rFonts w:ascii="仿宋" w:hAnsi="仿宋" w:eastAsia="仿宋"/>
          <w:bCs/>
          <w:color w:val="auto"/>
          <w:sz w:val="32"/>
          <w:szCs w:val="32"/>
          <w:highlight w:val="none"/>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val="en-US" w:eastAsia="zh-CN"/>
        </w:rPr>
        <w:t>221</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22102</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120.28</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w:t>
      </w:r>
    </w:p>
    <w:p w14:paraId="30E80E78">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14:paraId="5476446B">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14:paraId="02E69CDF">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1083.30</w:t>
      </w:r>
      <w:r>
        <w:rPr>
          <w:rFonts w:hint="eastAsia" w:ascii="仿宋" w:hAnsi="仿宋" w:eastAsia="仿宋"/>
          <w:color w:val="auto"/>
          <w:sz w:val="32"/>
          <w:szCs w:val="32"/>
          <w:highlight w:val="none"/>
        </w:rPr>
        <w:t>万元，其中：</w:t>
      </w:r>
    </w:p>
    <w:p w14:paraId="53E9AE10">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1051.03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32.27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ACDE271">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3547FDC1">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14:paraId="25128A28">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5B3DFB27">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0.39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减少1.26万元，下降76.36%。</w:t>
      </w:r>
      <w:r>
        <w:rPr>
          <w:rFonts w:hint="eastAsia" w:ascii="仿宋" w:hAnsi="仿宋" w:eastAsia="仿宋"/>
          <w:color w:val="auto"/>
          <w:sz w:val="32"/>
          <w:szCs w:val="32"/>
          <w:highlight w:val="none"/>
        </w:rPr>
        <w:t>决算数与预算数持平。</w:t>
      </w:r>
    </w:p>
    <w:p w14:paraId="4ED8C6C7">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718E1832">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4FE0756C">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182D763E">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3423FC59">
      <w:pPr>
        <w:spacing w:line="600" w:lineRule="exact"/>
        <w:rPr>
          <w:rFonts w:ascii="仿宋_GB2312" w:eastAsia="仿宋_GB2312"/>
          <w:b/>
          <w:color w:val="auto"/>
          <w:sz w:val="32"/>
          <w:szCs w:val="32"/>
          <w:highlight w:val="none"/>
        </w:rPr>
      </w:pPr>
    </w:p>
    <w:p w14:paraId="3085E0C6">
      <w:pPr>
        <w:pStyle w:val="2"/>
        <w:rPr>
          <w:rFonts w:ascii="仿宋_GB2312" w:eastAsia="仿宋_GB2312"/>
          <w:b/>
          <w:color w:val="auto"/>
          <w:sz w:val="32"/>
          <w:szCs w:val="32"/>
          <w:highlight w:val="none"/>
        </w:rPr>
      </w:pPr>
    </w:p>
    <w:p w14:paraId="5EA814D2">
      <w:pPr>
        <w:pStyle w:val="2"/>
        <w:rPr>
          <w:rFonts w:ascii="仿宋_GB2312" w:eastAsia="仿宋_GB2312"/>
          <w:b/>
          <w:color w:val="auto"/>
          <w:sz w:val="32"/>
          <w:szCs w:val="32"/>
          <w:highlight w:val="none"/>
        </w:rPr>
      </w:pPr>
      <w:r>
        <w:drawing>
          <wp:inline distT="0" distB="0" distL="114300" distR="114300">
            <wp:extent cx="4182110" cy="2743200"/>
            <wp:effectExtent l="4445" t="5080" r="23495" b="13970"/>
            <wp:docPr id="117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6EE089">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267461E">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66393149">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1E2BFBF">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5D4FA68E">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0.39</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1.26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76.36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严控经开支</w:t>
      </w:r>
      <w:r>
        <w:rPr>
          <w:rFonts w:hint="eastAsia" w:ascii="仿宋_GB2312" w:eastAsia="仿宋_GB2312"/>
          <w:color w:val="auto"/>
          <w:sz w:val="32"/>
          <w:szCs w:val="32"/>
          <w:highlight w:val="none"/>
        </w:rPr>
        <w:t>。其中：</w:t>
      </w:r>
    </w:p>
    <w:p w14:paraId="7E305777">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0.39</w:t>
      </w:r>
      <w:r>
        <w:rPr>
          <w:rFonts w:hint="eastAsia" w:ascii="仿宋_GB2312" w:eastAsia="仿宋_GB2312"/>
          <w:color w:val="auto"/>
          <w:sz w:val="32"/>
          <w:szCs w:val="32"/>
          <w:highlight w:val="none"/>
        </w:rPr>
        <w:t>万元，主要用于执行公务、开展业务活动开支的用餐费等。国内公务接待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0.39</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sz w:val="32"/>
          <w:szCs w:val="32"/>
        </w:rPr>
        <w:t>全部是</w:t>
      </w:r>
      <w:r>
        <w:rPr>
          <w:rFonts w:hint="eastAsia" w:ascii="宋体" w:hAnsi="宋体" w:cs="宋体"/>
          <w:sz w:val="32"/>
          <w:szCs w:val="32"/>
        </w:rPr>
        <w:t>餐钦服务支出，共计</w:t>
      </w:r>
      <w:r>
        <w:rPr>
          <w:rFonts w:hint="eastAsia" w:ascii="宋体" w:hAnsi="宋体" w:cs="宋体"/>
          <w:sz w:val="32"/>
          <w:szCs w:val="32"/>
          <w:lang w:val="en-US" w:eastAsia="zh-CN"/>
        </w:rPr>
        <w:t>0.39</w:t>
      </w:r>
      <w:r>
        <w:rPr>
          <w:rFonts w:hint="eastAsia" w:ascii="宋体" w:hAnsi="宋体" w:cs="宋体"/>
          <w:sz w:val="32"/>
          <w:szCs w:val="32"/>
        </w:rPr>
        <w:t>万元</w:t>
      </w:r>
    </w:p>
    <w:p w14:paraId="16A4B9F8">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14:paraId="17AB79B0">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14:paraId="509D89EE">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66762B9">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14:paraId="5BEC2AAD">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77B2391">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14:paraId="5342C2A7">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35336B73">
      <w:pPr>
        <w:spacing w:line="600" w:lineRule="exact"/>
        <w:ind w:left="319" w:leftChars="152" w:firstLine="320" w:firstLineChars="1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大竹县行政审批局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32.27</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196.77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lang w:val="en-US" w:eastAsia="zh-CN"/>
        </w:rPr>
        <w:t>85.91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节约</w:t>
      </w:r>
      <w:r>
        <w:rPr>
          <w:rFonts w:hint="eastAsia" w:ascii="仿宋" w:hAnsi="仿宋" w:eastAsia="仿宋"/>
          <w:color w:val="auto"/>
          <w:sz w:val="32"/>
          <w:szCs w:val="32"/>
          <w:highlight w:val="none"/>
          <w:lang w:val="en-US" w:eastAsia="zh-CN"/>
        </w:rPr>
        <w:t>公用经费开支。</w:t>
      </w:r>
    </w:p>
    <w:p w14:paraId="76DA3964">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2295276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3DACFCCD">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大竹县行政审批局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71A326F0">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1D0C1DC8">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59F97D85">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大竹县行政审批局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B15ACBC">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24FEDAA5">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C2E0E9B">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000000" w:themeColor="text1"/>
          <w:sz w:val="32"/>
          <w:szCs w:val="32"/>
          <w14:textFill>
            <w14:solidFill>
              <w14:schemeClr w14:val="tx1"/>
            </w14:solidFill>
          </w14:textFill>
        </w:rPr>
        <w:t>大厅运行</w:t>
      </w:r>
      <w:r>
        <w:rPr>
          <w:rFonts w:hint="eastAsia" w:ascii="仿宋_GB2312" w:hAnsi="仿宋_GB2312" w:eastAsia="仿宋_GB2312" w:cs="仿宋_GB2312"/>
          <w:color w:val="000000" w:themeColor="text1"/>
          <w:sz w:val="32"/>
          <w:szCs w:val="32"/>
          <w:lang w:eastAsia="zh-CN"/>
          <w14:textFill>
            <w14:solidFill>
              <w14:schemeClr w14:val="tx1"/>
            </w14:solidFill>
          </w14:textFill>
        </w:rPr>
        <w:t>经费</w:t>
      </w:r>
      <w:r>
        <w:rPr>
          <w:rFonts w:hint="eastAsia" w:ascii="仿宋_GB2312" w:hAnsi="仿宋_GB2312" w:eastAsia="仿宋_GB2312" w:cs="仿宋_GB2312"/>
          <w:color w:val="auto"/>
          <w:sz w:val="32"/>
          <w:szCs w:val="32"/>
          <w:highlight w:val="none"/>
        </w:rPr>
        <w:t>项目（项目名称）等</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0D835074">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05B69E06">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14:paraId="238CF544">
      <w:pPr>
        <w:spacing w:line="600" w:lineRule="exact"/>
        <w:jc w:val="left"/>
        <w:rPr>
          <w:rFonts w:ascii="宋体"/>
          <w:b/>
          <w:color w:val="auto"/>
          <w:sz w:val="44"/>
          <w:szCs w:val="44"/>
          <w:highlight w:val="none"/>
        </w:rPr>
      </w:pPr>
    </w:p>
    <w:p w14:paraId="4DC8281D">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095681B4">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71F57DF4">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3A63E19A">
      <w:pPr>
        <w:pStyle w:val="22"/>
        <w:spacing w:line="560" w:lineRule="exact"/>
        <w:ind w:left="638" w:leftChars="304" w:firstLine="0" w:firstLineChars="0"/>
        <w:rPr>
          <w:rFonts w:hint="eastAsia"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w:t>
      </w:r>
    </w:p>
    <w:p w14:paraId="31BE4C2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E1FCB8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596943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5DAC5084">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400A928B">
      <w:pPr>
        <w:ind w:left="105" w:leftChars="50"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val="en-US" w:eastAsia="zh-CN"/>
        </w:rPr>
        <w:t>9.</w:t>
      </w: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）行政运行（</w:t>
      </w:r>
      <w:r>
        <w:rPr>
          <w:rFonts w:hint="eastAsia" w:ascii="仿宋_GB2312" w:hAnsi="仿宋_GB2312" w:eastAsia="仿宋_GB2312" w:cs="仿宋_GB2312"/>
          <w:sz w:val="32"/>
          <w:szCs w:val="32"/>
          <w:lang w:val="en-US" w:eastAsia="zh-CN"/>
        </w:rPr>
        <w:t>20103</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eastAsia="仿宋_GB2312" w:cs="仿宋_GB2312"/>
          <w:color w:val="000000"/>
          <w:sz w:val="32"/>
          <w:szCs w:val="32"/>
        </w:rPr>
        <w:t>指反映行政单位（包括实行公务员管理的事业单位）的基本支出。</w:t>
      </w:r>
    </w:p>
    <w:p w14:paraId="2DFA1377">
      <w:pPr>
        <w:ind w:firstLine="960" w:firstLineChars="300"/>
        <w:rPr>
          <w:rFonts w:hint="eastAsia" w:ascii="仿宋_GB2312" w:eastAsia="仿宋_GB2312" w:cs="仿宋_GB2312"/>
          <w:color w:val="000000"/>
          <w:sz w:val="32"/>
          <w:szCs w:val="32"/>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）一般行政管理事务（</w:t>
      </w:r>
      <w:r>
        <w:rPr>
          <w:rFonts w:hint="eastAsia" w:ascii="仿宋_GB2312" w:hAnsi="仿宋_GB2312" w:eastAsia="仿宋_GB2312" w:cs="仿宋_GB2312"/>
          <w:sz w:val="32"/>
          <w:szCs w:val="32"/>
          <w:lang w:val="en-US" w:eastAsia="zh-CN"/>
        </w:rPr>
        <w:t>20103</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eastAsia="仿宋_GB2312" w:cs="仿宋_GB2312"/>
          <w:color w:val="000000"/>
          <w:sz w:val="32"/>
          <w:szCs w:val="32"/>
        </w:rPr>
        <w:t>反映行政单位（包括实行公务员管理的事业单位）未单独设置项级科目的其他项目支出。</w:t>
      </w:r>
    </w:p>
    <w:p w14:paraId="29611897">
      <w:pPr>
        <w:ind w:left="105" w:leftChars="50" w:firstLine="960" w:firstLineChars="300"/>
        <w:rPr>
          <w:rFonts w:ascii="仿宋_GB2312" w:eastAsia="仿宋_GB2312"/>
          <w:color w:val="000000"/>
          <w:sz w:val="32"/>
          <w:szCs w:val="32"/>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）政府办公厅（室）及相关机构事务（</w:t>
      </w:r>
      <w:r>
        <w:rPr>
          <w:rFonts w:hint="eastAsia" w:ascii="仿宋_GB2312" w:hAnsi="仿宋_GB2312" w:eastAsia="仿宋_GB2312" w:cs="仿宋_GB2312"/>
          <w:sz w:val="32"/>
          <w:szCs w:val="32"/>
          <w:lang w:val="en-US" w:eastAsia="zh-CN"/>
        </w:rPr>
        <w:t>201</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val="en-US" w:eastAsia="zh-CN"/>
        </w:rPr>
        <w:t>2010350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eastAsia="仿宋_GB2312" w:cs="仿宋_GB2312"/>
          <w:color w:val="000000"/>
          <w:sz w:val="32"/>
          <w:szCs w:val="32"/>
        </w:rPr>
        <w:t>指反映事业单位的基本支出</w:t>
      </w:r>
      <w:r>
        <w:rPr>
          <w:rFonts w:hint="eastAsia" w:ascii="仿宋_GB2312" w:eastAsia="仿宋_GB2312" w:cs="仿宋_GB2312"/>
          <w:color w:val="000000"/>
          <w:sz w:val="32"/>
          <w:szCs w:val="32"/>
          <w:lang w:eastAsia="zh-CN"/>
        </w:rPr>
        <w:t>，不包括行政单位（包括实行公务员管理的事业单位）的后勤服务中心、医务室等附属事业单位</w:t>
      </w:r>
      <w:r>
        <w:rPr>
          <w:rFonts w:hint="eastAsia" w:ascii="仿宋_GB2312" w:eastAsia="仿宋_GB2312" w:cs="仿宋_GB2312"/>
          <w:color w:val="000000"/>
          <w:sz w:val="32"/>
          <w:szCs w:val="32"/>
        </w:rPr>
        <w:t>。</w:t>
      </w:r>
    </w:p>
    <w:p w14:paraId="097A0C5A">
      <w:pPr>
        <w:pStyle w:val="2"/>
        <w:numPr>
          <w:ilvl w:val="0"/>
          <w:numId w:val="0"/>
        </w:numPr>
        <w:ind w:firstLine="960" w:firstLineChars="300"/>
        <w:rPr>
          <w:rFonts w:hint="default"/>
          <w:lang w:val="en-US" w:eastAsia="zh-CN"/>
        </w:rPr>
      </w:pPr>
      <w:r>
        <w:rPr>
          <w:rFonts w:hint="eastAsia" w:ascii="仿宋_GB2312" w:hAnsi="仿宋_GB2312" w:eastAsia="仿宋_GB2312" w:cs="仿宋_GB2312"/>
          <w:sz w:val="32"/>
          <w:szCs w:val="32"/>
        </w:rPr>
        <w:t>一般公共服务（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纪检监察事务（20111）派驻派出机构（2011105）：</w:t>
      </w:r>
      <w:r>
        <w:rPr>
          <w:rFonts w:hint="eastAsia" w:hAnsi="仿宋_GB2312" w:cs="仿宋_GB2312"/>
          <w:sz w:val="32"/>
          <w:szCs w:val="32"/>
          <w:lang w:val="en-US" w:eastAsia="zh-CN"/>
        </w:rPr>
        <w:t>指反映由纪检监察部门负担的派驻各部门和单位的纪检监察人员的专项业务支出</w:t>
      </w:r>
      <w:r>
        <w:rPr>
          <w:rFonts w:hint="eastAsia"/>
          <w:lang w:val="en-US" w:eastAsia="zh-CN"/>
        </w:rPr>
        <w:t>。</w:t>
      </w:r>
    </w:p>
    <w:p w14:paraId="3C0CBCEB">
      <w:pPr>
        <w:ind w:firstLine="640"/>
        <w:rPr>
          <w:rFonts w:hint="eastAsia" w:ascii="仿宋_GB2312" w:eastAsia="仿宋_GB2312" w:cs="仿宋_GB2312"/>
          <w:color w:val="000000"/>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ascii="仿宋_GB2312" w:eastAsia="仿宋_GB2312" w:cs="仿宋_GB2312"/>
          <w:color w:val="000000"/>
          <w:sz w:val="32"/>
          <w:szCs w:val="32"/>
        </w:rPr>
        <w:t xml:space="preserve"> </w:t>
      </w:r>
      <w:r>
        <w:rPr>
          <w:rFonts w:hint="eastAsia" w:ascii="仿宋_GB2312" w:hAnsi="仿宋_GB2312" w:eastAsia="仿宋_GB2312" w:cs="仿宋_GB2312"/>
          <w:sz w:val="32"/>
          <w:szCs w:val="32"/>
        </w:rPr>
        <w:t>社会保障和就业（</w:t>
      </w:r>
      <w:r>
        <w:rPr>
          <w:rFonts w:ascii="仿宋_GB2312" w:hAnsi="仿宋_GB2312" w:eastAsia="仿宋_GB2312" w:cs="仿宋_GB2312"/>
          <w:sz w:val="32"/>
          <w:szCs w:val="32"/>
        </w:rPr>
        <w:t>208</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CN"/>
        </w:rPr>
        <w:t>208</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）行政单位离退休（</w:t>
      </w:r>
      <w:r>
        <w:rPr>
          <w:rFonts w:hint="eastAsia" w:ascii="仿宋_GB2312" w:hAnsi="仿宋_GB2312" w:eastAsia="仿宋_GB2312" w:cs="仿宋_GB2312"/>
          <w:sz w:val="32"/>
          <w:szCs w:val="32"/>
          <w:lang w:val="en-US" w:eastAsia="zh-CN"/>
        </w:rPr>
        <w:t>20805</w:t>
      </w:r>
      <w:r>
        <w:rPr>
          <w:rFonts w:ascii="仿宋_GB2312" w:hAnsi="仿宋_GB2312" w:eastAsia="仿宋_GB2312" w:cs="仿宋_GB2312"/>
          <w:sz w:val="32"/>
          <w:szCs w:val="32"/>
        </w:rPr>
        <w:t>0</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FangSong_GB2312" w:eastAsia="FangSong_GB2312"/>
          <w:color w:val="000000" w:themeColor="text1"/>
          <w:sz w:val="32"/>
          <w:szCs w:val="32"/>
          <w14:textFill>
            <w14:solidFill>
              <w14:schemeClr w14:val="tx1"/>
            </w14:solidFill>
          </w14:textFill>
        </w:rPr>
        <w:t>反映</w:t>
      </w:r>
      <w:r>
        <w:rPr>
          <w:rFonts w:hint="eastAsia" w:ascii="FangSong_GB2312" w:eastAsia="FangSong_GB2312"/>
          <w:color w:val="000000" w:themeColor="text1"/>
          <w:sz w:val="32"/>
          <w:szCs w:val="32"/>
          <w:lang w:eastAsia="zh-CN"/>
          <w14:textFill>
            <w14:solidFill>
              <w14:schemeClr w14:val="tx1"/>
            </w14:solidFill>
          </w14:textFill>
        </w:rPr>
        <w:t>行政单位</w:t>
      </w:r>
      <w:r>
        <w:rPr>
          <w:rFonts w:hint="eastAsia" w:ascii="FangSong_GB2312" w:eastAsia="FangSong_GB2312"/>
          <w:color w:val="000000" w:themeColor="text1"/>
          <w:sz w:val="32"/>
          <w:szCs w:val="32"/>
          <w:lang w:val="en-US" w:eastAsia="zh-CN"/>
          <w14:textFill>
            <w14:solidFill>
              <w14:schemeClr w14:val="tx1"/>
            </w14:solidFill>
          </w14:textFill>
        </w:rPr>
        <w:t>(包括实行公务员管理的事业单位）开支的离退休经费。</w:t>
      </w:r>
    </w:p>
    <w:p w14:paraId="65644C6F">
      <w:pPr>
        <w:ind w:firstLine="1292" w:firstLineChars="404"/>
        <w:rPr>
          <w:rFonts w:ascii="仿宋_GB2312" w:eastAsia="仿宋_GB2312"/>
          <w:color w:val="000000"/>
          <w:sz w:val="32"/>
          <w:szCs w:val="32"/>
        </w:rPr>
      </w:pPr>
      <w:r>
        <w:rPr>
          <w:rFonts w:hint="eastAsia" w:ascii="仿宋_GB2312" w:hAnsi="仿宋_GB2312" w:eastAsia="仿宋_GB2312" w:cs="仿宋_GB2312"/>
          <w:sz w:val="32"/>
          <w:szCs w:val="32"/>
        </w:rPr>
        <w:t>社会保障和就业（</w:t>
      </w:r>
      <w:r>
        <w:rPr>
          <w:rFonts w:ascii="仿宋_GB2312" w:hAnsi="仿宋_GB2312" w:eastAsia="仿宋_GB2312" w:cs="仿宋_GB2312"/>
          <w:sz w:val="32"/>
          <w:szCs w:val="32"/>
        </w:rPr>
        <w:t>208</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sz w:val="32"/>
          <w:szCs w:val="32"/>
          <w:lang w:val="en-US" w:eastAsia="zh-CN"/>
        </w:rPr>
        <w:t>208</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CN"/>
        </w:rPr>
        <w:t>20805</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eastAsia="仿宋_GB2312" w:cs="仿宋_GB2312"/>
          <w:color w:val="000000"/>
          <w:sz w:val="32"/>
          <w:szCs w:val="32"/>
        </w:rPr>
        <w:t>反映机关事业单位实施养老保险制度由单位缴纳的基本养老保险费支出。</w:t>
      </w:r>
    </w:p>
    <w:p w14:paraId="38E77D81">
      <w:pPr>
        <w:ind w:firstLine="640"/>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w:t>
      </w: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行政单位医疗（</w:t>
      </w:r>
      <w:r>
        <w:rPr>
          <w:rFonts w:ascii="仿宋_GB2312" w:eastAsia="仿宋_GB2312" w:cs="仿宋_GB2312"/>
          <w:color w:val="000000"/>
          <w:sz w:val="32"/>
          <w:szCs w:val="32"/>
        </w:rPr>
        <w:t>2101101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：指</w:t>
      </w:r>
      <w:r>
        <w:rPr>
          <w:rFonts w:hint="eastAsia" w:ascii="仿宋_GB2312" w:eastAsia="仿宋_GB2312" w:cs="仿宋_GB2312"/>
          <w:color w:val="000000"/>
          <w:sz w:val="32"/>
          <w:szCs w:val="32"/>
        </w:rPr>
        <w:t>反映财政部门安排的</w:t>
      </w:r>
      <w:r>
        <w:rPr>
          <w:rFonts w:hint="eastAsia" w:ascii="仿宋_GB2312" w:eastAsia="仿宋_GB2312" w:cs="仿宋_GB2312"/>
          <w:color w:val="000000"/>
          <w:sz w:val="32"/>
          <w:szCs w:val="32"/>
          <w:lang w:eastAsia="zh-CN"/>
        </w:rPr>
        <w:t>行政</w:t>
      </w:r>
      <w:r>
        <w:rPr>
          <w:rFonts w:hint="eastAsia" w:ascii="仿宋_GB2312" w:eastAsia="仿宋_GB2312" w:cs="仿宋_GB2312"/>
          <w:color w:val="000000"/>
          <w:sz w:val="32"/>
          <w:szCs w:val="32"/>
        </w:rPr>
        <w:t>单位基本医疗保险缴费经费等。</w:t>
      </w:r>
    </w:p>
    <w:p w14:paraId="0A489D3A">
      <w:pPr>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事业</w:t>
      </w:r>
      <w:r>
        <w:rPr>
          <w:rFonts w:hint="eastAsia" w:ascii="仿宋_GB2312" w:eastAsia="仿宋_GB2312" w:cs="仿宋_GB2312"/>
          <w:color w:val="000000"/>
          <w:sz w:val="32"/>
          <w:szCs w:val="32"/>
        </w:rPr>
        <w:t>单位医疗（</w:t>
      </w:r>
      <w:r>
        <w:rPr>
          <w:rFonts w:ascii="仿宋_GB2312" w:eastAsia="仿宋_GB2312" w:cs="仿宋_GB2312"/>
          <w:color w:val="000000"/>
          <w:sz w:val="32"/>
          <w:szCs w:val="32"/>
        </w:rPr>
        <w:t>210110</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：指</w:t>
      </w:r>
      <w:r>
        <w:rPr>
          <w:rFonts w:hint="eastAsia" w:ascii="仿宋_GB2312" w:eastAsia="仿宋_GB2312" w:cs="仿宋_GB2312"/>
          <w:color w:val="000000"/>
          <w:sz w:val="32"/>
          <w:szCs w:val="32"/>
        </w:rPr>
        <w:t>反映财政部门安排的事业单位基本医疗保险缴费经费等。</w:t>
      </w:r>
    </w:p>
    <w:p w14:paraId="337F9A34">
      <w:pPr>
        <w:pStyle w:val="2"/>
        <w:ind w:firstLine="640"/>
        <w:rPr>
          <w:rFonts w:hint="eastAsia"/>
          <w:lang w:val="en-US" w:eastAsia="zh-CN"/>
        </w:rPr>
      </w:pPr>
      <w:r>
        <w:rPr>
          <w:rFonts w:hint="eastAsia" w:ascii="仿宋_GB2312" w:eastAsia="仿宋_GB2312" w:cs="仿宋_GB2312"/>
          <w:color w:val="000000"/>
          <w:sz w:val="32"/>
          <w:szCs w:val="32"/>
        </w:rPr>
        <w:t>卫生健康支出（</w:t>
      </w:r>
      <w:r>
        <w:rPr>
          <w:rFonts w:ascii="仿宋_GB2312" w:eastAsia="仿宋_GB2312" w:cs="仿宋_GB2312"/>
          <w:color w:val="000000"/>
          <w:sz w:val="32"/>
          <w:szCs w:val="32"/>
        </w:rPr>
        <w:t>210</w:t>
      </w:r>
      <w:r>
        <w:rPr>
          <w:rFonts w:hint="eastAsia" w:ascii="仿宋_GB2312" w:eastAsia="仿宋_GB2312" w:cs="仿宋_GB2312"/>
          <w:color w:val="000000"/>
          <w:sz w:val="32"/>
          <w:szCs w:val="32"/>
        </w:rPr>
        <w:t>）行政事业单位医疗（</w:t>
      </w:r>
      <w:r>
        <w:rPr>
          <w:rFonts w:ascii="仿宋_GB2312" w:eastAsia="仿宋_GB2312" w:cs="仿宋_GB2312"/>
          <w:color w:val="000000"/>
          <w:sz w:val="32"/>
          <w:szCs w:val="32"/>
        </w:rPr>
        <w:t>21011</w:t>
      </w:r>
      <w:r>
        <w:rPr>
          <w:rFonts w:hint="eastAsia" w:ascii="仿宋_GB2312" w:eastAsia="仿宋_GB2312" w:cs="仿宋_GB2312"/>
          <w:color w:val="000000"/>
          <w:sz w:val="32"/>
          <w:szCs w:val="32"/>
        </w:rPr>
        <w:t>）</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公务员医疗补助（</w:t>
      </w:r>
      <w:r>
        <w:rPr>
          <w:rFonts w:ascii="仿宋_GB2312" w:eastAsia="仿宋_GB2312" w:cs="仿宋_GB2312"/>
          <w:color w:val="000000"/>
          <w:sz w:val="32"/>
          <w:szCs w:val="32"/>
        </w:rPr>
        <w:t>2101103</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cs="仿宋_GB2312"/>
          <w:color w:val="000000"/>
          <w:sz w:val="32"/>
          <w:szCs w:val="32"/>
          <w:lang w:eastAsia="zh-CN"/>
        </w:rPr>
        <w:t>指</w:t>
      </w:r>
      <w:r>
        <w:rPr>
          <w:rFonts w:hint="eastAsia"/>
          <w:lang w:val="en-US" w:eastAsia="zh-CN"/>
        </w:rPr>
        <w:t>反映财政部门安排的公务员医疗补助经费。</w:t>
      </w:r>
    </w:p>
    <w:p w14:paraId="76DFAF94">
      <w:pPr>
        <w:pStyle w:val="22"/>
        <w:spacing w:line="560" w:lineRule="exact"/>
        <w:ind w:firstLine="640" w:firstLineChars="200"/>
        <w:rPr>
          <w:rFonts w:hint="eastAsia" w:ascii="仿宋_GB2312" w:eastAsia="仿宋_GB2312"/>
          <w:color w:val="auto"/>
          <w:sz w:val="32"/>
          <w:szCs w:val="32"/>
          <w:highlight w:val="none"/>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val="en-US" w:eastAsia="zh-CN"/>
        </w:rPr>
        <w:t>221</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22102</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Calibri" w:eastAsia="仿宋_GB2312"/>
          <w:color w:val="auto"/>
          <w:sz w:val="32"/>
          <w:szCs w:val="32"/>
        </w:rPr>
        <w:t>反映行政事业单位按人力资源和社会保障部、财政部规定的基本工资和津贴补贴以及规定比例为职工缴纳的住房公积金。</w:t>
      </w:r>
    </w:p>
    <w:p w14:paraId="5089E33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4B4D63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479F4AE">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63683A">
      <w:pPr>
        <w:pStyle w:val="22"/>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E89570">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14:paraId="40088BC6">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14:paraId="233A435D">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6B39FED2">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tbl>
      <w:tblPr>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3"/>
        <w:gridCol w:w="1513"/>
        <w:gridCol w:w="1199"/>
        <w:gridCol w:w="1304"/>
        <w:gridCol w:w="521"/>
        <w:gridCol w:w="959"/>
        <w:gridCol w:w="396"/>
        <w:gridCol w:w="1090"/>
        <w:gridCol w:w="504"/>
        <w:gridCol w:w="456"/>
        <w:gridCol w:w="870"/>
      </w:tblGrid>
      <w:tr w14:paraId="522F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9496" w:type="dxa"/>
            <w:gridSpan w:val="11"/>
            <w:tcBorders>
              <w:top w:val="single" w:color="000000" w:sz="4" w:space="0"/>
              <w:left w:val="single" w:color="000000" w:sz="4" w:space="0"/>
              <w:bottom w:val="single" w:color="000000" w:sz="4" w:space="0"/>
              <w:right w:val="single" w:color="000000" w:sz="4" w:space="0"/>
            </w:tcBorders>
            <w:shd w:val="clear"/>
            <w:vAlign w:val="center"/>
          </w:tcPr>
          <w:p w14:paraId="53FD120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2EE2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99" w:type="dxa"/>
            <w:gridSpan w:val="2"/>
            <w:tcBorders>
              <w:top w:val="single" w:color="000000" w:sz="4" w:space="0"/>
              <w:left w:val="single" w:color="000000" w:sz="4" w:space="0"/>
              <w:bottom w:val="single" w:color="000000" w:sz="4" w:space="0"/>
              <w:right w:val="single" w:color="000000" w:sz="4" w:space="0"/>
            </w:tcBorders>
            <w:shd w:val="clear"/>
            <w:vAlign w:val="center"/>
          </w:tcPr>
          <w:p w14:paraId="0736D2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7297" w:type="dxa"/>
            <w:gridSpan w:val="9"/>
            <w:tcBorders>
              <w:top w:val="single" w:color="000000" w:sz="4" w:space="0"/>
              <w:left w:val="single" w:color="000000" w:sz="4" w:space="0"/>
              <w:bottom w:val="single" w:color="000000" w:sz="4" w:space="0"/>
              <w:right w:val="single" w:color="000000" w:sz="4" w:space="0"/>
            </w:tcBorders>
            <w:shd w:val="clear"/>
            <w:vAlign w:val="center"/>
          </w:tcPr>
          <w:p w14:paraId="038017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51172422T000005628858-物业服务采购</w:t>
            </w:r>
          </w:p>
        </w:tc>
      </w:tr>
      <w:tr w14:paraId="0BD9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99" w:type="dxa"/>
            <w:gridSpan w:val="2"/>
            <w:tcBorders>
              <w:top w:val="single" w:color="000000" w:sz="4" w:space="0"/>
              <w:left w:val="single" w:color="000000" w:sz="4" w:space="0"/>
              <w:bottom w:val="single" w:color="000000" w:sz="4" w:space="0"/>
              <w:right w:val="single" w:color="000000" w:sz="4" w:space="0"/>
            </w:tcBorders>
            <w:shd w:val="clear"/>
            <w:vAlign w:val="center"/>
          </w:tcPr>
          <w:p w14:paraId="73D7FF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4376" w:type="dxa"/>
            <w:gridSpan w:val="5"/>
            <w:tcBorders>
              <w:top w:val="single" w:color="000000" w:sz="4" w:space="0"/>
              <w:left w:val="single" w:color="000000" w:sz="4" w:space="0"/>
              <w:bottom w:val="single" w:color="000000" w:sz="4" w:space="0"/>
              <w:right w:val="single" w:color="000000" w:sz="4" w:space="0"/>
            </w:tcBorders>
            <w:shd w:val="clear"/>
            <w:vAlign w:val="center"/>
          </w:tcPr>
          <w:p w14:paraId="1AB395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大竹县行政审批局部门</w:t>
            </w:r>
          </w:p>
        </w:tc>
        <w:tc>
          <w:tcPr>
            <w:tcW w:w="1091" w:type="dxa"/>
            <w:tcBorders>
              <w:top w:val="nil"/>
              <w:left w:val="nil"/>
              <w:bottom w:val="nil"/>
              <w:right w:val="nil"/>
            </w:tcBorders>
            <w:shd w:val="clear"/>
            <w:vAlign w:val="center"/>
          </w:tcPr>
          <w:p w14:paraId="3982303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830" w:type="dxa"/>
            <w:gridSpan w:val="3"/>
            <w:tcBorders>
              <w:top w:val="single" w:color="000000" w:sz="4" w:space="0"/>
              <w:left w:val="single" w:color="000000" w:sz="4" w:space="0"/>
              <w:bottom w:val="single" w:color="000000" w:sz="4" w:space="0"/>
              <w:right w:val="single" w:color="000000" w:sz="4" w:space="0"/>
            </w:tcBorders>
            <w:shd w:val="clear"/>
            <w:vAlign w:val="center"/>
          </w:tcPr>
          <w:p w14:paraId="33E0C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大竹县行政审批局</w:t>
            </w:r>
          </w:p>
        </w:tc>
      </w:tr>
      <w:tr w14:paraId="7F3F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320F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FE36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4376" w:type="dxa"/>
            <w:gridSpan w:val="5"/>
            <w:tcBorders>
              <w:top w:val="single" w:color="000000" w:sz="4" w:space="0"/>
              <w:left w:val="single" w:color="000000" w:sz="4" w:space="0"/>
              <w:bottom w:val="single" w:color="000000" w:sz="4" w:space="0"/>
              <w:right w:val="single" w:color="000000" w:sz="4" w:space="0"/>
            </w:tcBorders>
            <w:shd w:val="clear"/>
            <w:vAlign w:val="center"/>
          </w:tcPr>
          <w:p w14:paraId="15572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2921" w:type="dxa"/>
            <w:gridSpan w:val="4"/>
            <w:tcBorders>
              <w:top w:val="single" w:color="000000" w:sz="4" w:space="0"/>
              <w:left w:val="single" w:color="000000" w:sz="4" w:space="0"/>
              <w:bottom w:val="single" w:color="000000" w:sz="4" w:space="0"/>
              <w:right w:val="single" w:color="000000" w:sz="4" w:space="0"/>
            </w:tcBorders>
            <w:shd w:val="clear"/>
            <w:vAlign w:val="center"/>
          </w:tcPr>
          <w:p w14:paraId="29291FF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F9D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FAFB25">
            <w:pP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9F4CE3">
            <w:pPr>
              <w:rPr>
                <w:rFonts w:hint="eastAsia" w:ascii="宋体" w:hAnsi="宋体" w:eastAsia="宋体" w:cs="宋体"/>
                <w:i w:val="0"/>
                <w:iCs w:val="0"/>
                <w:color w:val="000000"/>
                <w:sz w:val="18"/>
                <w:szCs w:val="18"/>
                <w:u w:val="none"/>
              </w:rPr>
            </w:pPr>
          </w:p>
        </w:tc>
        <w:tc>
          <w:tcPr>
            <w:tcW w:w="4376" w:type="dxa"/>
            <w:gridSpan w:val="5"/>
            <w:tcBorders>
              <w:top w:val="single" w:color="000000" w:sz="4" w:space="0"/>
              <w:left w:val="single" w:color="000000" w:sz="4" w:space="0"/>
              <w:bottom w:val="single" w:color="000000" w:sz="4" w:space="0"/>
              <w:right w:val="single" w:color="000000" w:sz="4" w:space="0"/>
            </w:tcBorders>
            <w:shd w:val="clear"/>
            <w:vAlign w:val="center"/>
          </w:tcPr>
          <w:p w14:paraId="3CE188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用物业管理服务费用来开展物业管理活动，实现保障办公区域物业管理服务正常运行的目标。</w:t>
            </w:r>
          </w:p>
        </w:tc>
        <w:tc>
          <w:tcPr>
            <w:tcW w:w="2921" w:type="dxa"/>
            <w:gridSpan w:val="4"/>
            <w:tcBorders>
              <w:top w:val="single" w:color="000000" w:sz="4" w:space="0"/>
              <w:left w:val="single" w:color="000000" w:sz="4" w:space="0"/>
              <w:bottom w:val="single" w:color="000000" w:sz="4" w:space="0"/>
              <w:right w:val="single" w:color="000000" w:sz="4" w:space="0"/>
            </w:tcBorders>
            <w:shd w:val="clear"/>
            <w:vAlign w:val="center"/>
          </w:tcPr>
          <w:p w14:paraId="610E32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1140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44159">
            <w:pP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670C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7297" w:type="dxa"/>
            <w:gridSpan w:val="9"/>
            <w:tcBorders>
              <w:top w:val="single" w:color="000000" w:sz="4" w:space="0"/>
              <w:left w:val="single" w:color="000000" w:sz="4" w:space="0"/>
              <w:bottom w:val="single" w:color="000000" w:sz="4" w:space="0"/>
              <w:right w:val="single" w:color="000000" w:sz="4" w:space="0"/>
            </w:tcBorders>
            <w:shd w:val="clear"/>
            <w:vAlign w:val="center"/>
          </w:tcPr>
          <w:p w14:paraId="2CEE769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用物业管理服务费用来开展物业管理活动，实现保障办公区域物业管理服务正常运行的目标</w:t>
            </w:r>
          </w:p>
        </w:tc>
      </w:tr>
      <w:tr w14:paraId="1452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54A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C98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4DCA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64061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4D977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8CB8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29D6C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BA05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53C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EDE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23623F">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923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A883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129.86</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EB1A8C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19.04</w:t>
            </w: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61A79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DEAE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4F29D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62B211D">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F675D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7A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B6436">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7CC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6ECF8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129.86</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3ED6873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19.04</w:t>
            </w: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1E8FA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FB92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3EC8F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E984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33E354">
            <w:pPr>
              <w:rPr>
                <w:rFonts w:hint="eastAsia" w:ascii="黑体" w:hAnsi="黑体" w:eastAsia="黑体" w:cs="黑体"/>
                <w:i/>
                <w:iCs/>
                <w:color w:val="000000"/>
                <w:sz w:val="18"/>
                <w:szCs w:val="18"/>
                <w:u w:val="none"/>
              </w:rPr>
            </w:pPr>
          </w:p>
        </w:tc>
      </w:tr>
      <w:tr w14:paraId="4B46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7DC63">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CDC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19138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3361A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6D8E3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44BF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68C1F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6D07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62EE4C">
            <w:pPr>
              <w:rPr>
                <w:rFonts w:hint="eastAsia" w:ascii="黑体" w:hAnsi="黑体" w:eastAsia="黑体" w:cs="黑体"/>
                <w:i/>
                <w:iCs/>
                <w:color w:val="000000"/>
                <w:sz w:val="18"/>
                <w:szCs w:val="18"/>
                <w:u w:val="none"/>
              </w:rPr>
            </w:pPr>
          </w:p>
        </w:tc>
      </w:tr>
      <w:tr w14:paraId="6EC8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871429">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677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1802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7677C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79C6F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9246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13247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52C7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AE8601">
            <w:pPr>
              <w:rPr>
                <w:rFonts w:hint="eastAsia" w:ascii="黑体" w:hAnsi="黑体" w:eastAsia="黑体" w:cs="黑体"/>
                <w:i/>
                <w:iCs/>
                <w:color w:val="000000"/>
                <w:sz w:val="18"/>
                <w:szCs w:val="18"/>
                <w:u w:val="none"/>
              </w:rPr>
            </w:pPr>
          </w:p>
        </w:tc>
      </w:tr>
      <w:tr w14:paraId="62F7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F3CA3">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030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6F4CE78F">
            <w:pPr>
              <w:jc w:val="center"/>
              <w:rPr>
                <w:rFonts w:hint="eastAsia" w:ascii="微软雅黑" w:hAnsi="微软雅黑" w:eastAsia="微软雅黑" w:cs="微软雅黑"/>
                <w:i/>
                <w:iCs/>
                <w:color w:val="000000"/>
                <w:sz w:val="16"/>
                <w:szCs w:val="16"/>
                <w:u w:val="none"/>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11866EC5">
            <w:pPr>
              <w:jc w:val="center"/>
              <w:rPr>
                <w:rFonts w:hint="eastAsia" w:ascii="微软雅黑" w:hAnsi="微软雅黑" w:eastAsia="微软雅黑" w:cs="微软雅黑"/>
                <w:i/>
                <w:iCs/>
                <w:color w:val="000000"/>
                <w:sz w:val="16"/>
                <w:szCs w:val="16"/>
                <w:u w:val="none"/>
              </w:rPr>
            </w:pPr>
          </w:p>
        </w:tc>
        <w:tc>
          <w:tcPr>
            <w:tcW w:w="1871" w:type="dxa"/>
            <w:gridSpan w:val="3"/>
            <w:tcBorders>
              <w:top w:val="single" w:color="000000" w:sz="4" w:space="0"/>
              <w:left w:val="single" w:color="000000" w:sz="4" w:space="0"/>
              <w:bottom w:val="single" w:color="000000" w:sz="4" w:space="0"/>
              <w:right w:val="single" w:color="000000" w:sz="4" w:space="0"/>
            </w:tcBorders>
            <w:shd w:val="clear"/>
            <w:vAlign w:val="center"/>
          </w:tcPr>
          <w:p w14:paraId="65BA3AF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90CCA7F">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5EAD3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5153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B2C728">
            <w:pPr>
              <w:rPr>
                <w:rFonts w:hint="eastAsia" w:ascii="黑体" w:hAnsi="黑体" w:eastAsia="黑体" w:cs="黑体"/>
                <w:i/>
                <w:iCs/>
                <w:color w:val="000000"/>
                <w:sz w:val="18"/>
                <w:szCs w:val="18"/>
                <w:u w:val="none"/>
              </w:rPr>
            </w:pPr>
          </w:p>
        </w:tc>
      </w:tr>
      <w:tr w14:paraId="581A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D28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00D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1C0C4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45EF3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C942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2825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3EF40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ABA0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3D382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C319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C28D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208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B2AB9">
            <w:pPr>
              <w:jc w:val="center"/>
              <w:rPr>
                <w:rFonts w:hint="eastAsia" w:ascii="宋体" w:hAnsi="宋体" w:eastAsia="宋体" w:cs="宋体"/>
                <w:i w:val="0"/>
                <w:iCs w:val="0"/>
                <w:color w:val="000000"/>
                <w:sz w:val="18"/>
                <w:szCs w:val="1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0A2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2486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517B7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物业服务保障面积</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D952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756C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5F86B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8B2BB50">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5AD33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C40DCEB">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8DF5743">
            <w:pPr>
              <w:jc w:val="center"/>
              <w:rPr>
                <w:rFonts w:hint="eastAsia" w:ascii="微软雅黑" w:hAnsi="微软雅黑" w:eastAsia="微软雅黑" w:cs="微软雅黑"/>
                <w:i/>
                <w:iCs/>
                <w:color w:val="000000"/>
                <w:sz w:val="16"/>
                <w:szCs w:val="16"/>
                <w:u w:val="none"/>
              </w:rPr>
            </w:pPr>
          </w:p>
        </w:tc>
      </w:tr>
      <w:tr w14:paraId="4AFD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4CAADA">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F3410">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12F40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3F922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相关工作正常开展</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680C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8DBF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249FD3A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4566AC5">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4C788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75F16A8">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FBB971">
            <w:pPr>
              <w:jc w:val="center"/>
              <w:rPr>
                <w:rFonts w:hint="eastAsia" w:ascii="微软雅黑" w:hAnsi="微软雅黑" w:eastAsia="微软雅黑" w:cs="微软雅黑"/>
                <w:i/>
                <w:iCs/>
                <w:color w:val="000000"/>
                <w:sz w:val="16"/>
                <w:szCs w:val="16"/>
                <w:u w:val="none"/>
              </w:rPr>
            </w:pPr>
          </w:p>
        </w:tc>
      </w:tr>
      <w:tr w14:paraId="7595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2FB9C6">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8C599A">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3C8F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09497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相关工作及时完成 </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EBC8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EC4F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6AA9D70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5969AEA">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5B21E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E4C5F24">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E0B6D1E">
            <w:pPr>
              <w:jc w:val="center"/>
              <w:rPr>
                <w:rFonts w:hint="eastAsia" w:ascii="微软雅黑" w:hAnsi="微软雅黑" w:eastAsia="微软雅黑" w:cs="微软雅黑"/>
                <w:i/>
                <w:iCs/>
                <w:color w:val="000000"/>
                <w:sz w:val="16"/>
                <w:szCs w:val="16"/>
                <w:u w:val="none"/>
              </w:rPr>
            </w:pPr>
          </w:p>
        </w:tc>
      </w:tr>
      <w:tr w14:paraId="6F12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A39B4">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631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65717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A206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保障服务、改善营商环境</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075D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61B6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优良中低差</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0AD1AE2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CFD5435">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591B6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83D4277">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60BC9EE">
            <w:pPr>
              <w:jc w:val="center"/>
              <w:rPr>
                <w:rFonts w:hint="eastAsia" w:ascii="微软雅黑" w:hAnsi="微软雅黑" w:eastAsia="微软雅黑" w:cs="微软雅黑"/>
                <w:i/>
                <w:iCs/>
                <w:color w:val="000000"/>
                <w:sz w:val="16"/>
                <w:szCs w:val="16"/>
                <w:u w:val="none"/>
              </w:rPr>
            </w:pPr>
          </w:p>
        </w:tc>
      </w:tr>
      <w:tr w14:paraId="61E4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8E7E9">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8DF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1B5E6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72050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2285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D975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10289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5E14B9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6214F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3B2AAA0">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035428">
            <w:pPr>
              <w:jc w:val="center"/>
              <w:rPr>
                <w:rFonts w:hint="eastAsia" w:ascii="微软雅黑" w:hAnsi="微软雅黑" w:eastAsia="微软雅黑" w:cs="微软雅黑"/>
                <w:i/>
                <w:iCs/>
                <w:color w:val="000000"/>
                <w:sz w:val="16"/>
                <w:szCs w:val="16"/>
                <w:u w:val="none"/>
              </w:rPr>
            </w:pPr>
          </w:p>
        </w:tc>
      </w:tr>
      <w:tr w14:paraId="3367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FFCEA2">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810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7ED3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0D2C4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经费控制率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C58B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A3B7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14:paraId="7C4DB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0FDDC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19864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088C0DA">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C162E8">
            <w:pPr>
              <w:jc w:val="center"/>
              <w:rPr>
                <w:rFonts w:hint="eastAsia" w:ascii="微软雅黑" w:hAnsi="微软雅黑" w:eastAsia="微软雅黑" w:cs="微软雅黑"/>
                <w:i/>
                <w:iCs/>
                <w:color w:val="000000"/>
                <w:sz w:val="16"/>
                <w:szCs w:val="16"/>
                <w:u w:val="none"/>
              </w:rPr>
            </w:pPr>
          </w:p>
        </w:tc>
      </w:tr>
      <w:tr w14:paraId="1CC5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666" w:type="dxa"/>
            <w:gridSpan w:val="8"/>
            <w:tcBorders>
              <w:top w:val="single" w:color="000000" w:sz="4" w:space="0"/>
              <w:left w:val="single" w:color="000000" w:sz="4" w:space="0"/>
              <w:bottom w:val="single" w:color="000000" w:sz="4" w:space="0"/>
              <w:right w:val="single" w:color="000000" w:sz="4" w:space="0"/>
            </w:tcBorders>
            <w:shd w:val="clear"/>
            <w:vAlign w:val="center"/>
          </w:tcPr>
          <w:p w14:paraId="5D34A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vAlign w:val="center"/>
          </w:tcPr>
          <w:p w14:paraId="1BB30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084F2D7">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7EE6B5">
            <w:pPr>
              <w:rPr>
                <w:rFonts w:hint="eastAsia" w:ascii="宋体" w:hAnsi="宋体" w:eastAsia="宋体" w:cs="宋体"/>
                <w:i w:val="0"/>
                <w:iCs w:val="0"/>
                <w:color w:val="000000"/>
                <w:sz w:val="18"/>
                <w:szCs w:val="18"/>
                <w:u w:val="none"/>
              </w:rPr>
            </w:pPr>
          </w:p>
        </w:tc>
      </w:tr>
      <w:tr w14:paraId="71DF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31179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8812" w:type="dxa"/>
            <w:gridSpan w:val="10"/>
            <w:tcBorders>
              <w:top w:val="single" w:color="000000" w:sz="4" w:space="0"/>
              <w:left w:val="single" w:color="000000" w:sz="4" w:space="0"/>
              <w:bottom w:val="single" w:color="000000" w:sz="4" w:space="0"/>
              <w:right w:val="single" w:color="000000" w:sz="4" w:space="0"/>
            </w:tcBorders>
            <w:shd w:val="clear"/>
            <w:vAlign w:val="center"/>
          </w:tcPr>
          <w:p w14:paraId="68A8BA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 w:hAnsi="仿宋" w:eastAsia="仿宋" w:cs="仿宋"/>
                <w:i w:val="0"/>
                <w:iCs w:val="0"/>
                <w:color w:val="000000"/>
                <w:kern w:val="0"/>
                <w:sz w:val="24"/>
                <w:szCs w:val="24"/>
                <w:u w:val="none"/>
                <w:lang w:val="en-US" w:eastAsia="zh-CN" w:bidi="ar"/>
              </w:rPr>
              <w:t>按项目实际支出和项目申报绩效目标进行对比分析自评得分100分，评价结论为优。该项目均与批复下达相符。有效保障单位履职正常开展，职工满意度高.</w:t>
            </w:r>
          </w:p>
        </w:tc>
      </w:tr>
      <w:tr w14:paraId="6863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C0EE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8812" w:type="dxa"/>
            <w:gridSpan w:val="10"/>
            <w:tcBorders>
              <w:top w:val="single" w:color="000000" w:sz="4" w:space="0"/>
              <w:left w:val="single" w:color="000000" w:sz="4" w:space="0"/>
              <w:bottom w:val="single" w:color="000000" w:sz="4" w:space="0"/>
              <w:right w:val="single" w:color="000000" w:sz="4" w:space="0"/>
            </w:tcBorders>
            <w:shd w:val="clear"/>
            <w:vAlign w:val="center"/>
          </w:tcPr>
          <w:p w14:paraId="62E759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 w:hAnsi="仿宋" w:eastAsia="仿宋" w:cs="仿宋"/>
                <w:i w:val="0"/>
                <w:iCs w:val="0"/>
                <w:color w:val="000000"/>
                <w:kern w:val="0"/>
                <w:sz w:val="24"/>
                <w:szCs w:val="24"/>
                <w:u w:val="none"/>
                <w:lang w:val="en-US" w:eastAsia="zh-CN" w:bidi="ar"/>
              </w:rPr>
              <w:t>绩效管理人员缺乏专业知识，也缺少培训机会，容易在绩效管理工作中管理不到位，对现行的预算绩效管理不适应；部门预算编制的科学化、精细化、精准化还有待提高。</w:t>
            </w:r>
          </w:p>
        </w:tc>
      </w:tr>
      <w:tr w14:paraId="23C0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88A0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8812" w:type="dxa"/>
            <w:gridSpan w:val="10"/>
            <w:tcBorders>
              <w:top w:val="single" w:color="000000" w:sz="4" w:space="0"/>
              <w:left w:val="single" w:color="000000" w:sz="4" w:space="0"/>
              <w:bottom w:val="single" w:color="000000" w:sz="4" w:space="0"/>
              <w:right w:val="single" w:color="000000" w:sz="4" w:space="0"/>
            </w:tcBorders>
            <w:shd w:val="clear"/>
            <w:vAlign w:val="center"/>
          </w:tcPr>
          <w:p w14:paraId="25405B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仿宋" w:hAnsi="仿宋" w:eastAsia="仿宋" w:cs="仿宋"/>
                <w:i w:val="0"/>
                <w:iCs w:val="0"/>
                <w:color w:val="000000"/>
                <w:kern w:val="0"/>
                <w:sz w:val="24"/>
                <w:szCs w:val="24"/>
                <w:u w:val="none"/>
                <w:lang w:val="en-US" w:eastAsia="zh-CN" w:bidi="ar"/>
              </w:rPr>
              <w:t>我单位将完善预算绩效管理相关制度，加强项目管理，不断提高预算项目绩效目标设置的科学性，加大绩效运行监控的力度，及时调整绩效目标设定的偏差，客观公正对绩效结果进行评价，对绩效结果出现的问题及时整改，切实提高项目预算资金的管理水平和能力。</w:t>
            </w:r>
          </w:p>
        </w:tc>
      </w:tr>
      <w:tr w14:paraId="31C5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225" w:type="dxa"/>
            <w:gridSpan w:val="5"/>
            <w:tcBorders>
              <w:top w:val="single" w:color="000000" w:sz="4" w:space="0"/>
              <w:left w:val="single" w:color="000000" w:sz="4" w:space="0"/>
              <w:bottom w:val="single" w:color="000000" w:sz="4" w:space="0"/>
              <w:right w:val="single" w:color="000000" w:sz="4" w:space="0"/>
            </w:tcBorders>
            <w:shd w:val="clear"/>
            <w:vAlign w:val="center"/>
          </w:tcPr>
          <w:p w14:paraId="59767100">
            <w:pPr>
              <w:keepNext w:val="0"/>
              <w:keepLines w:val="0"/>
              <w:widowControl/>
              <w:suppressLineNumbers w:val="0"/>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bdr w:val="none" w:color="auto" w:sz="0" w:space="0"/>
                <w:lang w:val="en-US" w:eastAsia="zh-CN" w:bidi="ar"/>
              </w:rPr>
              <w:t>项目负责人：丁文远</w:t>
            </w:r>
          </w:p>
        </w:tc>
        <w:tc>
          <w:tcPr>
            <w:tcW w:w="4271" w:type="dxa"/>
            <w:gridSpan w:val="6"/>
            <w:tcBorders>
              <w:top w:val="single" w:color="000000" w:sz="4" w:space="0"/>
              <w:left w:val="single" w:color="000000" w:sz="4" w:space="0"/>
              <w:bottom w:val="single" w:color="000000" w:sz="4" w:space="0"/>
              <w:right w:val="single" w:color="000000" w:sz="4" w:space="0"/>
            </w:tcBorders>
            <w:shd w:val="clear"/>
            <w:vAlign w:val="center"/>
          </w:tcPr>
          <w:p w14:paraId="2D29C5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财务负责人：周锋</w:t>
            </w:r>
          </w:p>
        </w:tc>
      </w:tr>
      <w:tr w14:paraId="4D57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27FFDC1C">
            <w:pPr>
              <w:rPr>
                <w:rFonts w:hint="eastAsia" w:ascii="宋体" w:hAnsi="宋体" w:eastAsia="宋体" w:cs="宋体"/>
                <w:i w:val="0"/>
                <w:iCs w:val="0"/>
                <w:color w:val="000000"/>
                <w:sz w:val="18"/>
                <w:szCs w:val="18"/>
                <w:u w:val="none"/>
              </w:rPr>
            </w:pPr>
          </w:p>
        </w:tc>
        <w:tc>
          <w:tcPr>
            <w:tcW w:w="1515" w:type="dxa"/>
            <w:tcBorders>
              <w:top w:val="nil"/>
              <w:left w:val="nil"/>
              <w:bottom w:val="nil"/>
              <w:right w:val="nil"/>
            </w:tcBorders>
            <w:shd w:val="clear"/>
            <w:vAlign w:val="center"/>
          </w:tcPr>
          <w:p w14:paraId="24EA353F">
            <w:pPr>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vAlign w:val="center"/>
          </w:tcPr>
          <w:p w14:paraId="699CFDA5">
            <w:pP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vAlign w:val="center"/>
          </w:tcPr>
          <w:p w14:paraId="6E278A4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4E362B95">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vAlign w:val="center"/>
          </w:tcPr>
          <w:p w14:paraId="5A8FC878">
            <w:pPr>
              <w:rPr>
                <w:rFonts w:hint="eastAsia" w:ascii="宋体" w:hAnsi="宋体" w:eastAsia="宋体" w:cs="宋体"/>
                <w:i w:val="0"/>
                <w:iCs w:val="0"/>
                <w:color w:val="000000"/>
                <w:sz w:val="18"/>
                <w:szCs w:val="18"/>
                <w:u w:val="none"/>
              </w:rPr>
            </w:pPr>
          </w:p>
        </w:tc>
        <w:tc>
          <w:tcPr>
            <w:tcW w:w="390" w:type="dxa"/>
            <w:tcBorders>
              <w:top w:val="nil"/>
              <w:left w:val="nil"/>
              <w:bottom w:val="nil"/>
              <w:right w:val="nil"/>
            </w:tcBorders>
            <w:shd w:val="clear"/>
            <w:vAlign w:val="center"/>
          </w:tcPr>
          <w:p w14:paraId="6283574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45FE27DC">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vAlign w:val="center"/>
          </w:tcPr>
          <w:p w14:paraId="3C79A4C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5AF3135C">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vAlign w:val="center"/>
          </w:tcPr>
          <w:p w14:paraId="17AE006B">
            <w:pPr>
              <w:rPr>
                <w:rFonts w:hint="eastAsia" w:ascii="宋体" w:hAnsi="宋体" w:eastAsia="宋体" w:cs="宋体"/>
                <w:i w:val="0"/>
                <w:iCs w:val="0"/>
                <w:color w:val="000000"/>
                <w:sz w:val="18"/>
                <w:szCs w:val="18"/>
                <w:u w:val="none"/>
              </w:rPr>
            </w:pPr>
          </w:p>
        </w:tc>
      </w:tr>
    </w:tbl>
    <w:p w14:paraId="1C13CC39">
      <w:pPr>
        <w:pStyle w:val="2"/>
        <w:rPr>
          <w:rFonts w:hint="eastAsia" w:ascii="仿宋_GB2312" w:hAnsi="Calibri" w:eastAsia="仿宋_GB2312" w:cs="仿宋"/>
          <w:color w:val="auto"/>
          <w:kern w:val="0"/>
          <w:sz w:val="32"/>
          <w:szCs w:val="32"/>
          <w:highlight w:val="none"/>
          <w:lang w:val="en-US" w:eastAsia="zh-CN" w:bidi="ar-SA"/>
        </w:rPr>
      </w:pPr>
    </w:p>
    <w:p w14:paraId="46D04D1C">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（备注：按照绩效自评工作安排，各单位可在预算管理一体化系统—综合报表查询—预算绩效报表模块中下载本单位“部门预算项目支出绩效自评表（2023年度）”，该表格应作为附件予以公开。）</w:t>
      </w:r>
    </w:p>
    <w:p w14:paraId="202B1A62">
      <w:pPr>
        <w:pStyle w:val="2"/>
        <w:rPr>
          <w:rFonts w:hint="eastAsia" w:ascii="仿宋_GB2312" w:hAnsi="Calibri" w:eastAsia="仿宋_GB2312" w:cs="仿宋"/>
          <w:color w:val="auto"/>
          <w:kern w:val="0"/>
          <w:sz w:val="32"/>
          <w:szCs w:val="32"/>
          <w:highlight w:val="none"/>
          <w:lang w:val="en-US" w:eastAsia="zh-CN" w:bidi="ar-SA"/>
        </w:rPr>
      </w:pPr>
    </w:p>
    <w:p w14:paraId="1EC7AFF0">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14:paraId="65238C6F">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14:paraId="6A489D21">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14:paraId="4280E99E">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14:paraId="630BA1B1">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14:paraId="0015D829">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14:paraId="02E047FB">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14:paraId="095E12AF">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14:paraId="16354828">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14:paraId="7FB86FC3">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14:paraId="1102D5DE">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769D853A">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3BE32AA2">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14:paraId="017D2083">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0A5BE64">
        <w:pPr>
          <w:pStyle w:val="8"/>
          <w:jc w:val="center"/>
        </w:pPr>
        <w:r>
          <w:fldChar w:fldCharType="begin"/>
        </w:r>
        <w:r>
          <w:instrText xml:space="preserve">PAGE   \* MERGEFORMAT</w:instrText>
        </w:r>
        <w:r>
          <w:fldChar w:fldCharType="separate"/>
        </w:r>
        <w:r>
          <w:rPr>
            <w:lang w:val="zh-CN"/>
          </w:rPr>
          <w:t>8</w:t>
        </w:r>
        <w:r>
          <w:fldChar w:fldCharType="end"/>
        </w:r>
      </w:p>
    </w:sdtContent>
  </w:sdt>
  <w:p w14:paraId="4D3F648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242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FA833E1"/>
    <w:multiLevelType w:val="singleLevel"/>
    <w:tmpl w:val="4FA833E1"/>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g0ZWRhZDFmZTZhYjhlOGNhYmViZjJiMWRiN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26771"/>
    <w:rsid w:val="01F12408"/>
    <w:rsid w:val="02100EDC"/>
    <w:rsid w:val="027125E7"/>
    <w:rsid w:val="02C3392D"/>
    <w:rsid w:val="02D02445"/>
    <w:rsid w:val="03B91543"/>
    <w:rsid w:val="04272E41"/>
    <w:rsid w:val="0501370E"/>
    <w:rsid w:val="053A62B5"/>
    <w:rsid w:val="058C3CB9"/>
    <w:rsid w:val="069C2584"/>
    <w:rsid w:val="06AB1837"/>
    <w:rsid w:val="06CA451B"/>
    <w:rsid w:val="07374E18"/>
    <w:rsid w:val="07AA45D1"/>
    <w:rsid w:val="093A7BD7"/>
    <w:rsid w:val="09E472CB"/>
    <w:rsid w:val="0A2032A3"/>
    <w:rsid w:val="0A2A2740"/>
    <w:rsid w:val="0A5E1030"/>
    <w:rsid w:val="0B8A37D8"/>
    <w:rsid w:val="0BDB654C"/>
    <w:rsid w:val="0C8C24F7"/>
    <w:rsid w:val="0DF447F8"/>
    <w:rsid w:val="0E062656"/>
    <w:rsid w:val="0E2F5830"/>
    <w:rsid w:val="0E9037CB"/>
    <w:rsid w:val="0EC07C41"/>
    <w:rsid w:val="0EDE14D2"/>
    <w:rsid w:val="0EDE70F7"/>
    <w:rsid w:val="0EF21E37"/>
    <w:rsid w:val="0F5911E5"/>
    <w:rsid w:val="0FEB6ED3"/>
    <w:rsid w:val="10685029"/>
    <w:rsid w:val="10836B4A"/>
    <w:rsid w:val="10A1752C"/>
    <w:rsid w:val="10C055FF"/>
    <w:rsid w:val="118107EC"/>
    <w:rsid w:val="11B30526"/>
    <w:rsid w:val="11DD6519"/>
    <w:rsid w:val="12674F0A"/>
    <w:rsid w:val="14587163"/>
    <w:rsid w:val="15BC1522"/>
    <w:rsid w:val="15EE2D31"/>
    <w:rsid w:val="16933481"/>
    <w:rsid w:val="16BB723D"/>
    <w:rsid w:val="173F24C0"/>
    <w:rsid w:val="17480350"/>
    <w:rsid w:val="17E17BB1"/>
    <w:rsid w:val="18015F3F"/>
    <w:rsid w:val="191C2E55"/>
    <w:rsid w:val="1A1358A8"/>
    <w:rsid w:val="1A155476"/>
    <w:rsid w:val="1A330456"/>
    <w:rsid w:val="1A5B79AD"/>
    <w:rsid w:val="1A7B65CB"/>
    <w:rsid w:val="1BCF7968"/>
    <w:rsid w:val="1BE8440E"/>
    <w:rsid w:val="1C5F7897"/>
    <w:rsid w:val="1D155CEE"/>
    <w:rsid w:val="1E852624"/>
    <w:rsid w:val="1F0035B5"/>
    <w:rsid w:val="20F57F95"/>
    <w:rsid w:val="21431371"/>
    <w:rsid w:val="21FE1AC1"/>
    <w:rsid w:val="22A00859"/>
    <w:rsid w:val="22DE3CF2"/>
    <w:rsid w:val="2397497E"/>
    <w:rsid w:val="240371BF"/>
    <w:rsid w:val="2499362A"/>
    <w:rsid w:val="24D00601"/>
    <w:rsid w:val="25711CC6"/>
    <w:rsid w:val="259E3416"/>
    <w:rsid w:val="25C741E6"/>
    <w:rsid w:val="26057D67"/>
    <w:rsid w:val="26506717"/>
    <w:rsid w:val="265F50CC"/>
    <w:rsid w:val="26C37006"/>
    <w:rsid w:val="270D1D15"/>
    <w:rsid w:val="276F455E"/>
    <w:rsid w:val="27842671"/>
    <w:rsid w:val="29172C46"/>
    <w:rsid w:val="29387837"/>
    <w:rsid w:val="296921EB"/>
    <w:rsid w:val="29FD04D3"/>
    <w:rsid w:val="2A336250"/>
    <w:rsid w:val="2AB51EB1"/>
    <w:rsid w:val="2ABE7A3E"/>
    <w:rsid w:val="2BA41E2D"/>
    <w:rsid w:val="2BDA61B0"/>
    <w:rsid w:val="2C366DB6"/>
    <w:rsid w:val="2CA234A8"/>
    <w:rsid w:val="2DD35D80"/>
    <w:rsid w:val="2E08741C"/>
    <w:rsid w:val="2E575AF8"/>
    <w:rsid w:val="2E790FC6"/>
    <w:rsid w:val="2E7F3812"/>
    <w:rsid w:val="2ECD4921"/>
    <w:rsid w:val="2EFA178C"/>
    <w:rsid w:val="2FA21EAE"/>
    <w:rsid w:val="2FF547A7"/>
    <w:rsid w:val="30B46D73"/>
    <w:rsid w:val="31005946"/>
    <w:rsid w:val="319F7F4E"/>
    <w:rsid w:val="31B61F8E"/>
    <w:rsid w:val="31CF079E"/>
    <w:rsid w:val="31D22092"/>
    <w:rsid w:val="321C4663"/>
    <w:rsid w:val="32854830"/>
    <w:rsid w:val="32905696"/>
    <w:rsid w:val="32DE64A9"/>
    <w:rsid w:val="35077B05"/>
    <w:rsid w:val="355157DD"/>
    <w:rsid w:val="3558789E"/>
    <w:rsid w:val="3569521C"/>
    <w:rsid w:val="36A3143F"/>
    <w:rsid w:val="37F45271"/>
    <w:rsid w:val="37F963E3"/>
    <w:rsid w:val="381A30F5"/>
    <w:rsid w:val="383D272C"/>
    <w:rsid w:val="387C536A"/>
    <w:rsid w:val="38C26ACB"/>
    <w:rsid w:val="38D961FA"/>
    <w:rsid w:val="394538AA"/>
    <w:rsid w:val="39AE70AB"/>
    <w:rsid w:val="3AC240CF"/>
    <w:rsid w:val="3B2C7764"/>
    <w:rsid w:val="3BA61FE1"/>
    <w:rsid w:val="3C0C0783"/>
    <w:rsid w:val="3C8D0477"/>
    <w:rsid w:val="3CD812EC"/>
    <w:rsid w:val="3E38417B"/>
    <w:rsid w:val="3EBC63BD"/>
    <w:rsid w:val="3EC8285B"/>
    <w:rsid w:val="3EEC70AE"/>
    <w:rsid w:val="3F094FA9"/>
    <w:rsid w:val="3F224345"/>
    <w:rsid w:val="3F67457A"/>
    <w:rsid w:val="3F9F3A96"/>
    <w:rsid w:val="40F621C4"/>
    <w:rsid w:val="411211BD"/>
    <w:rsid w:val="419B22D0"/>
    <w:rsid w:val="421D51E8"/>
    <w:rsid w:val="42BB03ED"/>
    <w:rsid w:val="42FE52B7"/>
    <w:rsid w:val="43396BB6"/>
    <w:rsid w:val="44181074"/>
    <w:rsid w:val="442A5059"/>
    <w:rsid w:val="44A57709"/>
    <w:rsid w:val="4510597B"/>
    <w:rsid w:val="45812A47"/>
    <w:rsid w:val="46833448"/>
    <w:rsid w:val="46A64E3E"/>
    <w:rsid w:val="46DC72C0"/>
    <w:rsid w:val="47D816C8"/>
    <w:rsid w:val="4848435F"/>
    <w:rsid w:val="48BF60AB"/>
    <w:rsid w:val="492B1EAC"/>
    <w:rsid w:val="493C27E9"/>
    <w:rsid w:val="496F39ED"/>
    <w:rsid w:val="49B857D0"/>
    <w:rsid w:val="49FF41D3"/>
    <w:rsid w:val="4B1D537E"/>
    <w:rsid w:val="4B2652EA"/>
    <w:rsid w:val="4BC77999"/>
    <w:rsid w:val="4BE068DB"/>
    <w:rsid w:val="4BF6002B"/>
    <w:rsid w:val="4E7B2BAB"/>
    <w:rsid w:val="4ECE2238"/>
    <w:rsid w:val="4F9525B0"/>
    <w:rsid w:val="501B13C5"/>
    <w:rsid w:val="50C11611"/>
    <w:rsid w:val="514C1822"/>
    <w:rsid w:val="51D46041"/>
    <w:rsid w:val="51DB4B86"/>
    <w:rsid w:val="521340EE"/>
    <w:rsid w:val="52392176"/>
    <w:rsid w:val="5241266C"/>
    <w:rsid w:val="52706414"/>
    <w:rsid w:val="52972F71"/>
    <w:rsid w:val="52F757BE"/>
    <w:rsid w:val="53407165"/>
    <w:rsid w:val="54242414"/>
    <w:rsid w:val="55333C3E"/>
    <w:rsid w:val="55CE4439"/>
    <w:rsid w:val="562E599A"/>
    <w:rsid w:val="578C0FA9"/>
    <w:rsid w:val="57AC4DC9"/>
    <w:rsid w:val="57FB365A"/>
    <w:rsid w:val="58962006"/>
    <w:rsid w:val="597E4984"/>
    <w:rsid w:val="59F47AE4"/>
    <w:rsid w:val="5A405C9C"/>
    <w:rsid w:val="5A7D0C9E"/>
    <w:rsid w:val="5B3927FC"/>
    <w:rsid w:val="5BFA1563"/>
    <w:rsid w:val="5BFC5FD2"/>
    <w:rsid w:val="5BFD3468"/>
    <w:rsid w:val="5C422212"/>
    <w:rsid w:val="5C502193"/>
    <w:rsid w:val="5CB40E2C"/>
    <w:rsid w:val="5E9A206E"/>
    <w:rsid w:val="5F236821"/>
    <w:rsid w:val="5FD70E51"/>
    <w:rsid w:val="60BE0C8B"/>
    <w:rsid w:val="60E80F1B"/>
    <w:rsid w:val="61BB6AF3"/>
    <w:rsid w:val="623F140B"/>
    <w:rsid w:val="62EE124E"/>
    <w:rsid w:val="63811F35"/>
    <w:rsid w:val="63FA510E"/>
    <w:rsid w:val="64994927"/>
    <w:rsid w:val="64CA39A1"/>
    <w:rsid w:val="66065FEC"/>
    <w:rsid w:val="6639338A"/>
    <w:rsid w:val="674F0AFE"/>
    <w:rsid w:val="67BD26DA"/>
    <w:rsid w:val="67FF0F45"/>
    <w:rsid w:val="68557E3B"/>
    <w:rsid w:val="68D777CC"/>
    <w:rsid w:val="69351752"/>
    <w:rsid w:val="69630ADE"/>
    <w:rsid w:val="6A392D95"/>
    <w:rsid w:val="6A572F89"/>
    <w:rsid w:val="6B0413A1"/>
    <w:rsid w:val="6C4A05C8"/>
    <w:rsid w:val="6C4B48AF"/>
    <w:rsid w:val="6D3B1A89"/>
    <w:rsid w:val="6D617FAC"/>
    <w:rsid w:val="6DA34120"/>
    <w:rsid w:val="6DF11EFB"/>
    <w:rsid w:val="6E8A49CE"/>
    <w:rsid w:val="6ECC76A7"/>
    <w:rsid w:val="6F0A4796"/>
    <w:rsid w:val="6F7A39FD"/>
    <w:rsid w:val="7075012D"/>
    <w:rsid w:val="70B5039E"/>
    <w:rsid w:val="70E37655"/>
    <w:rsid w:val="70E60EF4"/>
    <w:rsid w:val="71493231"/>
    <w:rsid w:val="71AC4CBF"/>
    <w:rsid w:val="71BF4EC2"/>
    <w:rsid w:val="72253AD4"/>
    <w:rsid w:val="72734D90"/>
    <w:rsid w:val="7412278C"/>
    <w:rsid w:val="7424792A"/>
    <w:rsid w:val="743337E7"/>
    <w:rsid w:val="74C701BB"/>
    <w:rsid w:val="753E05CB"/>
    <w:rsid w:val="753E41F8"/>
    <w:rsid w:val="75874327"/>
    <w:rsid w:val="76AF1D88"/>
    <w:rsid w:val="77971420"/>
    <w:rsid w:val="779B4B59"/>
    <w:rsid w:val="77CA2A48"/>
    <w:rsid w:val="79AE1580"/>
    <w:rsid w:val="79DA536E"/>
    <w:rsid w:val="79E46056"/>
    <w:rsid w:val="79E7B28D"/>
    <w:rsid w:val="7B354F51"/>
    <w:rsid w:val="7BC71922"/>
    <w:rsid w:val="7CDC7E2A"/>
    <w:rsid w:val="7D420253"/>
    <w:rsid w:val="7ED52ABE"/>
    <w:rsid w:val="7F5E72BF"/>
    <w:rsid w:val="7F7D236E"/>
    <w:rsid w:val="7F9F20EE"/>
    <w:rsid w:val="7FB468C9"/>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henbo\&#24037;&#21830;&#32852;\&#19978;&#20132;&#36164;&#26009;\2022&#24180;&#20915;&#31639;&#20844;&#24320;\&#19978;&#32423;&#25991;&#20214;\&#20915;&#31639;&#20844;&#24320;&#39292;&#29366;&#22270;.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chenbo\&#34892;&#25919;&#23457;&#25209;\2023&#24180;&#20915;&#31639;&#20844;&#24320;\&#20915;&#31639;&#20844;&#24320;&#39292;&#29366;&#2227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3474025974026"/>
          <c:y val="0.0549707602339181"/>
          <c:w val="0.914204545454545"/>
          <c:h val="0.732959064327485"/>
        </c:manualLayout>
      </c:layout>
      <c:barChart>
        <c:barDir val="col"/>
        <c:grouping val="clustered"/>
        <c:varyColors val="0"/>
        <c:ser>
          <c:idx val="0"/>
          <c:order val="0"/>
          <c:tx>
            <c:strRef>
              <c:f>[决算公开饼状图.et]Sheet1!$A$46</c:f>
              <c:strCache>
                <c:ptCount val="1"/>
                <c:pt idx="0">
                  <c:v>2022年</c:v>
                </c:pt>
              </c:strCache>
            </c:strRef>
          </c:tx>
          <c:spPr>
            <a:solidFill>
              <a:srgbClr val="4F81BD">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[决算公开饼状图.et]Sheet1!$B$45:$C$45</c:f>
              <c:strCache>
                <c:ptCount val="2"/>
                <c:pt idx="0">
                  <c:v>收入总计 （万元）</c:v>
                </c:pt>
                <c:pt idx="1">
                  <c:v>支出总计（万元）</c:v>
                </c:pt>
              </c:strCache>
            </c:strRef>
          </c:cat>
          <c:val>
            <c:numRef>
              <c:f>[决算公开饼状图.et]Sheet1!$B$46:$C$46</c:f>
              <c:numCache>
                <c:formatCode>General</c:formatCode>
                <c:ptCount val="2"/>
                <c:pt idx="0">
                  <c:v>2120.03</c:v>
                </c:pt>
                <c:pt idx="1">
                  <c:v>2120.03</c:v>
                </c:pt>
              </c:numCache>
            </c:numRef>
          </c:val>
        </c:ser>
        <c:ser>
          <c:idx val="1"/>
          <c:order val="1"/>
          <c:tx>
            <c:strRef>
              <c:f>[决算公开饼状图.et]Sheet1!$A$47</c:f>
              <c:strCache>
                <c:ptCount val="1"/>
                <c:pt idx="0">
                  <c:v>2023年</c:v>
                </c:pt>
              </c:strCache>
            </c:strRef>
          </c:tx>
          <c:spPr>
            <a:solidFill>
              <a:srgbClr val="C0504D">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[决算公开饼状图.et]Sheet1!$B$45:$C$45</c:f>
              <c:strCache>
                <c:ptCount val="2"/>
                <c:pt idx="0">
                  <c:v>收入总计 （万元）</c:v>
                </c:pt>
                <c:pt idx="1">
                  <c:v>支出总计（万元）</c:v>
                </c:pt>
              </c:strCache>
            </c:strRef>
          </c:cat>
          <c:val>
            <c:numRef>
              <c:f>[决算公开饼状图.et]Sheet1!$B$47:$C$47</c:f>
              <c:numCache>
                <c:formatCode>General</c:formatCode>
                <c:ptCount val="2"/>
                <c:pt idx="0">
                  <c:v>2013.55</c:v>
                </c:pt>
                <c:pt idx="1">
                  <c:v>2013.55</c:v>
                </c:pt>
              </c:numCache>
            </c:numRef>
          </c:val>
        </c:ser>
        <c:dLbls>
          <c:showLegendKey val="0"/>
          <c:showVal val="0"/>
          <c:showCatName val="0"/>
          <c:showSerName val="0"/>
          <c:showPercent val="0"/>
          <c:showBubbleSize val="0"/>
        </c:dLbls>
        <c:gapWidth val="75"/>
        <c:overlap val="0"/>
        <c:axId val="481875413"/>
        <c:axId val="253281405"/>
      </c:barChart>
      <c:catAx>
        <c:axId val="481875413"/>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253281405"/>
        <c:crosses val="autoZero"/>
        <c:auto val="1"/>
        <c:lblAlgn val="ctr"/>
        <c:lblOffset val="100"/>
        <c:noMultiLvlLbl val="0"/>
      </c:catAx>
      <c:valAx>
        <c:axId val="253281405"/>
        <c:scaling>
          <c:orientation val="minMax"/>
        </c:scaling>
        <c:delete val="0"/>
        <c:axPos val="l"/>
        <c:numFmt formatCode="General" sourceLinked="0"/>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481875413"/>
        <c:crosses val="autoZero"/>
        <c:crossBetween val="between"/>
      </c:valAx>
      <c:spPr>
        <a:noFill/>
        <a:ln w="3175">
          <a:noFill/>
        </a:ln>
      </c:spPr>
    </c:plotArea>
    <c:legend>
      <c:legendPos val="b"/>
      <c:layout>
        <c:manualLayout>
          <c:xMode val="edge"/>
          <c:yMode val="edge"/>
          <c:x val="0.45675"/>
          <c:y val="0.9275"/>
          <c:w val="0.16825"/>
          <c:h val="0.061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gap"/>
    <c:showDLblsOverMax val="0"/>
    <c:extLst>
      <c:ext uri="{0b15fc19-7d7d-44ad-8c2d-2c3a37ce22c3}">
        <chartProps xmlns="https://web.wps.cn/et/2018/main" chartId="{a65eb98d-decb-459f-b11a-7165ca194398}"/>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mn-cs"/>
                <a:ea typeface="+mn-cs"/>
                <a:cs typeface="+mn-cs"/>
              </a:defRPr>
            </a:pPr>
            <a:r>
              <a:t>本年收入决算情况（万元）</a:t>
            </a:r>
            <a:endParaRPr sz="1400" b="1" i="0" u="none" strike="noStrike" baseline="0">
              <a:solidFill>
                <a:srgbClr val="333333">
                  <a:alpha val="100000"/>
                </a:srgbClr>
              </a:solidFill>
              <a:latin typeface="+mn-cs"/>
              <a:ea typeface="+mn-cs"/>
              <a:cs typeface="+mn-cs"/>
            </a:endParaRPr>
          </a:p>
        </c:rich>
      </c:tx>
      <c:layout>
        <c:manualLayout>
          <c:x val="0"/>
          <c:y val="-0.0035"/>
        </c:manualLayout>
      </c:layout>
      <c:overlay val="0"/>
      <c:spPr>
        <a:noFill/>
        <a:ln w="3175">
          <a:noFill/>
        </a:ln>
      </c:spPr>
    </c:title>
    <c:autoTitleDeleted val="0"/>
    <c:plotArea>
      <c:layout>
        <c:manualLayout>
          <c:layoutTarget val="inner"/>
          <c:xMode val="edge"/>
          <c:yMode val="edge"/>
          <c:x val="0.18575"/>
          <c:y val="0.2975"/>
          <c:w val="0.31325"/>
          <c:h val="0.5555"/>
        </c:manualLayout>
      </c:layout>
      <c:pieChart>
        <c:varyColors val="1"/>
        <c:ser>
          <c:idx val="0"/>
          <c:order val="0"/>
          <c:tx>
            <c:strRef>
              <c:f>[决算公开饼状图.et]Sheet1!$A$3</c:f>
              <c:strCache>
                <c:ptCount val="1"/>
                <c:pt idx="0">
                  <c:v>本年收入</c:v>
                </c:pt>
              </c:strCache>
            </c:strRef>
          </c:tx>
          <c:spPr>
            <a:solidFill>
              <a:srgbClr val="4F81BD">
                <a:alpha val="100000"/>
              </a:srgbClr>
            </a:solidFill>
            <a:ln w="3175">
              <a:noFill/>
            </a:ln>
          </c:spPr>
          <c:explosion val="0"/>
          <c:dPt>
            <c:idx val="0"/>
            <c:bubble3D val="0"/>
            <c:explosion val="0"/>
            <c:spPr>
              <a:solidFill>
                <a:srgbClr val="4F81BD">
                  <a:alpha val="100000"/>
                </a:srgbClr>
              </a:solidFill>
              <a:ln w="12700">
                <a:solidFill>
                  <a:srgbClr val="FFFFFF">
                    <a:alpha val="100000"/>
                  </a:srgbClr>
                </a:solidFill>
                <a:prstDash val="solid"/>
              </a:ln>
            </c:spPr>
          </c:dPt>
          <c:dPt>
            <c:idx val="1"/>
            <c:bubble3D val="0"/>
            <c:explosion val="0"/>
            <c:spPr>
              <a:solidFill>
                <a:srgbClr val="C0504D">
                  <a:alpha val="100000"/>
                </a:srgbClr>
              </a:solidFill>
              <a:ln w="12700">
                <a:solidFill>
                  <a:srgbClr val="FFFFFF">
                    <a:alpha val="100000"/>
                  </a:srgbClr>
                </a:solidFill>
                <a:prstDash val="solid"/>
              </a:ln>
            </c:spPr>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[决算公开饼状图.et]Sheet1!$B$2:$C$2</c:f>
              <c:strCache>
                <c:ptCount val="2"/>
                <c:pt idx="0">
                  <c:v>一般公共预算财政拨款收入</c:v>
                </c:pt>
                <c:pt idx="1">
                  <c:v>政府性基金预算财政拨款收入</c:v>
                </c:pt>
              </c:strCache>
            </c:strRef>
          </c:cat>
          <c:val>
            <c:numRef>
              <c:f>[决算公开饼状图.et]Sheet1!$B$3:$C$3</c:f>
              <c:numCache>
                <c:formatCode>#,##0.00</c:formatCode>
                <c:ptCount val="2"/>
                <c:pt idx="0">
                  <c:v>2100.03</c:v>
                </c:pt>
                <c:pt idx="1"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28752810474805"/>
          <c:y val="0.187133182844244"/>
          <c:w val="0.359079486840365"/>
          <c:h val="0.436794582392777"/>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zero"/>
    <c:showDLblsOverMax val="0"/>
    <c:extLst>
      <c:ext uri="{0b15fc19-7d7d-44ad-8c2d-2c3a37ce22c3}">
        <chartProps xmlns="https://web.wps.cn/et/2018/main" chartId="{cbad50fe-cc1d-4d10-b967-0244965836e1}"/>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333333">
                    <a:alpha val="100000"/>
                  </a:srgbClr>
                </a:solidFill>
                <a:latin typeface="+mn-cs"/>
                <a:ea typeface="+mn-cs"/>
                <a:cs typeface="+mn-cs"/>
              </a:defRPr>
            </a:pPr>
            <a:r>
              <a:t>本年支出（万元）</a:t>
            </a:r>
            <a:endParaRPr sz="1800" b="1" i="0" u="none" strike="noStrike" baseline="0">
              <a:solidFill>
                <a:srgbClr val="333333">
                  <a:alpha val="100000"/>
                </a:srgbClr>
              </a:solidFill>
              <a:latin typeface="+mn-cs"/>
              <a:ea typeface="+mn-cs"/>
              <a:cs typeface="+mn-cs"/>
            </a:endParaRPr>
          </a:p>
        </c:rich>
      </c:tx>
      <c:layout/>
      <c:overlay val="0"/>
      <c:spPr>
        <a:noFill/>
        <a:ln w="3175">
          <a:noFill/>
        </a:ln>
      </c:spPr>
    </c:title>
    <c:autoTitleDeleted val="0"/>
    <c:plotArea>
      <c:layout>
        <c:manualLayout>
          <c:layoutTarget val="inner"/>
          <c:xMode val="edge"/>
          <c:yMode val="edge"/>
          <c:x val="0.16575"/>
          <c:y val="0.3035"/>
          <c:w val="0.3475"/>
          <c:h val="0.5495"/>
        </c:manualLayout>
      </c:layout>
      <c:pieChart>
        <c:varyColors val="1"/>
        <c:ser>
          <c:idx val="0"/>
          <c:order val="0"/>
          <c:tx>
            <c:strRef>
              <c:f>[决算公开饼状图.et]Sheet1!$A$3</c:f>
              <c:strCache>
                <c:ptCount val="1"/>
                <c:pt idx="0">
                  <c:v>本年支出391.44（万元）</c:v>
                </c:pt>
              </c:strCache>
            </c:strRef>
          </c:tx>
          <c:spPr>
            <a:solidFill>
              <a:srgbClr val="4F81BD">
                <a:alpha val="100000"/>
              </a:srgbClr>
            </a:solidFill>
            <a:ln w="3175">
              <a:noFill/>
            </a:ln>
          </c:spPr>
          <c:explosion val="0"/>
          <c:dPt>
            <c:idx val="0"/>
            <c:bubble3D val="0"/>
            <c:explosion val="0"/>
            <c:spPr>
              <a:solidFill>
                <a:srgbClr val="4F81BD">
                  <a:alpha val="100000"/>
                </a:srgbClr>
              </a:solidFill>
              <a:ln w="3175">
                <a:noFill/>
              </a:ln>
            </c:spPr>
          </c:dPt>
          <c:dPt>
            <c:idx val="1"/>
            <c:bubble3D val="0"/>
            <c:explosion val="0"/>
            <c:spPr>
              <a:solidFill>
                <a:srgbClr val="C0504D">
                  <a:alpha val="100000"/>
                </a:srgbClr>
              </a:solidFill>
              <a:ln w="3175">
                <a:noFill/>
              </a:ln>
            </c:spPr>
          </c:dPt>
          <c:dLbls>
            <c:dLbl>
              <c:idx val="0"/>
              <c:layout/>
              <c:numFmt formatCode="General" sourceLinked="1"/>
              <c:spPr>
                <a:pattFill prst="pct75">
                  <a:fgClr>
                    <a:srgbClr val="3F3F3F">
                      <a:alpha val="100000"/>
                    </a:srgbClr>
                  </a:fgClr>
                  <a:bgClr>
                    <a:srgbClr val="595959">
                      <a:alpha val="100000"/>
                    </a:srgbClr>
                  </a:bgClr>
                </a:pattFill>
                <a:ln w="3175">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FFFF">
                          <a:alpha val="100000"/>
                        </a:srgbClr>
                      </a:solidFill>
                      <a:latin typeface="+mn-cs"/>
                      <a:ea typeface="+mn-cs"/>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1"/>
              <c:layout/>
              <c:numFmt formatCode="General" sourceLinked="1"/>
              <c:spPr>
                <a:pattFill prst="pct75">
                  <a:fgClr>
                    <a:srgbClr val="3F3F3F">
                      <a:alpha val="100000"/>
                    </a:srgbClr>
                  </a:fgClr>
                  <a:bgClr>
                    <a:srgbClr val="595959">
                      <a:alpha val="100000"/>
                    </a:srgbClr>
                  </a:bgClr>
                </a:pattFill>
                <a:ln w="3175">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FFFF">
                          <a:alpha val="100000"/>
                        </a:srgbClr>
                      </a:solidFill>
                      <a:latin typeface="+mn-cs"/>
                      <a:ea typeface="+mn-cs"/>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numFmt formatCode="General" sourceLinked="1"/>
            <c:spPr>
              <a:pattFill prst="pct75">
                <a:fgClr>
                  <a:srgbClr val="3F3F3F">
                    <a:alpha val="100000"/>
                  </a:srgbClr>
                </a:fgClr>
                <a:bgClr>
                  <a:srgbClr val="595959">
                    <a:alpha val="100000"/>
                  </a:srgbClr>
                </a:bgClr>
              </a:pattFill>
              <a:ln w="3175">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FFFFFF">
                        <a:alpha val="100000"/>
                      </a:srgbClr>
                    </a:solidFill>
                    <a:latin typeface="+mn-cs"/>
                    <a:ea typeface="+mn-cs"/>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[决算公开饼状图.et]Sheet1!$B$2:$C$2</c:f>
              <c:strCache>
                <c:ptCount val="2"/>
                <c:pt idx="0">
                  <c:v>基本支出</c:v>
                </c:pt>
                <c:pt idx="1">
                  <c:v>项目支出 </c:v>
                </c:pt>
              </c:strCache>
            </c:strRef>
          </c:cat>
          <c:val>
            <c:numRef>
              <c:f>[决算公开饼状图.et]Sheet1!$B$3:$C$3</c:f>
              <c:numCache>
                <c:formatCode>General</c:formatCode>
                <c:ptCount val="2"/>
                <c:pt idx="0">
                  <c:v>1083.31</c:v>
                </c:pt>
                <c:pt idx="1">
                  <c:v>930.25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Entry>
      <c:legendEntry>
        <c:idx val="1"/>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Entry>
      <c:layout>
        <c:manualLayout>
          <c:xMode val="edge"/>
          <c:yMode val="edge"/>
          <c:x val="0.75825"/>
          <c:y val="0.524"/>
          <c:w val="0.14775"/>
          <c:h val="0.103"/>
        </c:manualLayout>
      </c:layout>
      <c:overlay val="0"/>
      <c:spPr>
        <a:solidFill>
          <a:srgbClr val="F2F2F2">
            <a:alpha val="35686"/>
          </a:srgbClr>
        </a:solid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zero"/>
    <c:showDLblsOverMax val="0"/>
    <c:extLst>
      <c:ext uri="{0b15fc19-7d7d-44ad-8c2d-2c3a37ce22c3}">
        <chartProps xmlns="https://web.wps.cn/et/2018/main" chartId="{5ad3b25c-670c-4035-b372-0a633d85aa2c}"/>
      </c:ext>
    </c:extLst>
  </c:chart>
  <c:spPr>
    <a:gradFill>
      <a:gsLst>
        <a:gs pos="0">
          <a:srgbClr val="FFFFFF">
            <a:alpha val="100000"/>
          </a:srgbClr>
        </a:gs>
        <a:gs pos="100000">
          <a:srgbClr val="FFFFFF">
            <a:alpha val="100000"/>
          </a:srgbClr>
        </a:gs>
      </a:gsLst>
      <a:lin ang="5400000" scaled="1"/>
    </a:gra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3474025974026"/>
          <c:y val="0.0549707602339181"/>
          <c:w val="0.914204545454545"/>
          <c:h val="0.732959064327485"/>
        </c:manualLayout>
      </c:layout>
      <c:barChart>
        <c:barDir val="col"/>
        <c:grouping val="clustered"/>
        <c:varyColors val="0"/>
        <c:ser>
          <c:idx val="0"/>
          <c:order val="0"/>
          <c:tx>
            <c:strRef>
              <c:f>[决算公开饼状图.et]Sheet1!$A$46</c:f>
              <c:strCache>
                <c:ptCount val="1"/>
                <c:pt idx="0">
                  <c:v>2022年</c:v>
                </c:pt>
              </c:strCache>
            </c:strRef>
          </c:tx>
          <c:spPr>
            <a:solidFill>
              <a:srgbClr val="4F81BD">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[决算公开饼状图.et]Sheet1!$B$45:$C$45</c:f>
              <c:strCache>
                <c:ptCount val="2"/>
                <c:pt idx="0">
                  <c:v>财政拨款收入总计 （万元）</c:v>
                </c:pt>
                <c:pt idx="1">
                  <c:v>财政拨款支出总计（万元）</c:v>
                </c:pt>
              </c:strCache>
            </c:strRef>
          </c:cat>
          <c:val>
            <c:numRef>
              <c:f>[决算公开饼状图.et]Sheet1!$B$46:$C$46</c:f>
              <c:numCache>
                <c:formatCode>General</c:formatCode>
                <c:ptCount val="2"/>
                <c:pt idx="0">
                  <c:v>2120.03</c:v>
                </c:pt>
                <c:pt idx="1">
                  <c:v>2120.03</c:v>
                </c:pt>
              </c:numCache>
            </c:numRef>
          </c:val>
        </c:ser>
        <c:ser>
          <c:idx val="1"/>
          <c:order val="1"/>
          <c:tx>
            <c:strRef>
              <c:f>[决算公开饼状图.et]Sheet1!$A$47</c:f>
              <c:strCache>
                <c:ptCount val="1"/>
                <c:pt idx="0">
                  <c:v>2023年</c:v>
                </c:pt>
              </c:strCache>
            </c:strRef>
          </c:tx>
          <c:spPr>
            <a:solidFill>
              <a:srgbClr val="C0504D">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[决算公开饼状图.et]Sheet1!$B$45:$C$45</c:f>
              <c:strCache>
                <c:ptCount val="2"/>
                <c:pt idx="0">
                  <c:v>财政拨款收入总计 （万元）</c:v>
                </c:pt>
                <c:pt idx="1">
                  <c:v>财政拨款支出总计（万元）</c:v>
                </c:pt>
              </c:strCache>
            </c:strRef>
          </c:cat>
          <c:val>
            <c:numRef>
              <c:f>[决算公开饼状图.et]Sheet1!$B$47:$C$47</c:f>
              <c:numCache>
                <c:formatCode>General</c:formatCode>
                <c:ptCount val="2"/>
                <c:pt idx="0">
                  <c:v>2013.55</c:v>
                </c:pt>
                <c:pt idx="1">
                  <c:v>2013.55</c:v>
                </c:pt>
              </c:numCache>
            </c:numRef>
          </c:val>
        </c:ser>
        <c:dLbls>
          <c:showLegendKey val="0"/>
          <c:showVal val="0"/>
          <c:showCatName val="0"/>
          <c:showSerName val="0"/>
          <c:showPercent val="0"/>
          <c:showBubbleSize val="0"/>
        </c:dLbls>
        <c:gapWidth val="75"/>
        <c:overlap val="0"/>
        <c:axId val="481875413"/>
        <c:axId val="253281405"/>
      </c:barChart>
      <c:catAx>
        <c:axId val="481875413"/>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253281405"/>
        <c:crosses val="autoZero"/>
        <c:auto val="1"/>
        <c:lblAlgn val="ctr"/>
        <c:lblOffset val="100"/>
        <c:noMultiLvlLbl val="0"/>
      </c:catAx>
      <c:valAx>
        <c:axId val="253281405"/>
        <c:scaling>
          <c:orientation val="minMax"/>
        </c:scaling>
        <c:delete val="0"/>
        <c:axPos val="l"/>
        <c:numFmt formatCode="General" sourceLinked="0"/>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481875413"/>
        <c:crosses val="autoZero"/>
        <c:crossBetween val="between"/>
      </c:valAx>
      <c:spPr>
        <a:noFill/>
        <a:ln w="3175">
          <a:noFill/>
        </a:ln>
      </c:spPr>
    </c:plotArea>
    <c:legend>
      <c:legendPos val="b"/>
      <c:layout>
        <c:manualLayout>
          <c:xMode val="edge"/>
          <c:yMode val="edge"/>
          <c:x val="0.456726133076181"/>
          <c:y val="0.894166666666667"/>
          <c:w val="0.168273866923819"/>
          <c:h val="0.0947222222222222"/>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gap"/>
    <c:showDLblsOverMax val="0"/>
    <c:extLst>
      <c:ext uri="{0b15fc19-7d7d-44ad-8c2d-2c3a37ce22c3}">
        <chartProps xmlns="https://web.wps.cn/et/2018/main" chartId="{e363bcda-3c02-4c69-a1fe-befab16f61a1}"/>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[决算公开饼状图.et]Sheet1!$A$68</c:f>
              <c:strCache>
                <c:ptCount val="1"/>
                <c:pt idx="0">
                  <c:v>一般公共预算财政拨款支出</c:v>
                </c:pt>
              </c:strCache>
            </c:strRef>
          </c:tx>
          <c:spPr>
            <a:solidFill>
              <a:srgbClr val="4F81BD">
                <a:alpha val="100000"/>
              </a:srgbClr>
            </a:solidFill>
            <a:ln w="3175">
              <a:noFill/>
            </a:ln>
          </c:spPr>
          <c:invertIfNegative val="0"/>
          <c:dPt>
            <c:idx val="0"/>
            <c:invertIfNegative val="0"/>
            <c:bubble3D val="0"/>
            <c:explosion val="0"/>
          </c:dPt>
          <c:dPt>
            <c:idx val="1"/>
            <c:invertIfNegative val="0"/>
            <c:bubble3D val="0"/>
            <c:explosion val="0"/>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[决算公开饼状图.et]Sheet1!$B$67:$C$67</c:f>
              <c:strCache>
                <c:ptCount val="2"/>
                <c:pt idx="0">
                  <c:v>2023年支出</c:v>
                </c:pt>
                <c:pt idx="1">
                  <c:v>2022年支出</c:v>
                </c:pt>
              </c:strCache>
            </c:strRef>
          </c:cat>
          <c:val>
            <c:numRef>
              <c:f>[决算公开饼状图.et]Sheet1!$B$68:$C$68</c:f>
              <c:numCache>
                <c:formatCode>General</c:formatCode>
                <c:ptCount val="2"/>
                <c:pt idx="0">
                  <c:v>2013.55</c:v>
                </c:pt>
                <c:pt idx="1" c:formatCode="#,##0.00">
                  <c:v>2120.03</c:v>
                </c:pt>
              </c:numCache>
            </c:numRef>
          </c:val>
        </c:ser>
        <c:dLbls>
          <c:showLegendKey val="0"/>
          <c:showVal val="0"/>
          <c:showCatName val="0"/>
          <c:showSerName val="0"/>
          <c:showPercent val="0"/>
          <c:showBubbleSize val="0"/>
        </c:dLbls>
        <c:gapWidth val="75"/>
        <c:overlap val="0"/>
        <c:axId val="244007576"/>
        <c:axId val="205705753"/>
      </c:barChart>
      <c:catAx>
        <c:axId val="244007576"/>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205705753"/>
        <c:crosses val="autoZero"/>
        <c:auto val="1"/>
        <c:lblAlgn val="ctr"/>
        <c:lblOffset val="100"/>
        <c:noMultiLvlLbl val="0"/>
      </c:catAx>
      <c:valAx>
        <c:axId val="205705753"/>
        <c:scaling>
          <c:orientation val="minMax"/>
          <c:max val="1000"/>
          <c:min val="0"/>
        </c:scaling>
        <c:delete val="0"/>
        <c:axPos val="l"/>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crossAx val="244007576"/>
        <c:crosses val="autoZero"/>
        <c:crossBetween val="between"/>
        <c:majorUnit val="10000"/>
        <c:minorUnit val="100"/>
      </c:valAx>
      <c:spPr>
        <a:noFill/>
        <a:ln w="3175">
          <a:noFill/>
        </a:ln>
      </c:spPr>
    </c:plotArea>
    <c:legend>
      <c:legendPos val="b"/>
      <c:layout>
        <c:manualLayout>
          <c:xMode val="edge"/>
          <c:yMode val="edge"/>
          <c:x val="0.2445"/>
          <c:y val="0.92825"/>
          <c:w val="0.58375"/>
          <c:h val="0.0609999999999999"/>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gap"/>
    <c:showDLblsOverMax val="0"/>
    <c:extLst>
      <c:ext uri="{0b15fc19-7d7d-44ad-8c2d-2c3a37ce22c3}">
        <chartProps xmlns="https://web.wps.cn/et/2018/main" chartId="{9f8e029f-5361-419b-a3de-b811ce34378c}"/>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000000">
                    <a:alpha val="100000"/>
                  </a:srgbClr>
                </a:solidFill>
                <a:latin typeface="+mn-cs"/>
                <a:ea typeface="+mn-cs"/>
                <a:cs typeface="+mn-cs"/>
              </a:defRPr>
            </a:pPr>
            <a:r>
              <a:t>一般公共预算财政拨款支出（万元）</a:t>
            </a:r>
            <a:endParaRPr sz="1400" b="1" i="0" u="none" strike="noStrike" baseline="0">
              <a:solidFill>
                <a:srgbClr val="000000">
                  <a:alpha val="100000"/>
                </a:srgbClr>
              </a:solidFill>
              <a:latin typeface="+mn-cs"/>
              <a:ea typeface="+mn-cs"/>
              <a:cs typeface="+mn-cs"/>
            </a:endParaRPr>
          </a:p>
        </c:rich>
      </c:tx>
      <c:layout/>
      <c:overlay val="0"/>
    </c:title>
    <c:autoTitleDeleted val="0"/>
    <c:plotArea>
      <c:layout>
        <c:manualLayout>
          <c:layoutTarget val="inner"/>
          <c:xMode val="edge"/>
          <c:yMode val="edge"/>
          <c:x val="0.271070615034169"/>
          <c:y val="0.358770090845563"/>
          <c:w val="0.591951404707669"/>
          <c:h val="0.544793850454228"/>
        </c:manualLayout>
      </c:layout>
      <c:pieChart>
        <c:varyColors val="1"/>
        <c:ser>
          <c:idx val="0"/>
          <c:order val="0"/>
          <c:tx>
            <c:strRef>
              <c:f>[决算公开饼状图.et]Sheet1!$A$87</c:f>
              <c:strCache>
                <c:ptCount val="1"/>
                <c:pt idx="0">
                  <c:v>2021年一般公共预算财政拨款支出（万元）</c:v>
                </c:pt>
              </c:strCache>
            </c:strRef>
          </c:tx>
          <c:spPr>
            <a:solidFill>
              <a:srgbClr val="4F81BD">
                <a:alpha val="100000"/>
              </a:srgbClr>
            </a:solidFill>
            <a:ln w="3175">
              <a:noFill/>
            </a:ln>
          </c:spPr>
          <c:explosion val="0"/>
          <c:dPt>
            <c:idx val="0"/>
            <c:bubble3D val="0"/>
            <c:explosion val="0"/>
            <c:spPr>
              <a:solidFill>
                <a:srgbClr val="4F81BD">
                  <a:alpha val="100000"/>
                </a:srgbClr>
              </a:solidFill>
              <a:ln w="12700">
                <a:solidFill>
                  <a:srgbClr val="FFFFFF">
                    <a:alpha val="100000"/>
                  </a:srgbClr>
                </a:solidFill>
                <a:prstDash val="solid"/>
              </a:ln>
            </c:spPr>
          </c:dPt>
          <c:dPt>
            <c:idx val="1"/>
            <c:bubble3D val="0"/>
            <c:explosion val="0"/>
            <c:spPr>
              <a:solidFill>
                <a:srgbClr val="C0504D">
                  <a:alpha val="100000"/>
                </a:srgbClr>
              </a:solidFill>
              <a:ln w="12700">
                <a:solidFill>
                  <a:srgbClr val="FFFFFF">
                    <a:alpha val="100000"/>
                  </a:srgbClr>
                </a:solidFill>
                <a:prstDash val="solid"/>
              </a:ln>
            </c:spPr>
          </c:dPt>
          <c:dPt>
            <c:idx val="2"/>
            <c:bubble3D val="0"/>
            <c:explosion val="0"/>
            <c:spPr>
              <a:solidFill>
                <a:srgbClr val="9BBB59">
                  <a:alpha val="100000"/>
                </a:srgbClr>
              </a:solidFill>
              <a:ln w="12700">
                <a:solidFill>
                  <a:srgbClr val="FFFFFF">
                    <a:alpha val="100000"/>
                  </a:srgbClr>
                </a:solidFill>
                <a:prstDash val="solid"/>
              </a:ln>
            </c:spPr>
          </c:dPt>
          <c:dPt>
            <c:idx val="3"/>
            <c:bubble3D val="0"/>
            <c:explosion val="0"/>
            <c:spPr>
              <a:solidFill>
                <a:srgbClr val="8064A2">
                  <a:alpha val="100000"/>
                </a:srgbClr>
              </a:solidFill>
              <a:ln w="12700">
                <a:solidFill>
                  <a:srgbClr val="FFFFFF">
                    <a:alpha val="100000"/>
                  </a:srgbClr>
                </a:solidFill>
                <a:prstDash val="solid"/>
              </a:ln>
            </c:spPr>
          </c:dPt>
          <c:dPt>
            <c:idx val="4"/>
            <c:bubble3D val="0"/>
            <c:explosion val="0"/>
            <c:spPr>
              <a:solidFill>
                <a:srgbClr val="4BACC6">
                  <a:alpha val="100000"/>
                </a:srgbClr>
              </a:solidFill>
              <a:ln w="12700">
                <a:solidFill>
                  <a:srgbClr val="FFFFFF">
                    <a:alpha val="100000"/>
                  </a:srgbClr>
                </a:solidFill>
                <a:prstDash val="solid"/>
              </a:ln>
            </c:spPr>
          </c:dPt>
          <c:dPt>
            <c:idx val="5"/>
            <c:bubble3D val="0"/>
            <c:explosion val="0"/>
            <c:spPr>
              <a:solidFill>
                <a:srgbClr val="F79646">
                  <a:alpha val="100000"/>
                </a:srgbClr>
              </a:solidFill>
              <a:ln w="3175">
                <a:noFill/>
              </a:ln>
            </c:spPr>
          </c:dPt>
          <c:dPt>
            <c:idx val="6"/>
            <c:bubble3D val="0"/>
            <c:explosion val="0"/>
            <c:spPr>
              <a:solidFill>
                <a:srgbClr val="4F81BD">
                  <a:alpha val="100000"/>
                </a:srgbClr>
              </a:solidFill>
              <a:ln w="3175">
                <a:noFill/>
              </a:ln>
            </c:spPr>
          </c:dPt>
          <c:dPt>
            <c:idx val="7"/>
            <c:bubble3D val="0"/>
            <c:explosion val="0"/>
            <c:spPr>
              <a:solidFill>
                <a:srgbClr val="4F81BD">
                  <a:alpha val="100000"/>
                </a:srgbClr>
              </a:solidFill>
              <a:ln w="3175">
                <a:noFill/>
              </a:ln>
            </c:spPr>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mn-cs"/>
                    <a:ea typeface="+mn-cs"/>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[决算公开饼状图.et]Sheet1!$B$86:$I$86</c:f>
              <c:strCache>
                <c:ptCount val="8"/>
                <c:pt idx="0">
                  <c:v>一般公共服务（类）支出</c:v>
                </c:pt>
                <c:pt idx="1">
                  <c:v>城乡社区支出</c:v>
                </c:pt>
                <c:pt idx="2">
                  <c:v>社会保障和就业（类）支出</c:v>
                </c:pt>
                <c:pt idx="3">
                  <c:v>卫生健康支出</c:v>
                </c:pt>
                <c:pt idx="4">
                  <c:v>住房保障支出</c:v>
                </c:pt>
              </c:strCache>
            </c:strRef>
          </c:cat>
          <c:val>
            <c:numRef>
              <c:f>[决算公开饼状图.et]Sheet1!$B$87:$I$87</c:f>
              <c:numCache>
                <c:formatCode>General</c:formatCode>
                <c:ptCount val="8"/>
                <c:pt idx="0">
                  <c:v>1747.02</c:v>
                </c:pt>
                <c:pt idx="1" c:formatCode="#,##0.00">
                  <c:v>0</c:v>
                </c:pt>
                <c:pt idx="2">
                  <c:v>107.76</c:v>
                </c:pt>
                <c:pt idx="3">
                  <c:v>38.48</c:v>
                </c:pt>
                <c:pt idx="4">
                  <c:v>120.29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t"/>
      <c:legendEntry>
        <c:idx val="0"/>
        <c:txPr>
          <a:bodyPr rot="0" spcFirstLastPara="0" vertOverflow="ellipsis" vert="horz" wrap="square" anchor="ctr" anchorCtr="1"/>
          <a:lstStyle/>
          <a:p>
            <a:pPr>
              <a:defRPr lang="zh-CN" sz="900" b="0" i="0" u="none" strike="noStrike" kern="1200" baseline="0">
                <a:solidFill>
                  <a:srgbClr val="000000">
                    <a:alpha val="100000"/>
                  </a:srgbClr>
                </a:solidFill>
                <a:latin typeface="+mn-cs"/>
                <a:ea typeface="+mn-cs"/>
                <a:cs typeface="+mn-cs"/>
              </a:defRPr>
            </a:pPr>
          </a:p>
        </c:txPr>
      </c:legendEntry>
      <c:legendEntry>
        <c:idx val="1"/>
        <c:txPr>
          <a:bodyPr rot="0" spcFirstLastPara="0" vertOverflow="ellipsis" vert="horz" wrap="square" anchor="ctr" anchorCtr="1"/>
          <a:lstStyle/>
          <a:p>
            <a:pPr>
              <a:defRPr lang="zh-CN" sz="900" b="0" i="0" u="none" strike="noStrike" kern="1200" baseline="0">
                <a:solidFill>
                  <a:srgbClr val="000000">
                    <a:alpha val="100000"/>
                  </a:srgbClr>
                </a:solidFill>
                <a:latin typeface="+mn-cs"/>
                <a:ea typeface="+mn-cs"/>
                <a:cs typeface="+mn-cs"/>
              </a:defRPr>
            </a:pPr>
          </a:p>
        </c:txPr>
      </c:legendEntry>
      <c:legendEntry>
        <c:idx val="2"/>
        <c:txPr>
          <a:bodyPr rot="0" spcFirstLastPara="0" vertOverflow="ellipsis" vert="horz" wrap="square" anchor="ctr" anchorCtr="1"/>
          <a:lstStyle/>
          <a:p>
            <a:pPr>
              <a:defRPr lang="zh-CN" sz="900" b="0" i="0" u="none" strike="noStrike" kern="1200" baseline="0">
                <a:solidFill>
                  <a:srgbClr val="000000">
                    <a:alpha val="100000"/>
                  </a:srgbClr>
                </a:solidFill>
                <a:latin typeface="+mn-cs"/>
                <a:ea typeface="+mn-cs"/>
                <a:cs typeface="+mn-cs"/>
              </a:defRPr>
            </a:pPr>
          </a:p>
        </c:txPr>
      </c:legendEntry>
      <c:layout>
        <c:manualLayout>
          <c:xMode val="edge"/>
          <c:yMode val="edge"/>
          <c:x val="0.0209567198177677"/>
          <c:y val="0.0985324947589098"/>
          <c:w val="0.955808656036446"/>
          <c:h val="0.310272536687631"/>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000000">
                  <a:alpha val="100000"/>
                </a:srgbClr>
              </a:solidFill>
              <a:latin typeface="+mn-cs"/>
              <a:ea typeface="+mn-cs"/>
              <a:cs typeface="+mn-cs"/>
            </a:defRPr>
          </a:pPr>
        </a:p>
      </c:txPr>
    </c:legend>
    <c:plotVisOnly val="1"/>
    <c:dispBlanksAs val="zero"/>
    <c:showDLblsOverMax val="0"/>
    <c:extLst>
      <c:ext uri="{0b15fc19-7d7d-44ad-8c2d-2c3a37ce22c3}">
        <chartProps xmlns="https://web.wps.cn/et/2018/main" chartId="{1c4d9119-8392-45c7-bc92-54dbc8872dea}"/>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3175">
          <a:noFill/>
        </a:ln>
      </c:spPr>
      <c:txPr>
        <a:bodyPr rot="0" spcFirstLastPara="0" vertOverflow="ellipsis" vert="horz" wrap="square" anchor="ctr" anchorCtr="1"/>
        <a:lstStyle/>
        <a:p>
          <a:pPr>
            <a:defRPr lang="zh-CN" sz="1400" b="1" i="0" u="none" strike="noStrike" kern="1200" baseline="0">
              <a:solidFill>
                <a:srgbClr val="333333">
                  <a:alpha val="100000"/>
                </a:srgbClr>
              </a:solidFill>
              <a:latin typeface="+mn-cs"/>
              <a:ea typeface="+mn-cs"/>
              <a:cs typeface="+mn-cs"/>
            </a:defRPr>
          </a:pPr>
        </a:p>
      </c:txPr>
    </c:title>
    <c:autoTitleDeleted val="0"/>
    <c:plotArea>
      <c:layout/>
      <c:pieChart>
        <c:varyColors val="1"/>
        <c:ser>
          <c:idx val="0"/>
          <c:order val="0"/>
          <c:tx>
            <c:strRef>
              <c:f>[决算公开饼状图.et]Sheet1!$A$118</c:f>
              <c:strCache>
                <c:ptCount val="1"/>
                <c:pt idx="0">
                  <c:v>“三公”经费财政拨款支出结构</c:v>
                </c:pt>
              </c:strCache>
            </c:strRef>
          </c:tx>
          <c:spPr>
            <a:solidFill>
              <a:srgbClr val="4F81BD">
                <a:alpha val="100000"/>
              </a:srgbClr>
            </a:solidFill>
            <a:ln w="3175">
              <a:noFill/>
            </a:ln>
          </c:spPr>
          <c:explosion val="0"/>
          <c:dPt>
            <c:idx val="0"/>
            <c:bubble3D val="0"/>
            <c:explosion val="0"/>
            <c:spPr>
              <a:solidFill>
                <a:srgbClr val="4F81BD">
                  <a:alpha val="100000"/>
                </a:srgbClr>
              </a:solidFill>
              <a:ln w="12700">
                <a:solidFill>
                  <a:srgbClr val="FFFFFF">
                    <a:alpha val="100000"/>
                  </a:srgbClr>
                </a:solidFill>
                <a:prstDash val="solid"/>
              </a:ln>
            </c:spPr>
          </c:dPt>
          <c:dPt>
            <c:idx val="1"/>
            <c:bubble3D val="0"/>
            <c:explosion val="0"/>
            <c:spPr>
              <a:solidFill>
                <a:srgbClr val="C0504D">
                  <a:alpha val="100000"/>
                </a:srgbClr>
              </a:solidFill>
              <a:ln w="12700">
                <a:solidFill>
                  <a:srgbClr val="FFFFFF">
                    <a:alpha val="100000"/>
                  </a:srgbClr>
                </a:solidFill>
                <a:prstDash val="solid"/>
              </a:ln>
            </c:spPr>
          </c:dPt>
          <c:dPt>
            <c:idx val="2"/>
            <c:bubble3D val="0"/>
            <c:explosion val="0"/>
            <c:spPr>
              <a:solidFill>
                <a:srgbClr val="9BBB59">
                  <a:alpha val="100000"/>
                </a:srgbClr>
              </a:solidFill>
              <a:ln w="12700">
                <a:solidFill>
                  <a:srgbClr val="FFFFFF">
                    <a:alpha val="100000"/>
                  </a:srgbClr>
                </a:solidFill>
                <a:prstDash val="solid"/>
              </a:ln>
            </c:spPr>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mn-cs"/>
                    <a:ea typeface="+mn-cs"/>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[决算公开饼状图.et]Sheet1!$B$117:$D$117</c:f>
              <c:strCache>
                <c:ptCount val="3"/>
                <c:pt idx="0">
                  <c:v>公务接待费0.39万元</c:v>
                </c:pt>
                <c:pt idx="1">
                  <c:v>因公出国（境）费0万元</c:v>
                </c:pt>
                <c:pt idx="2">
                  <c:v>公务用车购置及运行维护费0万元</c:v>
                </c:pt>
              </c:strCache>
            </c:strRef>
          </c:cat>
          <c:val>
            <c:numRef>
              <c:f>[决算公开饼状图.et]Sheet1!$B$118:$D$118</c:f>
              <c:numCache>
                <c:formatCode>General</c:formatCode>
                <c:ptCount val="3"/>
                <c:pt idx="0">
                  <c:v>0.39</c:v>
                </c:pt>
                <c:pt idx="1">
                  <c:v>0</c:v>
                </c:pt>
                <c:pt idx="2">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35"/>
          <c:y val="0.41225"/>
          <c:w val="0.3395"/>
          <c:h val="0.333"/>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mn-cs"/>
              <a:ea typeface="+mn-cs"/>
              <a:cs typeface="+mn-cs"/>
            </a:defRPr>
          </a:pPr>
        </a:p>
      </c:txPr>
    </c:legend>
    <c:plotVisOnly val="1"/>
    <c:dispBlanksAs val="zero"/>
    <c:showDLblsOverMax val="0"/>
    <c:extLst>
      <c:ext uri="{0b15fc19-7d7d-44ad-8c2d-2c3a37ce22c3}">
        <chartProps xmlns="https://web.wps.cn/et/2018/main" chartId="{a325d934-01bc-47d5-a466-a0aaec7447c4}"/>
      </c:ext>
    </c:extLst>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2500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6232</Words>
  <Characters>7736</Characters>
  <Lines>61</Lines>
  <Paragraphs>17</Paragraphs>
  <TotalTime>1</TotalTime>
  <ScaleCrop>false</ScaleCrop>
  <LinksUpToDate>false</LinksUpToDate>
  <CharactersWithSpaces>7770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超越（陈波）</cp:lastModifiedBy>
  <cp:lastPrinted>2023-07-31T02:35:00Z</cp:lastPrinted>
  <dcterms:modified xsi:type="dcterms:W3CDTF">2024-10-24T03:31:59Z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3333AC6CFA9B4C59B9CD1D2254E01025_12</vt:lpwstr>
  </property>
</Properties>
</file>