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72F55">
      <w:pPr>
        <w:spacing w:line="600" w:lineRule="exact"/>
        <w:jc w:val="left"/>
        <w:outlineLvl w:val="0"/>
        <w:rPr>
          <w:rFonts w:ascii="方正小标宋简体" w:hAnsi="宋体" w:eastAsia="方正小标宋简体"/>
          <w:szCs w:val="21"/>
          <w:highlight w:val="none"/>
        </w:rPr>
      </w:pPr>
      <w:bookmarkStart w:id="0" w:name="_Toc15306267"/>
    </w:p>
    <w:p w14:paraId="39A9BB82">
      <w:pPr>
        <w:pStyle w:val="2"/>
        <w:spacing w:before="93"/>
        <w:rPr>
          <w:highlight w:val="none"/>
        </w:rPr>
      </w:pPr>
    </w:p>
    <w:p w14:paraId="4405AE95">
      <w:pPr>
        <w:spacing w:line="600" w:lineRule="exact"/>
        <w:jc w:val="center"/>
        <w:outlineLvl w:val="0"/>
        <w:rPr>
          <w:rFonts w:ascii="方正小标宋简体" w:hAnsi="宋体" w:eastAsia="方正小标宋简体"/>
          <w:sz w:val="72"/>
          <w:szCs w:val="72"/>
          <w:highlight w:val="none"/>
        </w:rPr>
      </w:pPr>
    </w:p>
    <w:p w14:paraId="2137B931">
      <w:pPr>
        <w:spacing w:line="600" w:lineRule="exact"/>
        <w:jc w:val="center"/>
        <w:outlineLvl w:val="0"/>
        <w:rPr>
          <w:rFonts w:ascii="方正小标宋简体" w:hAnsi="宋体" w:eastAsia="方正小标宋简体"/>
          <w:sz w:val="72"/>
          <w:szCs w:val="72"/>
          <w:highlight w:val="none"/>
        </w:rPr>
      </w:pPr>
    </w:p>
    <w:p w14:paraId="0D64EF52">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bookmarkStart w:id="1" w:name="_Toc15396597"/>
      <w:bookmarkStart w:id="2" w:name="_Toc15378441"/>
      <w:bookmarkStart w:id="3" w:name="_Toc15377425"/>
      <w:bookmarkStart w:id="4" w:name="_Toc15396475"/>
      <w:bookmarkStart w:id="5" w:name="_Toc15377193"/>
      <w:r>
        <w:rPr>
          <w:rFonts w:hint="eastAsia" w:ascii="方正小标宋简体" w:hAnsi="方正小标宋简体" w:eastAsia="方正小标宋简体" w:cs="方正小标宋简体"/>
          <w:sz w:val="72"/>
          <w:szCs w:val="72"/>
          <w:highlight w:val="none"/>
        </w:rPr>
        <w:t>2023年度</w:t>
      </w:r>
      <w:bookmarkEnd w:id="1"/>
      <w:bookmarkEnd w:id="2"/>
      <w:bookmarkEnd w:id="3"/>
      <w:bookmarkEnd w:id="4"/>
      <w:bookmarkEnd w:id="5"/>
    </w:p>
    <w:bookmarkEnd w:id="0"/>
    <w:p w14:paraId="0D25166B">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96476"/>
      <w:bookmarkStart w:id="8" w:name="_Toc15377426"/>
      <w:bookmarkStart w:id="9" w:name="_Toc15396598"/>
      <w:bookmarkStart w:id="10" w:name="_Toc15378442"/>
      <w:r>
        <w:rPr>
          <w:rFonts w:hint="eastAsia" w:ascii="方正小标宋简体" w:hAnsi="方正小标宋简体" w:eastAsia="方正小标宋简体" w:cs="方正小标宋简体"/>
          <w:color w:val="auto"/>
          <w:sz w:val="72"/>
          <w:szCs w:val="72"/>
          <w:highlight w:val="none"/>
          <w:lang w:eastAsia="zh-CN"/>
        </w:rPr>
        <w:t>大竹县</w:t>
      </w:r>
      <w:bookmarkStart w:id="11" w:name="_Toc15306268"/>
      <w:r>
        <w:rPr>
          <w:rFonts w:hint="eastAsia" w:ascii="方正小标宋简体" w:hAnsi="方正小标宋简体" w:eastAsia="方正小标宋简体" w:cs="方正小标宋简体"/>
          <w:color w:val="auto"/>
          <w:sz w:val="72"/>
          <w:szCs w:val="72"/>
          <w:highlight w:val="none"/>
          <w:lang w:eastAsia="zh-CN"/>
        </w:rPr>
        <w:t>商务局</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16E7A138">
      <w:pPr>
        <w:widowControl/>
        <w:jc w:val="center"/>
        <w:rPr>
          <w:rFonts w:ascii="黑体" w:hAnsi="黑体" w:eastAsia="黑体"/>
          <w:sz w:val="48"/>
          <w:szCs w:val="48"/>
          <w:highlight w:val="none"/>
        </w:rPr>
      </w:pPr>
      <w:r>
        <w:rPr>
          <w:rFonts w:ascii="方正小标宋简体" w:hAnsi="宋体" w:eastAsia="方正小标宋简体"/>
          <w:sz w:val="36"/>
          <w:szCs w:val="36"/>
          <w:highlight w:val="none"/>
        </w:rPr>
        <w:br w:type="page"/>
      </w:r>
      <w:r>
        <w:rPr>
          <w:rFonts w:hint="eastAsia" w:ascii="黑体" w:hAnsi="黑体" w:eastAsia="黑体"/>
          <w:sz w:val="48"/>
          <w:szCs w:val="48"/>
          <w:highlight w:val="none"/>
        </w:rPr>
        <w:t>目录</w:t>
      </w:r>
    </w:p>
    <w:p w14:paraId="2B685360">
      <w:pPr>
        <w:widowControl/>
        <w:jc w:val="center"/>
        <w:rPr>
          <w:rFonts w:ascii="黑体" w:hAnsi="黑体" w:eastAsia="黑体" w:cstheme="minorBidi"/>
          <w:color w:val="auto"/>
          <w:sz w:val="28"/>
          <w:szCs w:val="28"/>
          <w:highlight w:val="none"/>
        </w:rPr>
      </w:pPr>
    </w:p>
    <w:p w14:paraId="3DFAAB1F">
      <w:pPr>
        <w:pStyle w:val="11"/>
        <w:rPr>
          <w:rFonts w:hint="default" w:eastAsia="仿宋"/>
          <w:color w:val="auto"/>
          <w:highlight w:val="none"/>
          <w:lang w:val="en-US" w:eastAsia="zh-CN"/>
        </w:rPr>
      </w:pPr>
      <w:r>
        <w:rPr>
          <w:rFonts w:hint="eastAsia"/>
          <w:color w:val="auto"/>
          <w:highlight w:val="none"/>
        </w:rPr>
        <w:t>公开时间：202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65E59E2D">
      <w:pPr>
        <w:rPr>
          <w:highlight w:val="none"/>
        </w:rPr>
      </w:pPr>
    </w:p>
    <w:p w14:paraId="0315B9FC">
      <w:pPr>
        <w:pStyle w:val="11"/>
        <w:adjustRightInd w:val="0"/>
        <w:snapToGrid w:val="0"/>
        <w:spacing w:before="0" w:line="440" w:lineRule="exact"/>
        <w:jc w:val="left"/>
        <w:rPr>
          <w:rFonts w:cstheme="minorBidi"/>
          <w:sz w:val="24"/>
          <w:szCs w:val="24"/>
          <w:highlight w:val="none"/>
        </w:rPr>
      </w:pPr>
      <w:r>
        <w:rPr>
          <w:rFonts w:hint="eastAsia"/>
          <w:sz w:val="24"/>
          <w:highlight w:val="none"/>
        </w:rPr>
        <w:t>第一部分</w:t>
      </w:r>
      <w:r>
        <w:rPr>
          <w:sz w:val="24"/>
          <w:highlight w:val="none"/>
        </w:rPr>
        <w:t xml:space="preserve"> </w:t>
      </w:r>
      <w:r>
        <w:rPr>
          <w:rFonts w:hint="eastAsia"/>
          <w:sz w:val="24"/>
          <w:highlight w:val="none"/>
        </w:rPr>
        <w:t>单位概况</w:t>
      </w:r>
    </w:p>
    <w:p w14:paraId="6B9DEADB">
      <w:pPr>
        <w:pStyle w:val="12"/>
        <w:adjustRightInd w:val="0"/>
        <w:snapToGrid w:val="0"/>
        <w:spacing w:line="440" w:lineRule="exact"/>
        <w:jc w:val="left"/>
        <w:rPr>
          <w:sz w:val="24"/>
          <w:highlight w:val="none"/>
        </w:rPr>
      </w:pPr>
      <w:r>
        <w:rPr>
          <w:rFonts w:hint="eastAsia"/>
          <w:sz w:val="24"/>
          <w:highlight w:val="none"/>
        </w:rPr>
        <w:t>一、主要职责</w:t>
      </w:r>
    </w:p>
    <w:p w14:paraId="2553E06C">
      <w:pPr>
        <w:pStyle w:val="12"/>
        <w:adjustRightInd w:val="0"/>
        <w:snapToGrid w:val="0"/>
        <w:spacing w:line="440" w:lineRule="exact"/>
        <w:jc w:val="left"/>
        <w:rPr>
          <w:highlight w:val="none"/>
        </w:rPr>
      </w:pPr>
      <w:r>
        <w:rPr>
          <w:rFonts w:hint="eastAsia"/>
          <w:sz w:val="24"/>
          <w:highlight w:val="none"/>
        </w:rPr>
        <w:t>二、机构设置</w:t>
      </w:r>
    </w:p>
    <w:p w14:paraId="609ECB7D">
      <w:pPr>
        <w:pStyle w:val="11"/>
        <w:adjustRightInd w:val="0"/>
        <w:snapToGrid w:val="0"/>
        <w:spacing w:before="0" w:line="440" w:lineRule="exact"/>
        <w:jc w:val="left"/>
        <w:rPr>
          <w:sz w:val="24"/>
          <w:szCs w:val="24"/>
          <w:highlight w:val="none"/>
        </w:rPr>
      </w:pPr>
      <w:r>
        <w:rPr>
          <w:rFonts w:hint="eastAsia"/>
          <w:sz w:val="24"/>
          <w:highlight w:val="none"/>
        </w:rPr>
        <w:t>第二部分 2023年度单位决算情况说明</w:t>
      </w:r>
    </w:p>
    <w:p w14:paraId="5307DDBE">
      <w:pPr>
        <w:pStyle w:val="12"/>
        <w:adjustRightInd w:val="0"/>
        <w:snapToGrid w:val="0"/>
        <w:spacing w:line="440" w:lineRule="exact"/>
        <w:jc w:val="left"/>
        <w:rPr>
          <w:rFonts w:ascii="仿宋" w:hAnsi="仿宋" w:eastAsia="仿宋" w:cstheme="minorBidi"/>
          <w:sz w:val="24"/>
          <w:highlight w:val="none"/>
        </w:rPr>
      </w:pPr>
      <w:r>
        <w:rPr>
          <w:rFonts w:hint="eastAsia"/>
          <w:sz w:val="24"/>
          <w:highlight w:val="none"/>
        </w:rPr>
        <w:t>一、收入支出决算总体情况说明</w:t>
      </w:r>
    </w:p>
    <w:p w14:paraId="01C7F84F">
      <w:pPr>
        <w:pStyle w:val="12"/>
        <w:adjustRightInd w:val="0"/>
        <w:snapToGrid w:val="0"/>
        <w:spacing w:line="440" w:lineRule="exact"/>
        <w:jc w:val="left"/>
        <w:rPr>
          <w:rFonts w:ascii="仿宋" w:hAnsi="仿宋" w:eastAsia="仿宋" w:cstheme="minorBidi"/>
          <w:sz w:val="24"/>
          <w:highlight w:val="none"/>
        </w:rPr>
      </w:pPr>
      <w:r>
        <w:rPr>
          <w:rFonts w:hint="eastAsia"/>
          <w:sz w:val="24"/>
          <w:highlight w:val="none"/>
        </w:rPr>
        <w:t>二、收入决算情况说明</w:t>
      </w:r>
    </w:p>
    <w:p w14:paraId="2A85C4A0">
      <w:pPr>
        <w:pStyle w:val="12"/>
        <w:adjustRightInd w:val="0"/>
        <w:snapToGrid w:val="0"/>
        <w:spacing w:line="440" w:lineRule="exact"/>
        <w:jc w:val="left"/>
        <w:rPr>
          <w:rFonts w:ascii="仿宋" w:hAnsi="仿宋" w:eastAsia="仿宋" w:cstheme="minorBidi"/>
          <w:sz w:val="24"/>
          <w:highlight w:val="none"/>
        </w:rPr>
      </w:pPr>
      <w:r>
        <w:rPr>
          <w:rFonts w:hint="eastAsia"/>
          <w:sz w:val="24"/>
          <w:highlight w:val="none"/>
        </w:rPr>
        <w:t>三、支出决算情况说明</w:t>
      </w:r>
    </w:p>
    <w:p w14:paraId="275CCC9D">
      <w:pPr>
        <w:pStyle w:val="12"/>
        <w:adjustRightInd w:val="0"/>
        <w:snapToGrid w:val="0"/>
        <w:spacing w:line="440" w:lineRule="exact"/>
        <w:jc w:val="left"/>
        <w:rPr>
          <w:rFonts w:ascii="仿宋" w:hAnsi="仿宋" w:eastAsia="仿宋" w:cstheme="minorBidi"/>
          <w:sz w:val="24"/>
          <w:highlight w:val="none"/>
        </w:rPr>
      </w:pPr>
      <w:r>
        <w:rPr>
          <w:rFonts w:hint="eastAsia"/>
          <w:sz w:val="24"/>
          <w:highlight w:val="none"/>
        </w:rPr>
        <w:t>四、财政拨款收入支出决算总体情况说明</w:t>
      </w:r>
    </w:p>
    <w:p w14:paraId="7EAD0C8F">
      <w:pPr>
        <w:pStyle w:val="12"/>
        <w:adjustRightInd w:val="0"/>
        <w:snapToGrid w:val="0"/>
        <w:spacing w:line="440" w:lineRule="exact"/>
        <w:jc w:val="left"/>
        <w:rPr>
          <w:rFonts w:ascii="仿宋" w:hAnsi="仿宋" w:eastAsia="仿宋" w:cstheme="minorBidi"/>
          <w:sz w:val="24"/>
          <w:highlight w:val="none"/>
        </w:rPr>
      </w:pPr>
      <w:r>
        <w:rPr>
          <w:rFonts w:hint="eastAsia"/>
          <w:sz w:val="24"/>
          <w:highlight w:val="none"/>
        </w:rPr>
        <w:t>五、一般公共预算财政拨款支出决算情况说明</w:t>
      </w:r>
    </w:p>
    <w:p w14:paraId="12F686EF">
      <w:pPr>
        <w:pStyle w:val="12"/>
        <w:adjustRightInd w:val="0"/>
        <w:snapToGrid w:val="0"/>
        <w:spacing w:line="440" w:lineRule="exact"/>
        <w:jc w:val="left"/>
        <w:rPr>
          <w:rFonts w:ascii="仿宋" w:hAnsi="仿宋" w:eastAsia="仿宋" w:cstheme="minorBidi"/>
          <w:sz w:val="24"/>
          <w:highlight w:val="none"/>
        </w:rPr>
      </w:pPr>
      <w:r>
        <w:rPr>
          <w:rFonts w:hint="eastAsia"/>
          <w:sz w:val="24"/>
          <w:highlight w:val="none"/>
        </w:rPr>
        <w:t>六、一般公共预算财政拨款基本支出决算情况说明</w:t>
      </w:r>
    </w:p>
    <w:p w14:paraId="7FCE2D38">
      <w:pPr>
        <w:pStyle w:val="12"/>
        <w:adjustRightInd w:val="0"/>
        <w:snapToGrid w:val="0"/>
        <w:spacing w:line="440" w:lineRule="exact"/>
        <w:jc w:val="left"/>
        <w:rPr>
          <w:rFonts w:ascii="仿宋" w:hAnsi="仿宋" w:eastAsia="仿宋" w:cstheme="minorBidi"/>
          <w:sz w:val="24"/>
          <w:highlight w:val="none"/>
        </w:rPr>
      </w:pPr>
      <w:r>
        <w:rPr>
          <w:rFonts w:hint="eastAsia"/>
          <w:sz w:val="24"/>
          <w:highlight w:val="none"/>
        </w:rPr>
        <w:t>七、财政拨款“三公”经费支出决算情况说明</w:t>
      </w:r>
    </w:p>
    <w:p w14:paraId="73DE88C9">
      <w:pPr>
        <w:pStyle w:val="12"/>
        <w:adjustRightInd w:val="0"/>
        <w:snapToGrid w:val="0"/>
        <w:spacing w:line="440" w:lineRule="exact"/>
        <w:jc w:val="left"/>
        <w:rPr>
          <w:rFonts w:ascii="仿宋" w:hAnsi="仿宋" w:eastAsia="仿宋" w:cstheme="minorBidi"/>
          <w:sz w:val="24"/>
          <w:highlight w:val="none"/>
        </w:rPr>
      </w:pPr>
      <w:r>
        <w:rPr>
          <w:rFonts w:hint="eastAsia"/>
          <w:sz w:val="24"/>
          <w:highlight w:val="none"/>
        </w:rPr>
        <w:t>八、政府性基金预算支出决算情况说明</w:t>
      </w:r>
    </w:p>
    <w:p w14:paraId="55DA48B1">
      <w:pPr>
        <w:pStyle w:val="12"/>
        <w:adjustRightInd w:val="0"/>
        <w:snapToGrid w:val="0"/>
        <w:spacing w:line="440" w:lineRule="exact"/>
        <w:jc w:val="left"/>
        <w:rPr>
          <w:sz w:val="24"/>
          <w:highlight w:val="none"/>
        </w:rPr>
      </w:pPr>
      <w:r>
        <w:rPr>
          <w:rFonts w:hint="eastAsia"/>
          <w:sz w:val="24"/>
          <w:highlight w:val="none"/>
        </w:rPr>
        <w:t>九、国有资本经营预算支出决算情况说明</w:t>
      </w:r>
    </w:p>
    <w:p w14:paraId="38316CA7">
      <w:pPr>
        <w:pStyle w:val="12"/>
        <w:adjustRightInd w:val="0"/>
        <w:snapToGrid w:val="0"/>
        <w:spacing w:line="440" w:lineRule="exact"/>
        <w:jc w:val="left"/>
        <w:rPr>
          <w:sz w:val="24"/>
          <w:highlight w:val="none"/>
        </w:rPr>
      </w:pPr>
      <w:r>
        <w:rPr>
          <w:rFonts w:hint="eastAsia"/>
          <w:sz w:val="24"/>
          <w:highlight w:val="none"/>
        </w:rPr>
        <w:t>十、其他重要事项的情况说明</w:t>
      </w:r>
    </w:p>
    <w:p w14:paraId="008636BD">
      <w:pPr>
        <w:pStyle w:val="11"/>
        <w:adjustRightInd w:val="0"/>
        <w:snapToGrid w:val="0"/>
        <w:spacing w:before="0" w:line="440" w:lineRule="exact"/>
        <w:jc w:val="left"/>
        <w:rPr>
          <w:rFonts w:cstheme="minorBidi"/>
          <w:sz w:val="24"/>
          <w:szCs w:val="24"/>
          <w:highlight w:val="none"/>
        </w:rPr>
      </w:pPr>
      <w:r>
        <w:rPr>
          <w:rFonts w:hint="eastAsia"/>
          <w:sz w:val="24"/>
          <w:highlight w:val="none"/>
        </w:rPr>
        <w:t>第三部分</w:t>
      </w:r>
      <w:r>
        <w:rPr>
          <w:sz w:val="24"/>
          <w:highlight w:val="none"/>
        </w:rPr>
        <w:t xml:space="preserve"> </w:t>
      </w:r>
      <w:r>
        <w:rPr>
          <w:rFonts w:hint="eastAsia"/>
          <w:sz w:val="24"/>
          <w:highlight w:val="none"/>
        </w:rPr>
        <w:t>名词解释</w:t>
      </w:r>
    </w:p>
    <w:p w14:paraId="3443C1B9">
      <w:pPr>
        <w:pStyle w:val="11"/>
        <w:adjustRightInd w:val="0"/>
        <w:snapToGrid w:val="0"/>
        <w:spacing w:before="0" w:line="440" w:lineRule="exact"/>
        <w:jc w:val="left"/>
        <w:rPr>
          <w:rFonts w:cstheme="minorBidi"/>
          <w:sz w:val="24"/>
          <w:szCs w:val="24"/>
          <w:highlight w:val="none"/>
        </w:rPr>
      </w:pPr>
      <w:r>
        <w:rPr>
          <w:rFonts w:hint="eastAsia"/>
          <w:sz w:val="24"/>
          <w:highlight w:val="none"/>
        </w:rPr>
        <w:t>第四部分</w:t>
      </w:r>
      <w:r>
        <w:rPr>
          <w:sz w:val="24"/>
          <w:highlight w:val="none"/>
        </w:rPr>
        <w:t xml:space="preserve"> </w:t>
      </w:r>
      <w:r>
        <w:rPr>
          <w:rFonts w:hint="eastAsia"/>
          <w:sz w:val="24"/>
          <w:highlight w:val="none"/>
        </w:rPr>
        <w:t>附件</w:t>
      </w:r>
    </w:p>
    <w:p w14:paraId="694A3B8A">
      <w:pPr>
        <w:pStyle w:val="11"/>
        <w:adjustRightInd w:val="0"/>
        <w:snapToGrid w:val="0"/>
        <w:spacing w:before="0" w:line="440" w:lineRule="exact"/>
        <w:jc w:val="left"/>
        <w:rPr>
          <w:rFonts w:cstheme="minorBidi"/>
          <w:sz w:val="24"/>
          <w:szCs w:val="24"/>
          <w:highlight w:val="none"/>
        </w:rPr>
      </w:pPr>
      <w:r>
        <w:rPr>
          <w:rFonts w:hint="eastAsia"/>
          <w:sz w:val="24"/>
          <w:highlight w:val="none"/>
        </w:rPr>
        <w:t>第五部分</w:t>
      </w:r>
      <w:r>
        <w:rPr>
          <w:sz w:val="24"/>
          <w:highlight w:val="none"/>
        </w:rPr>
        <w:t xml:space="preserve"> </w:t>
      </w:r>
      <w:r>
        <w:rPr>
          <w:rFonts w:hint="eastAsia"/>
          <w:sz w:val="24"/>
          <w:highlight w:val="none"/>
        </w:rPr>
        <w:t>附表</w:t>
      </w:r>
    </w:p>
    <w:p w14:paraId="0513484C">
      <w:pPr>
        <w:pStyle w:val="12"/>
        <w:adjustRightInd w:val="0"/>
        <w:snapToGrid w:val="0"/>
        <w:spacing w:line="440" w:lineRule="exact"/>
        <w:jc w:val="left"/>
        <w:rPr>
          <w:sz w:val="24"/>
          <w:highlight w:val="none"/>
        </w:rPr>
      </w:pPr>
      <w:r>
        <w:rPr>
          <w:rFonts w:hint="eastAsia"/>
          <w:sz w:val="24"/>
          <w:highlight w:val="none"/>
        </w:rPr>
        <w:t>一、收入支出决算总表</w:t>
      </w:r>
    </w:p>
    <w:p w14:paraId="4E1A9227">
      <w:pPr>
        <w:pStyle w:val="12"/>
        <w:adjustRightInd w:val="0"/>
        <w:snapToGrid w:val="0"/>
        <w:spacing w:line="440" w:lineRule="exact"/>
        <w:jc w:val="left"/>
        <w:rPr>
          <w:sz w:val="24"/>
          <w:highlight w:val="none"/>
        </w:rPr>
      </w:pPr>
      <w:r>
        <w:rPr>
          <w:rFonts w:hint="eastAsia"/>
          <w:sz w:val="24"/>
          <w:highlight w:val="none"/>
        </w:rPr>
        <w:t>二、收入决算表</w:t>
      </w:r>
    </w:p>
    <w:p w14:paraId="5107849E">
      <w:pPr>
        <w:pStyle w:val="12"/>
        <w:adjustRightInd w:val="0"/>
        <w:snapToGrid w:val="0"/>
        <w:spacing w:line="440" w:lineRule="exact"/>
        <w:jc w:val="left"/>
        <w:rPr>
          <w:sz w:val="24"/>
          <w:highlight w:val="none"/>
        </w:rPr>
      </w:pPr>
      <w:r>
        <w:rPr>
          <w:rFonts w:hint="eastAsia"/>
          <w:sz w:val="24"/>
          <w:highlight w:val="none"/>
        </w:rPr>
        <w:t>三、支出决算表</w:t>
      </w:r>
    </w:p>
    <w:p w14:paraId="1A0F3456">
      <w:pPr>
        <w:pStyle w:val="12"/>
        <w:adjustRightInd w:val="0"/>
        <w:snapToGrid w:val="0"/>
        <w:spacing w:line="440" w:lineRule="exact"/>
        <w:jc w:val="left"/>
        <w:rPr>
          <w:sz w:val="24"/>
          <w:highlight w:val="none"/>
        </w:rPr>
      </w:pPr>
      <w:r>
        <w:rPr>
          <w:rFonts w:hint="eastAsia"/>
          <w:sz w:val="24"/>
          <w:highlight w:val="none"/>
        </w:rPr>
        <w:t>四、财政拨款收入支出决算总表</w:t>
      </w:r>
    </w:p>
    <w:p w14:paraId="44D79181">
      <w:pPr>
        <w:pStyle w:val="12"/>
        <w:adjustRightInd w:val="0"/>
        <w:snapToGrid w:val="0"/>
        <w:spacing w:line="440" w:lineRule="exact"/>
        <w:jc w:val="left"/>
        <w:rPr>
          <w:sz w:val="24"/>
          <w:highlight w:val="none"/>
        </w:rPr>
      </w:pPr>
      <w:r>
        <w:rPr>
          <w:rFonts w:hint="eastAsia"/>
          <w:sz w:val="24"/>
          <w:highlight w:val="none"/>
        </w:rPr>
        <w:t>五、财政拨款支出决算明细表</w:t>
      </w:r>
    </w:p>
    <w:p w14:paraId="0BF9CB58">
      <w:pPr>
        <w:pStyle w:val="12"/>
        <w:adjustRightInd w:val="0"/>
        <w:snapToGrid w:val="0"/>
        <w:spacing w:line="440" w:lineRule="exact"/>
        <w:jc w:val="left"/>
        <w:rPr>
          <w:sz w:val="24"/>
          <w:highlight w:val="none"/>
        </w:rPr>
      </w:pPr>
      <w:r>
        <w:rPr>
          <w:rFonts w:hint="eastAsia"/>
          <w:sz w:val="24"/>
          <w:highlight w:val="none"/>
        </w:rPr>
        <w:t>六、一般公共预算财政拨款支出决算表</w:t>
      </w:r>
    </w:p>
    <w:p w14:paraId="04621631">
      <w:pPr>
        <w:pStyle w:val="12"/>
        <w:adjustRightInd w:val="0"/>
        <w:snapToGrid w:val="0"/>
        <w:spacing w:line="440" w:lineRule="exact"/>
        <w:jc w:val="left"/>
        <w:rPr>
          <w:sz w:val="24"/>
          <w:highlight w:val="none"/>
        </w:rPr>
      </w:pPr>
      <w:r>
        <w:rPr>
          <w:rFonts w:hint="eastAsia"/>
          <w:sz w:val="24"/>
          <w:highlight w:val="none"/>
        </w:rPr>
        <w:t>七、一般公共预算财政拨款支出决算明细表</w:t>
      </w:r>
    </w:p>
    <w:p w14:paraId="76569560">
      <w:pPr>
        <w:pStyle w:val="12"/>
        <w:adjustRightInd w:val="0"/>
        <w:snapToGrid w:val="0"/>
        <w:spacing w:line="440" w:lineRule="exact"/>
        <w:jc w:val="left"/>
        <w:rPr>
          <w:sz w:val="24"/>
          <w:highlight w:val="none"/>
        </w:rPr>
      </w:pPr>
      <w:r>
        <w:rPr>
          <w:rFonts w:hint="eastAsia"/>
          <w:sz w:val="24"/>
          <w:highlight w:val="none"/>
        </w:rPr>
        <w:t>八、一般公共预算财政拨款基本支出决算明细表</w:t>
      </w:r>
    </w:p>
    <w:p w14:paraId="5FA8A09C">
      <w:pPr>
        <w:pStyle w:val="12"/>
        <w:adjustRightInd w:val="0"/>
        <w:snapToGrid w:val="0"/>
        <w:spacing w:line="440" w:lineRule="exact"/>
        <w:jc w:val="left"/>
        <w:rPr>
          <w:sz w:val="24"/>
          <w:highlight w:val="none"/>
        </w:rPr>
      </w:pPr>
      <w:r>
        <w:rPr>
          <w:rFonts w:hint="eastAsia"/>
          <w:sz w:val="24"/>
          <w:highlight w:val="none"/>
        </w:rPr>
        <w:t>九、一般公共预算财政拨款项目支出决算表</w:t>
      </w:r>
    </w:p>
    <w:p w14:paraId="2668EEBF">
      <w:pPr>
        <w:pStyle w:val="12"/>
        <w:adjustRightInd w:val="0"/>
        <w:snapToGrid w:val="0"/>
        <w:spacing w:line="440" w:lineRule="exact"/>
        <w:jc w:val="left"/>
        <w:rPr>
          <w:sz w:val="24"/>
          <w:highlight w:val="none"/>
        </w:rPr>
      </w:pPr>
      <w:r>
        <w:rPr>
          <w:rFonts w:hint="eastAsia"/>
          <w:sz w:val="24"/>
          <w:highlight w:val="none"/>
        </w:rPr>
        <w:t>十、政府性基金预算财政拨款收入支出决算表</w:t>
      </w:r>
    </w:p>
    <w:p w14:paraId="72080969">
      <w:pPr>
        <w:pStyle w:val="12"/>
        <w:adjustRightInd w:val="0"/>
        <w:snapToGrid w:val="0"/>
        <w:spacing w:line="440" w:lineRule="exact"/>
        <w:jc w:val="left"/>
        <w:rPr>
          <w:sz w:val="24"/>
          <w:highlight w:val="none"/>
        </w:rPr>
      </w:pPr>
      <w:r>
        <w:rPr>
          <w:rFonts w:hint="eastAsia"/>
          <w:sz w:val="24"/>
          <w:highlight w:val="none"/>
        </w:rPr>
        <w:t>十一、国有资本经营预算财政拨款收入支出决算表</w:t>
      </w:r>
    </w:p>
    <w:p w14:paraId="14E3A2CF">
      <w:pPr>
        <w:pStyle w:val="12"/>
        <w:adjustRightInd w:val="0"/>
        <w:snapToGrid w:val="0"/>
        <w:spacing w:line="440" w:lineRule="exact"/>
        <w:jc w:val="left"/>
        <w:rPr>
          <w:sz w:val="24"/>
          <w:highlight w:val="none"/>
        </w:rPr>
      </w:pPr>
      <w:r>
        <w:rPr>
          <w:rFonts w:hint="eastAsia"/>
          <w:sz w:val="24"/>
          <w:highlight w:val="none"/>
        </w:rPr>
        <w:t>十二、国有资本经营预算财政拨款支出决算表</w:t>
      </w:r>
    </w:p>
    <w:p w14:paraId="0A156FA8">
      <w:pPr>
        <w:pStyle w:val="12"/>
        <w:adjustRightInd w:val="0"/>
        <w:snapToGrid w:val="0"/>
        <w:spacing w:line="440" w:lineRule="exact"/>
        <w:jc w:val="left"/>
        <w:rPr>
          <w:sz w:val="24"/>
          <w:highlight w:val="none"/>
        </w:rPr>
      </w:pPr>
      <w:r>
        <w:rPr>
          <w:rFonts w:hint="eastAsia"/>
          <w:sz w:val="24"/>
          <w:highlight w:val="none"/>
        </w:rPr>
        <w:t>十三、财政拨款“三公”经费支出决算表</w:t>
      </w:r>
    </w:p>
    <w:p w14:paraId="47673500">
      <w:pPr>
        <w:widowControl/>
        <w:spacing w:line="440" w:lineRule="exact"/>
        <w:jc w:val="left"/>
        <w:rPr>
          <w:rFonts w:ascii="仿宋" w:hAnsi="仿宋" w:eastAsia="仿宋"/>
          <w:bCs/>
          <w:kern w:val="44"/>
          <w:sz w:val="24"/>
          <w:highlight w:val="none"/>
        </w:rPr>
      </w:pPr>
      <w:bookmarkStart w:id="12" w:name="_Toc15377196"/>
      <w:bookmarkStart w:id="13" w:name="_Toc15396599"/>
      <w:r>
        <w:rPr>
          <w:rFonts w:ascii="仿宋" w:hAnsi="仿宋" w:eastAsia="仿宋"/>
          <w:b/>
          <w:sz w:val="24"/>
          <w:highlight w:val="none"/>
        </w:rPr>
        <w:br w:type="page"/>
      </w:r>
    </w:p>
    <w:p w14:paraId="44395876">
      <w:pPr>
        <w:pStyle w:val="3"/>
        <w:jc w:val="center"/>
        <w:rPr>
          <w:rStyle w:val="27"/>
          <w:rFonts w:ascii="黑体" w:hAnsi="黑体" w:eastAsia="黑体"/>
          <w:b/>
          <w:bCs w:val="0"/>
          <w:highlight w:val="none"/>
        </w:rPr>
      </w:pPr>
      <w:r>
        <w:rPr>
          <w:rFonts w:hint="eastAsia" w:ascii="黑体" w:hAnsi="黑体" w:eastAsia="黑体"/>
          <w:b w:val="0"/>
          <w:highlight w:val="none"/>
        </w:rPr>
        <w:t>第一部分 单位</w:t>
      </w:r>
      <w:r>
        <w:rPr>
          <w:rStyle w:val="27"/>
          <w:rFonts w:hint="eastAsia" w:ascii="黑体" w:hAnsi="黑体" w:eastAsia="黑体"/>
          <w:b w:val="0"/>
          <w:bCs w:val="0"/>
          <w:highlight w:val="none"/>
        </w:rPr>
        <w:t>概况</w:t>
      </w:r>
      <w:bookmarkEnd w:id="12"/>
      <w:bookmarkEnd w:id="13"/>
    </w:p>
    <w:p w14:paraId="20C11E02">
      <w:pPr>
        <w:widowControl/>
        <w:jc w:val="left"/>
        <w:rPr>
          <w:rFonts w:ascii="黑体" w:eastAsia="黑体"/>
          <w:sz w:val="32"/>
          <w:szCs w:val="32"/>
          <w:highlight w:val="none"/>
        </w:rPr>
      </w:pPr>
    </w:p>
    <w:p w14:paraId="5ACB2E71">
      <w:pPr>
        <w:pStyle w:val="4"/>
        <w:numPr>
          <w:ilvl w:val="0"/>
          <w:numId w:val="1"/>
        </w:numPr>
        <w:rPr>
          <w:rStyle w:val="28"/>
          <w:rFonts w:ascii="黑体" w:hAnsi="黑体" w:eastAsia="黑体"/>
          <w:b w:val="0"/>
          <w:bCs w:val="0"/>
          <w:highlight w:val="none"/>
        </w:rPr>
      </w:pPr>
      <w:bookmarkStart w:id="14" w:name="_Toc15377197"/>
      <w:bookmarkStart w:id="15" w:name="_Toc15396600"/>
      <w:r>
        <w:rPr>
          <w:rStyle w:val="28"/>
          <w:rFonts w:hint="eastAsia" w:ascii="黑体" w:hAnsi="黑体" w:eastAsia="黑体"/>
          <w:b w:val="0"/>
          <w:bCs w:val="0"/>
          <w:highlight w:val="none"/>
        </w:rPr>
        <w:t>主要职责</w:t>
      </w:r>
    </w:p>
    <w:p w14:paraId="560AA4C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1.贯彻落实国家有关国内外贸易、外商投资</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法律、法规和方针、政策，拟订全县国内外贸易、外商投资和对外合作的法规、规章和实施细则，</w:t>
      </w:r>
      <w:r>
        <w:rPr>
          <w:rFonts w:hint="eastAsia" w:ascii="仿宋_GB2312" w:hAnsi="仿宋_GB2312" w:eastAsia="仿宋_GB2312" w:cs="仿宋_GB2312"/>
          <w:sz w:val="32"/>
          <w:szCs w:val="32"/>
          <w:highlight w:val="none"/>
          <w:lang w:eastAsia="zh-CN"/>
        </w:rPr>
        <w:t>制定</w:t>
      </w:r>
      <w:r>
        <w:rPr>
          <w:rFonts w:hint="eastAsia" w:ascii="仿宋_GB2312" w:hAnsi="仿宋_GB2312" w:eastAsia="仿宋_GB2312" w:cs="仿宋_GB2312"/>
          <w:sz w:val="32"/>
          <w:szCs w:val="32"/>
          <w:highlight w:val="none"/>
        </w:rPr>
        <w:t>全县商务发展规划、计划并组织实施。</w:t>
      </w:r>
    </w:p>
    <w:p w14:paraId="189E609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按要求承担全县服务业发展工作中组织实施的协调职责，推进流通产业结构调整，加快第三方物流发展，指导流通体制改革、商贸服务业和社区商业发展，提出促进商贸企业发展的政策建议，商业特许经营、物流配送、电子商务等现代流通方式的发展。</w:t>
      </w:r>
    </w:p>
    <w:p w14:paraId="1DA5E58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研究提出引导国内外资金投向市场体系建设的政策，编制大宗产品批发市场规划，组织实施城市商业网点规划和商业体系建设工作，推进农村市场体系建设，组织实施农村现代流通网络工程，促进城乡市场一体化发展。</w:t>
      </w:r>
    </w:p>
    <w:p w14:paraId="2556069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4.承担牵头协调全县整顿和规范市场经济秩序工作的责任，拟订规范市场运行和流通秩序的政策，推动</w:t>
      </w:r>
      <w:r>
        <w:rPr>
          <w:rFonts w:hint="eastAsia" w:ascii="仿宋_GB2312" w:hAnsi="仿宋_GB2312" w:eastAsia="仿宋_GB2312" w:cs="仿宋_GB2312"/>
          <w:sz w:val="32"/>
          <w:szCs w:val="32"/>
          <w:highlight w:val="none"/>
          <w:lang w:eastAsia="zh-CN"/>
        </w:rPr>
        <w:t>信</w:t>
      </w:r>
      <w:r>
        <w:rPr>
          <w:rFonts w:hint="eastAsia" w:ascii="仿宋_GB2312" w:hAnsi="仿宋_GB2312" w:eastAsia="仿宋_GB2312" w:cs="仿宋_GB2312"/>
          <w:sz w:val="32"/>
          <w:szCs w:val="32"/>
          <w:highlight w:val="none"/>
        </w:rPr>
        <w:t>用建设，指导商业信用销售，建立市场诚信公共服务平台，按有规定对民爆流通、报废汽车、旧机动车交易等特殊行业监督管理。</w:t>
      </w:r>
    </w:p>
    <w:p w14:paraId="6B3165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5.承担组织实施重要消费品市场调</w:t>
      </w:r>
      <w:r>
        <w:rPr>
          <w:rFonts w:hint="eastAsia" w:ascii="仿宋_GB2312" w:hAnsi="仿宋_GB2312" w:eastAsia="仿宋_GB2312" w:cs="仿宋_GB2312"/>
          <w:sz w:val="32"/>
          <w:szCs w:val="32"/>
          <w:highlight w:val="none"/>
          <w:lang w:eastAsia="zh-CN"/>
        </w:rPr>
        <w:t>节</w:t>
      </w:r>
      <w:r>
        <w:rPr>
          <w:rFonts w:hint="eastAsia" w:ascii="仿宋_GB2312" w:hAnsi="仿宋_GB2312" w:eastAsia="仿宋_GB2312" w:cs="仿宋_GB2312"/>
          <w:sz w:val="32"/>
          <w:szCs w:val="32"/>
          <w:highlight w:val="none"/>
        </w:rPr>
        <w:t>和重要生产资料流通管理的责任，负责建立健全生活必需品市场供</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急管理机制，监测分析市场运行、商品供求状况，调查分析商品价格信息，进行预测预警和信息引导，按分工负责重要消费品储备管理</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w:t>
      </w:r>
    </w:p>
    <w:p w14:paraId="3FEA693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拟订促进转变外贸增长方式的政策措施，指导对外贸易执行国家进出口商品、加工贸易管理办法、技术目录，组织实施工业品、原材料和重要农产品进出口总量计划，会同有关部门协调大宗进出口商品和出口加工区的业务工作，指导贸易促进活动和外贸促进体系建设。</w:t>
      </w:r>
    </w:p>
    <w:p w14:paraId="76764FA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7.依法监督技术引进、设备进口、国家限制出口技术的工作，推</w:t>
      </w:r>
      <w:r>
        <w:rPr>
          <w:rFonts w:hint="eastAsia" w:ascii="仿宋_GB2312" w:hAnsi="仿宋_GB2312" w:eastAsia="仿宋_GB2312" w:cs="仿宋_GB2312"/>
          <w:sz w:val="32"/>
          <w:szCs w:val="32"/>
          <w:highlight w:val="none"/>
          <w:lang w:eastAsia="zh-CN"/>
        </w:rPr>
        <w:t>进</w:t>
      </w:r>
      <w:r>
        <w:rPr>
          <w:rFonts w:hint="eastAsia" w:ascii="仿宋_GB2312" w:hAnsi="仿宋_GB2312" w:eastAsia="仿宋_GB2312" w:cs="仿宋_GB2312"/>
          <w:sz w:val="32"/>
          <w:szCs w:val="32"/>
          <w:highlight w:val="none"/>
        </w:rPr>
        <w:t>出口贸易标准化工作，牵头负责发展服务贸易的相关工作，推动服务外包平台建设。</w:t>
      </w:r>
    </w:p>
    <w:p w14:paraId="2A4C214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8.拟订应对经济全球化、区域合作的对策措施，加强与自由贸易区、港澳台地区的商贸合作，推进贸易和投资便利化，负责外国和香港、澳门特别行政区及台湾地区常设驻竹商务代表机构的管理。</w:t>
      </w:r>
    </w:p>
    <w:p w14:paraId="4B67F7D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承担组织协调反倾销、反补贴、保障措施和技术性贸易壁垒等与进出口公平贸易相关工作的责任，建立进出口公平贸易预警机制，牵头开展对外贸易调查、产业损害调查和对经营者集中行为的反垄断审查，指导协调产业安全应对、企业在国外的反垄断应诉工作和国外对出口商品的反倾销、反补贴、保障措施的应诉工作。</w:t>
      </w:r>
    </w:p>
    <w:p w14:paraId="6208D2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10.指导全县外商投资促进和管理工作，参与</w:t>
      </w:r>
      <w:r>
        <w:rPr>
          <w:rFonts w:hint="eastAsia" w:ascii="仿宋_GB2312" w:hAnsi="仿宋_GB2312" w:eastAsia="仿宋_GB2312" w:cs="仿宋_GB2312"/>
          <w:sz w:val="32"/>
          <w:szCs w:val="32"/>
          <w:highlight w:val="none"/>
          <w:lang w:eastAsia="zh-CN"/>
        </w:rPr>
        <w:t>进</w:t>
      </w:r>
      <w:r>
        <w:rPr>
          <w:rFonts w:hint="eastAsia" w:ascii="仿宋_GB2312" w:hAnsi="仿宋_GB2312" w:eastAsia="仿宋_GB2312" w:cs="仿宋_GB2312"/>
          <w:sz w:val="32"/>
          <w:szCs w:val="32"/>
          <w:highlight w:val="none"/>
        </w:rPr>
        <w:t>外商投资政策和改革方案并组织实施，统计分析全县外商投资情况，依法监督检查外商投资企业执行有关法律法规规章、合同章程的情况并协调解决有关问题。</w:t>
      </w:r>
    </w:p>
    <w:p w14:paraId="5A882E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11.负责全县对外经济工作，拟订并执行对外经济政策，管理和监督对外承包工程、对外劳务和出境就业等，承担境外投资管理的责任，牵头负责外派劳务和赴境外就业人员的权益保护工作，组织管理我县承担的国家对外援助任务，管理多双边对我县的无偿援助和赠款（不含</w:t>
      </w:r>
      <w:r>
        <w:rPr>
          <w:rFonts w:hint="eastAsia" w:ascii="仿宋_GB2312" w:hAnsi="仿宋_GB2312" w:eastAsia="仿宋_GB2312" w:cs="仿宋_GB2312"/>
          <w:sz w:val="32"/>
          <w:szCs w:val="32"/>
          <w:highlight w:val="none"/>
          <w:lang w:eastAsia="zh-CN"/>
        </w:rPr>
        <w:t>财政工作</w:t>
      </w:r>
      <w:r>
        <w:rPr>
          <w:rFonts w:hint="eastAsia" w:ascii="仿宋_GB2312" w:hAnsi="仿宋_GB2312" w:eastAsia="仿宋_GB2312" w:cs="仿宋_GB2312"/>
          <w:sz w:val="32"/>
          <w:szCs w:val="32"/>
          <w:highlight w:val="none"/>
        </w:rPr>
        <w:t>项目下外国政府及国际金融组织对我县赠款）等发展</w:t>
      </w:r>
      <w:r>
        <w:rPr>
          <w:rFonts w:hint="eastAsia" w:ascii="仿宋_GB2312" w:hAnsi="仿宋_GB2312" w:eastAsia="仿宋_GB2312" w:cs="仿宋_GB2312"/>
          <w:sz w:val="32"/>
          <w:szCs w:val="32"/>
          <w:highlight w:val="none"/>
          <w:lang w:val="en-US" w:eastAsia="zh-CN"/>
        </w:rPr>
        <w:t>、合作</w:t>
      </w:r>
      <w:r>
        <w:rPr>
          <w:rFonts w:hint="eastAsia" w:ascii="仿宋_GB2312" w:hAnsi="仿宋_GB2312" w:eastAsia="仿宋_GB2312" w:cs="仿宋_GB2312"/>
          <w:sz w:val="32"/>
          <w:szCs w:val="32"/>
          <w:highlight w:val="none"/>
        </w:rPr>
        <w:t>业务。</w:t>
      </w:r>
      <w:r>
        <w:rPr>
          <w:rFonts w:hint="eastAsia" w:ascii="仿宋_GB2312" w:hAnsi="仿宋_GB2312" w:eastAsia="仿宋_GB2312" w:cs="仿宋_GB2312"/>
          <w:sz w:val="32"/>
          <w:szCs w:val="32"/>
          <w:highlight w:val="none"/>
          <w:lang w:val="en-US" w:eastAsia="zh-CN"/>
        </w:rPr>
        <w:t xml:space="preserve"> </w:t>
      </w:r>
    </w:p>
    <w:p w14:paraId="2A86C29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12.管理我县赴境外举办的各种商品交易和经贸推介活动，指导监督管理以大竹县名义在境内举办的各种商贸交易会、展览会、展销会等活动。</w:t>
      </w:r>
    </w:p>
    <w:p w14:paraId="5A0BFD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13.承担贸易促进、援外项目招标、有关会展活动等的具体组织工作。</w:t>
      </w:r>
    </w:p>
    <w:p w14:paraId="5CCFE4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14.规划全县商务系统电子政务、公共商务服务体系建设并组织实施，推动电子商务发展。</w:t>
      </w:r>
    </w:p>
    <w:p w14:paraId="6CE82E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15.承担《四川省人民政府关于开展扩权强县试点工作的实施意见》（川府发〔2007〕58号）文件中相关职能职责。</w:t>
      </w:r>
    </w:p>
    <w:p w14:paraId="6E80179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16.承担县政府公布的有关行政审批事项。</w:t>
      </w:r>
    </w:p>
    <w:p w14:paraId="71861F6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17.承办县政府交办的其他事项。</w:t>
      </w:r>
    </w:p>
    <w:p w14:paraId="16EB2764">
      <w:pPr>
        <w:pStyle w:val="4"/>
        <w:numPr>
          <w:ilvl w:val="0"/>
          <w:numId w:val="1"/>
        </w:numPr>
        <w:ind w:left="0" w:leftChars="0" w:firstLine="0" w:firstLineChars="0"/>
        <w:rPr>
          <w:rFonts w:hint="eastAsia" w:ascii="黑体" w:hAnsi="黑体" w:eastAsia="黑体"/>
          <w:b w:val="0"/>
          <w:highlight w:val="none"/>
        </w:rPr>
      </w:pPr>
      <w:r>
        <w:rPr>
          <w:rFonts w:hint="eastAsia" w:ascii="黑体" w:hAnsi="黑体" w:eastAsia="黑体"/>
          <w:b w:val="0"/>
          <w:highlight w:val="none"/>
        </w:rPr>
        <w:t>机构设置</w:t>
      </w:r>
    </w:p>
    <w:p w14:paraId="464EB1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大竹县商务局为一级预算单位。</w:t>
      </w:r>
    </w:p>
    <w:bookmarkEnd w:id="14"/>
    <w:bookmarkEnd w:id="15"/>
    <w:p w14:paraId="12F19EF0">
      <w:pPr>
        <w:widowControl/>
        <w:jc w:val="left"/>
        <w:rPr>
          <w:rFonts w:ascii="仿宋" w:hAnsi="仿宋" w:eastAsia="仿宋"/>
          <w:kern w:val="0"/>
          <w:sz w:val="32"/>
          <w:szCs w:val="32"/>
          <w:highlight w:val="none"/>
        </w:rPr>
      </w:pPr>
      <w:r>
        <w:rPr>
          <w:rFonts w:ascii="仿宋" w:hAnsi="仿宋" w:eastAsia="仿宋"/>
          <w:sz w:val="32"/>
          <w:szCs w:val="32"/>
          <w:highlight w:val="none"/>
        </w:rPr>
        <w:br w:type="page"/>
      </w:r>
    </w:p>
    <w:p w14:paraId="227B7205">
      <w:pPr>
        <w:pStyle w:val="3"/>
        <w:ind w:right="440"/>
        <w:jc w:val="center"/>
        <w:rPr>
          <w:rStyle w:val="27"/>
          <w:rFonts w:ascii="黑体" w:hAnsi="黑体" w:eastAsia="黑体"/>
          <w:b w:val="0"/>
          <w:bCs/>
          <w:highlight w:val="none"/>
        </w:rPr>
      </w:pPr>
      <w:bookmarkStart w:id="16" w:name="_Toc15377204"/>
      <w:bookmarkStart w:id="17" w:name="_Toc15396602"/>
      <w:r>
        <w:rPr>
          <w:rFonts w:hint="eastAsia" w:ascii="黑体" w:hAnsi="黑体" w:eastAsia="黑体"/>
          <w:b w:val="0"/>
          <w:highlight w:val="none"/>
        </w:rPr>
        <w:t>第二部分 2023年度</w:t>
      </w:r>
      <w:r>
        <w:rPr>
          <w:rStyle w:val="27"/>
          <w:rFonts w:hint="eastAsia" w:ascii="黑体" w:hAnsi="黑体" w:eastAsia="黑体"/>
          <w:b w:val="0"/>
          <w:bCs/>
          <w:highlight w:val="none"/>
        </w:rPr>
        <w:t>单位决算情况说明</w:t>
      </w:r>
      <w:bookmarkEnd w:id="16"/>
      <w:bookmarkEnd w:id="17"/>
    </w:p>
    <w:p w14:paraId="20909211">
      <w:pPr>
        <w:rPr>
          <w:highlight w:val="none"/>
        </w:rPr>
      </w:pPr>
    </w:p>
    <w:p w14:paraId="216D7E8E">
      <w:pPr>
        <w:pStyle w:val="26"/>
        <w:numPr>
          <w:ilvl w:val="0"/>
          <w:numId w:val="2"/>
        </w:numPr>
        <w:spacing w:line="600" w:lineRule="exact"/>
        <w:ind w:firstLineChars="0"/>
        <w:outlineLvl w:val="1"/>
        <w:rPr>
          <w:rStyle w:val="28"/>
          <w:rFonts w:ascii="黑体" w:hAnsi="黑体" w:eastAsia="黑体"/>
          <w:b w:val="0"/>
          <w:highlight w:val="none"/>
        </w:rPr>
      </w:pPr>
      <w:bookmarkStart w:id="18" w:name="_Toc15396603"/>
      <w:bookmarkStart w:id="19" w:name="_Toc15377205"/>
      <w:r>
        <w:rPr>
          <w:rFonts w:hint="eastAsia" w:ascii="黑体" w:hAnsi="黑体" w:eastAsia="黑体"/>
          <w:sz w:val="32"/>
          <w:szCs w:val="32"/>
          <w:highlight w:val="none"/>
        </w:rPr>
        <w:t>收</w:t>
      </w:r>
      <w:r>
        <w:rPr>
          <w:rStyle w:val="28"/>
          <w:rFonts w:hint="eastAsia" w:ascii="黑体" w:hAnsi="黑体" w:eastAsia="黑体"/>
          <w:b w:val="0"/>
          <w:highlight w:val="none"/>
        </w:rPr>
        <w:t>入支出决算总体情况说明</w:t>
      </w:r>
      <w:bookmarkEnd w:id="18"/>
      <w:bookmarkEnd w:id="19"/>
    </w:p>
    <w:p w14:paraId="6CB063B5">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2023年度收、支总计</w:t>
      </w:r>
      <w:r>
        <w:rPr>
          <w:rFonts w:hint="eastAsia" w:ascii="仿宋" w:hAnsi="仿宋" w:eastAsia="仿宋" w:cs="Times New Roman"/>
          <w:sz w:val="32"/>
          <w:szCs w:val="32"/>
          <w:highlight w:val="none"/>
        </w:rPr>
        <w:t>均为</w:t>
      </w:r>
      <w:r>
        <w:rPr>
          <w:rFonts w:hint="eastAsia" w:ascii="仿宋" w:hAnsi="仿宋" w:eastAsia="仿宋" w:cs="Times New Roman"/>
          <w:sz w:val="32"/>
          <w:szCs w:val="32"/>
          <w:highlight w:val="none"/>
          <w:lang w:val="en-US" w:eastAsia="zh-CN"/>
        </w:rPr>
        <w:t>2339.52</w:t>
      </w:r>
      <w:r>
        <w:rPr>
          <w:rFonts w:hint="eastAsia" w:ascii="仿宋" w:hAnsi="仿宋" w:eastAsia="仿宋" w:cs="Times New Roman"/>
          <w:sz w:val="32"/>
          <w:szCs w:val="32"/>
          <w:highlight w:val="none"/>
        </w:rPr>
        <w:t>万</w:t>
      </w:r>
      <w:r>
        <w:rPr>
          <w:rFonts w:hint="eastAsia" w:ascii="仿宋" w:hAnsi="仿宋" w:eastAsia="仿宋"/>
          <w:sz w:val="32"/>
          <w:szCs w:val="32"/>
          <w:highlight w:val="none"/>
        </w:rPr>
        <w:t>元。与2022年度相比，收、支总计各增加</w:t>
      </w:r>
      <w:r>
        <w:rPr>
          <w:rFonts w:hint="eastAsia" w:ascii="仿宋" w:hAnsi="仿宋" w:eastAsia="仿宋"/>
          <w:sz w:val="32"/>
          <w:szCs w:val="32"/>
          <w:highlight w:val="none"/>
          <w:lang w:val="en-US" w:eastAsia="zh-CN"/>
        </w:rPr>
        <w:t>1216.27</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108.28</w:t>
      </w:r>
      <w:r>
        <w:rPr>
          <w:rFonts w:ascii="仿宋" w:hAnsi="仿宋" w:eastAsia="仿宋"/>
          <w:sz w:val="32"/>
          <w:szCs w:val="32"/>
          <w:highlight w:val="none"/>
        </w:rPr>
        <w:t>%</w:t>
      </w:r>
      <w:r>
        <w:rPr>
          <w:rFonts w:hint="eastAsia" w:ascii="仿宋" w:hAnsi="仿宋" w:eastAsia="仿宋"/>
          <w:sz w:val="32"/>
          <w:szCs w:val="32"/>
          <w:highlight w:val="none"/>
        </w:rPr>
        <w:t>。主要变动原因是2023年上级安排项目预算收</w:t>
      </w:r>
      <w:r>
        <w:rPr>
          <w:rFonts w:hint="eastAsia" w:ascii="仿宋" w:hAnsi="仿宋" w:eastAsia="仿宋"/>
          <w:sz w:val="32"/>
          <w:szCs w:val="32"/>
          <w:highlight w:val="none"/>
          <w:lang w:eastAsia="zh-CN"/>
        </w:rPr>
        <w:t>支</w:t>
      </w:r>
      <w:r>
        <w:rPr>
          <w:rFonts w:hint="eastAsia" w:ascii="仿宋" w:hAnsi="仿宋" w:eastAsia="仿宋"/>
          <w:sz w:val="32"/>
          <w:szCs w:val="32"/>
          <w:highlight w:val="none"/>
        </w:rPr>
        <w:t>增加。</w:t>
      </w:r>
    </w:p>
    <w:p w14:paraId="7B994B48">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04E60856">
      <w:pPr>
        <w:spacing w:line="600" w:lineRule="exact"/>
        <w:ind w:firstLine="880" w:firstLineChars="200"/>
        <w:jc w:val="left"/>
        <w:rPr>
          <w:rFonts w:ascii="仿宋_GB2312" w:eastAsia="仿宋_GB2312"/>
          <w:sz w:val="32"/>
          <w:szCs w:val="32"/>
          <w:highlight w:val="none"/>
        </w:rPr>
      </w:pPr>
      <w:r>
        <w:rPr>
          <w:rStyle w:val="27"/>
          <w:rFonts w:hint="eastAsia" w:ascii="黑体" w:hAnsi="黑体" w:eastAsia="黑体"/>
          <w:b w:val="0"/>
          <w:bCs/>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223520</wp:posOffset>
            </wp:positionV>
            <wp:extent cx="5256530" cy="2988310"/>
            <wp:effectExtent l="5080" t="4445" r="15240" b="1714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1A82A629">
      <w:pPr>
        <w:spacing w:line="600" w:lineRule="exact"/>
        <w:ind w:firstLine="640" w:firstLineChars="200"/>
        <w:jc w:val="left"/>
        <w:rPr>
          <w:rFonts w:ascii="仿宋_GB2312" w:eastAsia="仿宋_GB2312"/>
          <w:sz w:val="32"/>
          <w:szCs w:val="32"/>
          <w:highlight w:val="none"/>
        </w:rPr>
      </w:pPr>
    </w:p>
    <w:p w14:paraId="5187FC3B">
      <w:pPr>
        <w:spacing w:line="600" w:lineRule="exact"/>
        <w:ind w:firstLine="640" w:firstLineChars="200"/>
        <w:jc w:val="left"/>
        <w:rPr>
          <w:rFonts w:ascii="仿宋_GB2312" w:eastAsia="仿宋_GB2312"/>
          <w:sz w:val="32"/>
          <w:szCs w:val="32"/>
          <w:highlight w:val="none"/>
        </w:rPr>
      </w:pPr>
    </w:p>
    <w:p w14:paraId="6C5858EE">
      <w:pPr>
        <w:spacing w:line="600" w:lineRule="exact"/>
        <w:ind w:firstLine="640" w:firstLineChars="200"/>
        <w:jc w:val="left"/>
        <w:rPr>
          <w:rFonts w:ascii="仿宋_GB2312" w:eastAsia="仿宋_GB2312"/>
          <w:sz w:val="32"/>
          <w:szCs w:val="32"/>
          <w:highlight w:val="none"/>
        </w:rPr>
      </w:pPr>
    </w:p>
    <w:p w14:paraId="554341FE">
      <w:pPr>
        <w:spacing w:line="600" w:lineRule="exact"/>
        <w:ind w:firstLine="640" w:firstLineChars="200"/>
        <w:jc w:val="left"/>
        <w:rPr>
          <w:rFonts w:ascii="仿宋_GB2312" w:eastAsia="仿宋_GB2312"/>
          <w:sz w:val="32"/>
          <w:szCs w:val="32"/>
          <w:highlight w:val="none"/>
        </w:rPr>
      </w:pPr>
    </w:p>
    <w:p w14:paraId="186DDC27">
      <w:pPr>
        <w:spacing w:line="600" w:lineRule="exact"/>
        <w:ind w:firstLine="640" w:firstLineChars="200"/>
        <w:jc w:val="left"/>
        <w:rPr>
          <w:rFonts w:ascii="仿宋_GB2312" w:eastAsia="仿宋_GB2312"/>
          <w:sz w:val="32"/>
          <w:szCs w:val="32"/>
          <w:highlight w:val="none"/>
        </w:rPr>
      </w:pPr>
    </w:p>
    <w:p w14:paraId="36D487A4">
      <w:pPr>
        <w:spacing w:line="600" w:lineRule="exact"/>
        <w:ind w:firstLine="640" w:firstLineChars="200"/>
        <w:jc w:val="left"/>
        <w:rPr>
          <w:rFonts w:ascii="仿宋_GB2312" w:eastAsia="仿宋_GB2312"/>
          <w:sz w:val="32"/>
          <w:szCs w:val="32"/>
          <w:highlight w:val="none"/>
        </w:rPr>
      </w:pPr>
    </w:p>
    <w:p w14:paraId="32143FEC">
      <w:pPr>
        <w:spacing w:line="600" w:lineRule="exact"/>
        <w:ind w:firstLine="640" w:firstLineChars="200"/>
        <w:jc w:val="left"/>
        <w:rPr>
          <w:rFonts w:ascii="仿宋_GB2312" w:eastAsia="仿宋_GB2312"/>
          <w:sz w:val="32"/>
          <w:szCs w:val="32"/>
          <w:highlight w:val="none"/>
        </w:rPr>
      </w:pPr>
    </w:p>
    <w:p w14:paraId="45923C3A">
      <w:pPr>
        <w:spacing w:line="600" w:lineRule="exact"/>
        <w:ind w:firstLine="640" w:firstLineChars="200"/>
        <w:jc w:val="left"/>
        <w:rPr>
          <w:rFonts w:ascii="仿宋_GB2312" w:eastAsia="仿宋_GB2312"/>
          <w:sz w:val="32"/>
          <w:szCs w:val="32"/>
          <w:highlight w:val="none"/>
        </w:rPr>
      </w:pPr>
    </w:p>
    <w:p w14:paraId="25F8EB1B">
      <w:pPr>
        <w:pStyle w:val="26"/>
        <w:numPr>
          <w:ilvl w:val="0"/>
          <w:numId w:val="2"/>
        </w:numPr>
        <w:spacing w:line="600" w:lineRule="exact"/>
        <w:ind w:firstLineChars="0"/>
        <w:outlineLvl w:val="1"/>
        <w:rPr>
          <w:rStyle w:val="28"/>
          <w:rFonts w:ascii="黑体" w:hAnsi="黑体" w:eastAsia="黑体"/>
          <w:b w:val="0"/>
          <w:highlight w:val="none"/>
        </w:rPr>
      </w:pPr>
      <w:bookmarkStart w:id="20" w:name="_Toc15377206"/>
      <w:bookmarkStart w:id="21" w:name="_Toc15396604"/>
      <w:r>
        <w:rPr>
          <w:rFonts w:hint="eastAsia" w:ascii="黑体" w:hAnsi="黑体" w:eastAsia="黑体"/>
          <w:sz w:val="32"/>
          <w:szCs w:val="32"/>
          <w:highlight w:val="none"/>
        </w:rPr>
        <w:t>收</w:t>
      </w:r>
      <w:r>
        <w:rPr>
          <w:rStyle w:val="28"/>
          <w:rFonts w:hint="eastAsia" w:ascii="黑体" w:hAnsi="黑体" w:eastAsia="黑体"/>
          <w:b w:val="0"/>
          <w:highlight w:val="none"/>
        </w:rPr>
        <w:t>入决算情况说明</w:t>
      </w:r>
      <w:bookmarkEnd w:id="20"/>
      <w:bookmarkEnd w:id="21"/>
    </w:p>
    <w:p w14:paraId="45B0B402">
      <w:pPr>
        <w:spacing w:line="600" w:lineRule="exact"/>
        <w:ind w:firstLine="640" w:firstLineChars="200"/>
        <w:outlineLvl w:val="1"/>
        <w:rPr>
          <w:rFonts w:hint="eastAsia" w:ascii="仿宋" w:hAnsi="仿宋" w:eastAsia="仿宋"/>
          <w:sz w:val="32"/>
          <w:szCs w:val="32"/>
          <w:highlight w:val="none"/>
          <w:lang w:eastAsia="zh-CN"/>
        </w:rPr>
      </w:pPr>
      <w:r>
        <w:rPr>
          <w:rFonts w:hint="eastAsia" w:ascii="仿宋" w:hAnsi="仿宋" w:eastAsia="仿宋"/>
          <w:sz w:val="32"/>
          <w:szCs w:val="32"/>
          <w:highlight w:val="none"/>
        </w:rPr>
        <w:t>20</w:t>
      </w:r>
      <w:r>
        <w:rPr>
          <w:rFonts w:hint="eastAsia" w:ascii="仿宋" w:hAnsi="仿宋" w:eastAsia="仿宋"/>
          <w:b w:val="0"/>
          <w:bCs w:val="0"/>
          <w:sz w:val="32"/>
          <w:szCs w:val="32"/>
          <w:highlight w:val="none"/>
        </w:rPr>
        <w:t>23年度本年收入合计</w:t>
      </w:r>
      <w:r>
        <w:rPr>
          <w:rFonts w:hint="eastAsia" w:ascii="仿宋" w:hAnsi="仿宋" w:eastAsia="仿宋"/>
          <w:b w:val="0"/>
          <w:bCs w:val="0"/>
          <w:sz w:val="32"/>
          <w:szCs w:val="32"/>
          <w:highlight w:val="none"/>
          <w:lang w:val="en-US" w:eastAsia="zh-CN"/>
        </w:rPr>
        <w:t>1644.64</w:t>
      </w:r>
      <w:r>
        <w:rPr>
          <w:rFonts w:hint="eastAsia" w:ascii="仿宋" w:hAnsi="仿宋" w:eastAsia="仿宋"/>
          <w:b w:val="0"/>
          <w:bCs w:val="0"/>
          <w:sz w:val="32"/>
          <w:szCs w:val="32"/>
          <w:highlight w:val="none"/>
        </w:rPr>
        <w:t>万元，其中：一般公共预算财政拨款收入</w:t>
      </w:r>
      <w:r>
        <w:rPr>
          <w:rFonts w:hint="eastAsia" w:ascii="仿宋" w:hAnsi="仿宋" w:eastAsia="仿宋"/>
          <w:b w:val="0"/>
          <w:bCs w:val="0"/>
          <w:sz w:val="32"/>
          <w:szCs w:val="32"/>
          <w:highlight w:val="none"/>
          <w:lang w:val="en-US" w:eastAsia="zh-CN"/>
        </w:rPr>
        <w:t>1510.96</w:t>
      </w:r>
      <w:r>
        <w:rPr>
          <w:rFonts w:hint="eastAsia" w:ascii="仿宋" w:hAnsi="仿宋" w:eastAsia="仿宋"/>
          <w:b w:val="0"/>
          <w:bCs w:val="0"/>
          <w:sz w:val="32"/>
          <w:szCs w:val="32"/>
          <w:highlight w:val="none"/>
        </w:rPr>
        <w:t>万元，占</w:t>
      </w:r>
      <w:r>
        <w:rPr>
          <w:rFonts w:hint="eastAsia" w:ascii="仿宋" w:hAnsi="仿宋" w:eastAsia="仿宋"/>
          <w:b w:val="0"/>
          <w:bCs w:val="0"/>
          <w:sz w:val="32"/>
          <w:szCs w:val="32"/>
          <w:highlight w:val="none"/>
          <w:lang w:val="en-US" w:eastAsia="zh-CN"/>
        </w:rPr>
        <w:t>91.87</w:t>
      </w:r>
      <w:r>
        <w:rPr>
          <w:rFonts w:ascii="仿宋" w:hAnsi="仿宋" w:eastAsia="仿宋"/>
          <w:b w:val="0"/>
          <w:bCs w:val="0"/>
          <w:sz w:val="32"/>
          <w:szCs w:val="32"/>
          <w:highlight w:val="none"/>
        </w:rPr>
        <w:t>%</w:t>
      </w:r>
      <w:r>
        <w:rPr>
          <w:rFonts w:hint="eastAsia" w:ascii="仿宋" w:hAnsi="仿宋" w:eastAsia="仿宋"/>
          <w:b w:val="0"/>
          <w:bCs w:val="0"/>
          <w:sz w:val="32"/>
          <w:szCs w:val="32"/>
          <w:highlight w:val="none"/>
        </w:rPr>
        <w:t>；国有资本经营预算财政拨款收入</w:t>
      </w:r>
      <w:r>
        <w:rPr>
          <w:rFonts w:hint="eastAsia" w:ascii="仿宋" w:hAnsi="仿宋" w:eastAsia="仿宋"/>
          <w:b w:val="0"/>
          <w:bCs w:val="0"/>
          <w:sz w:val="32"/>
          <w:szCs w:val="32"/>
          <w:highlight w:val="none"/>
          <w:lang w:val="en-US" w:eastAsia="zh-CN"/>
        </w:rPr>
        <w:t>133.68</w:t>
      </w:r>
      <w:r>
        <w:rPr>
          <w:rFonts w:hint="eastAsia" w:ascii="仿宋" w:hAnsi="仿宋" w:eastAsia="仿宋"/>
          <w:b w:val="0"/>
          <w:bCs w:val="0"/>
          <w:sz w:val="32"/>
          <w:szCs w:val="32"/>
          <w:highlight w:val="none"/>
        </w:rPr>
        <w:t>万元，占</w:t>
      </w:r>
      <w:r>
        <w:rPr>
          <w:rFonts w:hint="eastAsia" w:ascii="仿宋" w:hAnsi="仿宋" w:eastAsia="仿宋"/>
          <w:b w:val="0"/>
          <w:bCs w:val="0"/>
          <w:sz w:val="32"/>
          <w:szCs w:val="32"/>
          <w:highlight w:val="none"/>
          <w:lang w:val="en-US" w:eastAsia="zh-CN"/>
        </w:rPr>
        <w:t>8.13</w:t>
      </w:r>
      <w:r>
        <w:rPr>
          <w:rFonts w:ascii="仿宋" w:hAnsi="仿宋" w:eastAsia="仿宋"/>
          <w:b w:val="0"/>
          <w:bCs w:val="0"/>
          <w:sz w:val="32"/>
          <w:szCs w:val="32"/>
          <w:highlight w:val="none"/>
        </w:rPr>
        <w:t>%</w:t>
      </w:r>
      <w:r>
        <w:rPr>
          <w:rFonts w:hint="eastAsia" w:ascii="仿宋" w:hAnsi="仿宋" w:eastAsia="仿宋"/>
          <w:b w:val="0"/>
          <w:bCs w:val="0"/>
          <w:sz w:val="32"/>
          <w:szCs w:val="32"/>
          <w:highlight w:val="none"/>
          <w:lang w:eastAsia="zh-CN"/>
        </w:rPr>
        <w:t>。</w:t>
      </w:r>
    </w:p>
    <w:p w14:paraId="7C9551AA">
      <w:pPr>
        <w:spacing w:line="600" w:lineRule="exact"/>
        <w:ind w:firstLine="643" w:firstLineChars="200"/>
        <w:outlineLvl w:val="1"/>
        <w:rPr>
          <w:rFonts w:ascii="仿宋" w:hAnsi="仿宋" w:eastAsia="仿宋"/>
          <w:sz w:val="32"/>
          <w:szCs w:val="32"/>
          <w:highlight w:val="none"/>
        </w:rPr>
      </w:pPr>
      <w:r>
        <w:rPr>
          <w:rFonts w:hint="eastAsia" w:ascii="仿宋" w:hAnsi="仿宋" w:eastAsia="仿宋"/>
          <w:b/>
          <w:sz w:val="32"/>
          <w:szCs w:val="32"/>
          <w:highlight w:val="none"/>
        </w:rPr>
        <w:t>（注：数据来源于财决</w:t>
      </w:r>
      <w:r>
        <w:rPr>
          <w:rFonts w:ascii="仿宋" w:hAnsi="仿宋" w:eastAsia="仿宋"/>
          <w:b/>
          <w:sz w:val="32"/>
          <w:szCs w:val="32"/>
          <w:highlight w:val="none"/>
        </w:rPr>
        <w:t>01表</w:t>
      </w:r>
      <w:r>
        <w:rPr>
          <w:rFonts w:hint="eastAsia" w:ascii="仿宋" w:hAnsi="仿宋" w:eastAsia="仿宋"/>
          <w:b/>
          <w:sz w:val="32"/>
          <w:szCs w:val="32"/>
          <w:highlight w:val="none"/>
        </w:rPr>
        <w:t>，仅罗列本单位涉及的收入。</w:t>
      </w:r>
      <w:r>
        <w:rPr>
          <w:rFonts w:ascii="仿宋" w:hAnsi="仿宋" w:eastAsia="仿宋"/>
          <w:b/>
          <w:sz w:val="32"/>
          <w:szCs w:val="32"/>
          <w:highlight w:val="none"/>
        </w:rPr>
        <w:t>）</w:t>
      </w:r>
    </w:p>
    <w:p w14:paraId="1E4CD249">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（图2：收入决算结构图）（饼状图）</w:t>
      </w:r>
    </w:p>
    <w:p w14:paraId="366C266D">
      <w:pPr>
        <w:spacing w:line="60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drawing>
          <wp:anchor distT="0" distB="0" distL="114300" distR="114300" simplePos="0" relativeHeight="251660288" behindDoc="0" locked="0" layoutInCell="1" allowOverlap="1">
            <wp:simplePos x="0" y="0"/>
            <wp:positionH relativeFrom="column">
              <wp:posOffset>544830</wp:posOffset>
            </wp:positionH>
            <wp:positionV relativeFrom="paragraph">
              <wp:posOffset>223520</wp:posOffset>
            </wp:positionV>
            <wp:extent cx="3750945" cy="2740660"/>
            <wp:effectExtent l="4445" t="4445" r="16510" b="1714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425BD00D">
      <w:pPr>
        <w:spacing w:line="600" w:lineRule="exact"/>
        <w:ind w:firstLine="640" w:firstLineChars="200"/>
        <w:rPr>
          <w:rFonts w:ascii="仿宋_GB2312" w:eastAsia="仿宋_GB2312"/>
          <w:sz w:val="32"/>
          <w:szCs w:val="32"/>
          <w:highlight w:val="none"/>
        </w:rPr>
      </w:pPr>
    </w:p>
    <w:p w14:paraId="306371FD">
      <w:pPr>
        <w:spacing w:line="600" w:lineRule="exact"/>
        <w:ind w:firstLine="640" w:firstLineChars="200"/>
        <w:rPr>
          <w:rFonts w:ascii="仿宋_GB2312" w:eastAsia="仿宋_GB2312"/>
          <w:sz w:val="32"/>
          <w:szCs w:val="32"/>
          <w:highlight w:val="none"/>
        </w:rPr>
      </w:pPr>
    </w:p>
    <w:p w14:paraId="0AFEF211">
      <w:pPr>
        <w:spacing w:line="600" w:lineRule="exact"/>
        <w:ind w:firstLine="640" w:firstLineChars="200"/>
        <w:rPr>
          <w:rFonts w:ascii="仿宋_GB2312" w:eastAsia="仿宋_GB2312"/>
          <w:sz w:val="32"/>
          <w:szCs w:val="32"/>
          <w:highlight w:val="none"/>
        </w:rPr>
      </w:pPr>
    </w:p>
    <w:p w14:paraId="1932E6BC">
      <w:pPr>
        <w:spacing w:line="600" w:lineRule="exact"/>
        <w:ind w:firstLine="640" w:firstLineChars="200"/>
        <w:rPr>
          <w:rFonts w:ascii="仿宋_GB2312" w:eastAsia="仿宋_GB2312"/>
          <w:sz w:val="32"/>
          <w:szCs w:val="32"/>
          <w:highlight w:val="none"/>
        </w:rPr>
      </w:pPr>
    </w:p>
    <w:p w14:paraId="0ED3D811">
      <w:pPr>
        <w:spacing w:line="600" w:lineRule="exact"/>
        <w:ind w:firstLine="640" w:firstLineChars="200"/>
        <w:rPr>
          <w:rFonts w:ascii="仿宋_GB2312" w:eastAsia="仿宋_GB2312"/>
          <w:sz w:val="32"/>
          <w:szCs w:val="32"/>
          <w:highlight w:val="none"/>
        </w:rPr>
      </w:pPr>
    </w:p>
    <w:p w14:paraId="33681C87">
      <w:pPr>
        <w:spacing w:line="600" w:lineRule="exact"/>
        <w:ind w:firstLine="640" w:firstLineChars="200"/>
        <w:rPr>
          <w:rFonts w:ascii="仿宋_GB2312" w:eastAsia="仿宋_GB2312"/>
          <w:sz w:val="32"/>
          <w:szCs w:val="32"/>
          <w:highlight w:val="none"/>
        </w:rPr>
      </w:pPr>
    </w:p>
    <w:p w14:paraId="7245C1A5">
      <w:pPr>
        <w:spacing w:line="600" w:lineRule="exact"/>
        <w:ind w:firstLine="640" w:firstLineChars="200"/>
        <w:rPr>
          <w:rFonts w:ascii="仿宋_GB2312" w:eastAsia="仿宋_GB2312"/>
          <w:sz w:val="32"/>
          <w:szCs w:val="32"/>
          <w:highlight w:val="none"/>
        </w:rPr>
      </w:pPr>
    </w:p>
    <w:p w14:paraId="6ACF90D6">
      <w:pPr>
        <w:pStyle w:val="26"/>
        <w:numPr>
          <w:ilvl w:val="0"/>
          <w:numId w:val="2"/>
        </w:numPr>
        <w:spacing w:line="600" w:lineRule="exact"/>
        <w:ind w:firstLineChars="0"/>
        <w:outlineLvl w:val="1"/>
        <w:rPr>
          <w:rStyle w:val="28"/>
          <w:rFonts w:ascii="黑体" w:hAnsi="黑体" w:eastAsia="黑体"/>
          <w:b w:val="0"/>
          <w:highlight w:val="none"/>
        </w:rPr>
      </w:pPr>
      <w:bookmarkStart w:id="22" w:name="_Toc15377207"/>
      <w:bookmarkStart w:id="23" w:name="_Toc15396605"/>
      <w:r>
        <w:rPr>
          <w:rFonts w:hint="eastAsia" w:ascii="黑体" w:hAnsi="黑体" w:eastAsia="黑体"/>
          <w:sz w:val="32"/>
          <w:szCs w:val="32"/>
          <w:highlight w:val="none"/>
        </w:rPr>
        <w:t>支</w:t>
      </w:r>
      <w:r>
        <w:rPr>
          <w:rStyle w:val="28"/>
          <w:rFonts w:hint="eastAsia" w:ascii="黑体" w:hAnsi="黑体" w:eastAsia="黑体"/>
          <w:b w:val="0"/>
          <w:highlight w:val="none"/>
        </w:rPr>
        <w:t>出决算情况说明</w:t>
      </w:r>
      <w:bookmarkEnd w:id="22"/>
      <w:bookmarkEnd w:id="23"/>
    </w:p>
    <w:p w14:paraId="2A903908">
      <w:pPr>
        <w:spacing w:line="600" w:lineRule="exact"/>
        <w:ind w:firstLine="640" w:firstLineChars="200"/>
        <w:outlineLvl w:val="1"/>
        <w:rPr>
          <w:rFonts w:ascii="仿宋" w:hAnsi="仿宋" w:eastAsia="仿宋"/>
          <w:b w:val="0"/>
          <w:bCs w:val="0"/>
          <w:sz w:val="32"/>
          <w:szCs w:val="32"/>
          <w:highlight w:val="none"/>
        </w:rPr>
      </w:pPr>
      <w:r>
        <w:rPr>
          <w:rFonts w:hint="eastAsia" w:ascii="仿宋" w:hAnsi="仿宋" w:eastAsia="仿宋"/>
          <w:b w:val="0"/>
          <w:bCs w:val="0"/>
          <w:sz w:val="32"/>
          <w:szCs w:val="32"/>
          <w:highlight w:val="none"/>
        </w:rPr>
        <w:t>2023年度本年支出合计</w:t>
      </w:r>
      <w:r>
        <w:rPr>
          <w:rFonts w:hint="eastAsia" w:ascii="仿宋" w:hAnsi="仿宋" w:eastAsia="仿宋"/>
          <w:b w:val="0"/>
          <w:bCs w:val="0"/>
          <w:sz w:val="32"/>
          <w:szCs w:val="32"/>
          <w:highlight w:val="none"/>
          <w:lang w:val="en-US" w:eastAsia="zh-CN"/>
        </w:rPr>
        <w:t>2339.47</w:t>
      </w:r>
      <w:r>
        <w:rPr>
          <w:rFonts w:hint="eastAsia" w:ascii="仿宋" w:hAnsi="仿宋" w:eastAsia="仿宋"/>
          <w:b w:val="0"/>
          <w:bCs w:val="0"/>
          <w:sz w:val="32"/>
          <w:szCs w:val="32"/>
          <w:highlight w:val="none"/>
        </w:rPr>
        <w:t>万元，其中：基本支出</w:t>
      </w:r>
      <w:r>
        <w:rPr>
          <w:rFonts w:hint="eastAsia" w:ascii="仿宋" w:hAnsi="仿宋" w:eastAsia="仿宋"/>
          <w:b w:val="0"/>
          <w:bCs w:val="0"/>
          <w:sz w:val="32"/>
          <w:szCs w:val="32"/>
          <w:highlight w:val="none"/>
          <w:lang w:val="en-US" w:eastAsia="zh-CN"/>
        </w:rPr>
        <w:t>629.79</w:t>
      </w:r>
      <w:r>
        <w:rPr>
          <w:rFonts w:hint="eastAsia" w:ascii="仿宋" w:hAnsi="仿宋" w:eastAsia="仿宋"/>
          <w:b w:val="0"/>
          <w:bCs w:val="0"/>
          <w:sz w:val="32"/>
          <w:szCs w:val="32"/>
          <w:highlight w:val="none"/>
        </w:rPr>
        <w:t>万元，占</w:t>
      </w:r>
      <w:r>
        <w:rPr>
          <w:rFonts w:hint="eastAsia" w:ascii="仿宋" w:hAnsi="仿宋" w:eastAsia="仿宋"/>
          <w:b w:val="0"/>
          <w:bCs w:val="0"/>
          <w:sz w:val="32"/>
          <w:szCs w:val="32"/>
          <w:highlight w:val="none"/>
          <w:lang w:val="en-US" w:eastAsia="zh-CN"/>
        </w:rPr>
        <w:t>26.92</w:t>
      </w:r>
      <w:r>
        <w:rPr>
          <w:rFonts w:ascii="仿宋" w:hAnsi="仿宋" w:eastAsia="仿宋"/>
          <w:b w:val="0"/>
          <w:bCs w:val="0"/>
          <w:sz w:val="32"/>
          <w:szCs w:val="32"/>
          <w:highlight w:val="none"/>
        </w:rPr>
        <w:t>%</w:t>
      </w:r>
      <w:r>
        <w:rPr>
          <w:rFonts w:hint="eastAsia" w:ascii="仿宋" w:hAnsi="仿宋" w:eastAsia="仿宋"/>
          <w:b w:val="0"/>
          <w:bCs w:val="0"/>
          <w:sz w:val="32"/>
          <w:szCs w:val="32"/>
          <w:highlight w:val="none"/>
        </w:rPr>
        <w:t>；项目支出</w:t>
      </w:r>
      <w:r>
        <w:rPr>
          <w:rFonts w:hint="eastAsia" w:ascii="仿宋" w:hAnsi="仿宋" w:eastAsia="仿宋"/>
          <w:b w:val="0"/>
          <w:bCs w:val="0"/>
          <w:sz w:val="32"/>
          <w:szCs w:val="32"/>
          <w:highlight w:val="none"/>
          <w:lang w:val="en-US" w:eastAsia="zh-CN"/>
        </w:rPr>
        <w:t>1709.67</w:t>
      </w:r>
      <w:r>
        <w:rPr>
          <w:rFonts w:hint="eastAsia" w:ascii="仿宋" w:hAnsi="仿宋" w:eastAsia="仿宋"/>
          <w:b w:val="0"/>
          <w:bCs w:val="0"/>
          <w:sz w:val="32"/>
          <w:szCs w:val="32"/>
          <w:highlight w:val="none"/>
        </w:rPr>
        <w:t>万元，占</w:t>
      </w:r>
      <w:r>
        <w:rPr>
          <w:rFonts w:hint="eastAsia" w:ascii="仿宋" w:hAnsi="仿宋" w:eastAsia="仿宋"/>
          <w:b w:val="0"/>
          <w:bCs w:val="0"/>
          <w:sz w:val="32"/>
          <w:szCs w:val="32"/>
          <w:highlight w:val="none"/>
          <w:lang w:val="en-US" w:eastAsia="zh-CN"/>
        </w:rPr>
        <w:t>73.08</w:t>
      </w:r>
      <w:r>
        <w:rPr>
          <w:rFonts w:ascii="仿宋" w:hAnsi="仿宋" w:eastAsia="仿宋"/>
          <w:b w:val="0"/>
          <w:bCs w:val="0"/>
          <w:sz w:val="32"/>
          <w:szCs w:val="32"/>
          <w:highlight w:val="none"/>
        </w:rPr>
        <w:t>%</w:t>
      </w:r>
      <w:r>
        <w:rPr>
          <w:rFonts w:hint="eastAsia" w:ascii="仿宋" w:hAnsi="仿宋" w:eastAsia="仿宋"/>
          <w:b w:val="0"/>
          <w:bCs w:val="0"/>
          <w:sz w:val="32"/>
          <w:szCs w:val="32"/>
          <w:highlight w:val="none"/>
        </w:rPr>
        <w:t>；。</w:t>
      </w:r>
    </w:p>
    <w:p w14:paraId="14154418">
      <w:pPr>
        <w:spacing w:line="600" w:lineRule="exact"/>
        <w:ind w:firstLine="643" w:firstLineChars="200"/>
        <w:outlineLvl w:val="1"/>
        <w:rPr>
          <w:rFonts w:ascii="仿宋" w:hAnsi="仿宋" w:eastAsia="仿宋"/>
          <w:sz w:val="32"/>
          <w:szCs w:val="32"/>
          <w:highlight w:val="none"/>
          <w:shd w:val="pct10" w:color="auto" w:fill="FFFFFF"/>
        </w:rPr>
      </w:pPr>
      <w:r>
        <w:rPr>
          <w:rFonts w:hint="eastAsia" w:ascii="仿宋" w:hAnsi="仿宋" w:eastAsia="仿宋"/>
          <w:b/>
          <w:sz w:val="32"/>
          <w:szCs w:val="32"/>
          <w:highlight w:val="none"/>
        </w:rPr>
        <w:t>（注：数据来源于财决</w:t>
      </w:r>
      <w:r>
        <w:rPr>
          <w:rFonts w:ascii="仿宋" w:hAnsi="仿宋" w:eastAsia="仿宋"/>
          <w:b/>
          <w:sz w:val="32"/>
          <w:szCs w:val="32"/>
          <w:highlight w:val="none"/>
        </w:rPr>
        <w:t>04</w:t>
      </w:r>
      <w:r>
        <w:rPr>
          <w:rFonts w:hint="eastAsia" w:ascii="仿宋" w:hAnsi="仿宋" w:eastAsia="仿宋"/>
          <w:b/>
          <w:sz w:val="32"/>
          <w:szCs w:val="32"/>
          <w:highlight w:val="none"/>
        </w:rPr>
        <w:t>表，仅罗列本单位涉及的支出。）</w:t>
      </w:r>
    </w:p>
    <w:p w14:paraId="7DD170B2">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（图3：支出决算结构图）（饼状图）</w:t>
      </w:r>
    </w:p>
    <w:p w14:paraId="6C81E1D9">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drawing>
          <wp:anchor distT="0" distB="0" distL="114300" distR="114300" simplePos="0" relativeHeight="251661312" behindDoc="0" locked="0" layoutInCell="1" allowOverlap="1">
            <wp:simplePos x="0" y="0"/>
            <wp:positionH relativeFrom="column">
              <wp:posOffset>333375</wp:posOffset>
            </wp:positionH>
            <wp:positionV relativeFrom="paragraph">
              <wp:posOffset>187325</wp:posOffset>
            </wp:positionV>
            <wp:extent cx="3750945" cy="2740660"/>
            <wp:effectExtent l="4445" t="4445" r="16510" b="1714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B9F860B">
      <w:pPr>
        <w:spacing w:line="600" w:lineRule="exact"/>
        <w:ind w:firstLine="640" w:firstLineChars="200"/>
        <w:rPr>
          <w:rFonts w:ascii="仿宋_GB2312" w:eastAsia="仿宋_GB2312"/>
          <w:sz w:val="32"/>
          <w:szCs w:val="32"/>
          <w:highlight w:val="none"/>
        </w:rPr>
      </w:pPr>
    </w:p>
    <w:p w14:paraId="2CE042AB">
      <w:pPr>
        <w:spacing w:line="600" w:lineRule="exact"/>
        <w:ind w:firstLine="640" w:firstLineChars="200"/>
        <w:rPr>
          <w:rFonts w:ascii="仿宋_GB2312" w:eastAsia="仿宋_GB2312"/>
          <w:sz w:val="32"/>
          <w:szCs w:val="32"/>
          <w:highlight w:val="none"/>
        </w:rPr>
      </w:pPr>
    </w:p>
    <w:p w14:paraId="6A947BDA">
      <w:pPr>
        <w:spacing w:line="600" w:lineRule="exact"/>
        <w:ind w:firstLine="640" w:firstLineChars="200"/>
        <w:rPr>
          <w:rFonts w:ascii="仿宋_GB2312" w:eastAsia="仿宋_GB2312"/>
          <w:sz w:val="32"/>
          <w:szCs w:val="32"/>
          <w:highlight w:val="none"/>
        </w:rPr>
      </w:pPr>
    </w:p>
    <w:p w14:paraId="6CC2A453">
      <w:pPr>
        <w:spacing w:line="600" w:lineRule="exact"/>
        <w:ind w:firstLine="640" w:firstLineChars="200"/>
        <w:rPr>
          <w:rFonts w:ascii="仿宋_GB2312" w:eastAsia="仿宋_GB2312"/>
          <w:sz w:val="32"/>
          <w:szCs w:val="32"/>
          <w:highlight w:val="none"/>
        </w:rPr>
      </w:pPr>
    </w:p>
    <w:p w14:paraId="6730D58C">
      <w:pPr>
        <w:spacing w:line="600" w:lineRule="exact"/>
        <w:ind w:firstLine="640" w:firstLineChars="200"/>
        <w:rPr>
          <w:rFonts w:ascii="仿宋_GB2312" w:eastAsia="仿宋_GB2312"/>
          <w:sz w:val="32"/>
          <w:szCs w:val="32"/>
          <w:highlight w:val="none"/>
        </w:rPr>
      </w:pPr>
    </w:p>
    <w:p w14:paraId="08C7207E">
      <w:pPr>
        <w:spacing w:line="600" w:lineRule="exact"/>
        <w:ind w:firstLine="640" w:firstLineChars="200"/>
        <w:rPr>
          <w:rFonts w:ascii="仿宋_GB2312" w:eastAsia="仿宋_GB2312"/>
          <w:sz w:val="32"/>
          <w:szCs w:val="32"/>
          <w:highlight w:val="none"/>
        </w:rPr>
      </w:pPr>
    </w:p>
    <w:p w14:paraId="0F0CEFE2">
      <w:pPr>
        <w:spacing w:line="600" w:lineRule="exact"/>
        <w:rPr>
          <w:rFonts w:ascii="仿宋_GB2312" w:eastAsia="仿宋_GB2312"/>
          <w:sz w:val="32"/>
          <w:szCs w:val="32"/>
          <w:highlight w:val="none"/>
        </w:rPr>
      </w:pPr>
    </w:p>
    <w:p w14:paraId="04A6C737">
      <w:pPr>
        <w:spacing w:line="600" w:lineRule="exact"/>
        <w:ind w:firstLine="640" w:firstLineChars="200"/>
        <w:outlineLvl w:val="1"/>
        <w:rPr>
          <w:rStyle w:val="28"/>
          <w:rFonts w:ascii="黑体" w:hAnsi="黑体" w:eastAsia="黑体"/>
          <w:b w:val="0"/>
          <w:highlight w:val="none"/>
        </w:rPr>
      </w:pPr>
      <w:bookmarkStart w:id="24" w:name="_Toc15377208"/>
      <w:bookmarkStart w:id="25" w:name="_Toc15396606"/>
      <w:r>
        <w:rPr>
          <w:rFonts w:hint="eastAsia" w:ascii="黑体" w:hAnsi="黑体" w:eastAsia="黑体"/>
          <w:sz w:val="32"/>
          <w:szCs w:val="32"/>
          <w:highlight w:val="none"/>
        </w:rPr>
        <w:t>四、财</w:t>
      </w:r>
      <w:r>
        <w:rPr>
          <w:rStyle w:val="28"/>
          <w:rFonts w:hint="eastAsia" w:ascii="黑体" w:hAnsi="黑体" w:eastAsia="黑体"/>
          <w:b w:val="0"/>
          <w:highlight w:val="none"/>
        </w:rPr>
        <w:t>政拨款收入支出决算总体情况说明</w:t>
      </w:r>
      <w:bookmarkEnd w:id="24"/>
      <w:bookmarkEnd w:id="25"/>
    </w:p>
    <w:p w14:paraId="0BABCD57">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2023年度财政拨款收、支总计均为</w:t>
      </w:r>
      <w:r>
        <w:rPr>
          <w:rFonts w:hint="eastAsia" w:ascii="仿宋" w:hAnsi="仿宋" w:eastAsia="仿宋"/>
          <w:b w:val="0"/>
          <w:bCs/>
          <w:sz w:val="32"/>
          <w:szCs w:val="32"/>
          <w:highlight w:val="none"/>
          <w:lang w:val="en-US" w:eastAsia="zh-CN"/>
        </w:rPr>
        <w:t>2339.52</w:t>
      </w:r>
      <w:r>
        <w:rPr>
          <w:rFonts w:hint="eastAsia" w:ascii="仿宋" w:hAnsi="仿宋" w:eastAsia="仿宋"/>
          <w:sz w:val="32"/>
          <w:szCs w:val="32"/>
          <w:highlight w:val="none"/>
        </w:rPr>
        <w:t>万元。与2022年度相比，财政拨款收、支总计各增加</w:t>
      </w:r>
      <w:r>
        <w:rPr>
          <w:rFonts w:hint="eastAsia" w:ascii="仿宋" w:hAnsi="仿宋" w:eastAsia="仿宋"/>
          <w:sz w:val="32"/>
          <w:szCs w:val="32"/>
          <w:highlight w:val="none"/>
          <w:lang w:val="en-US" w:eastAsia="zh-CN"/>
        </w:rPr>
        <w:t>1216.27</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108.28</w:t>
      </w:r>
      <w:r>
        <w:rPr>
          <w:rFonts w:ascii="仿宋" w:hAnsi="仿宋" w:eastAsia="仿宋"/>
          <w:sz w:val="32"/>
          <w:szCs w:val="32"/>
          <w:highlight w:val="none"/>
        </w:rPr>
        <w:t>%</w:t>
      </w:r>
      <w:r>
        <w:rPr>
          <w:rFonts w:hint="eastAsia" w:ascii="仿宋" w:hAnsi="仿宋" w:eastAsia="仿宋"/>
          <w:sz w:val="32"/>
          <w:szCs w:val="32"/>
          <w:highlight w:val="none"/>
        </w:rPr>
        <w:t>。主要变动原因是2023年上级安排项目预算收</w:t>
      </w:r>
      <w:r>
        <w:rPr>
          <w:rFonts w:hint="eastAsia" w:ascii="仿宋" w:hAnsi="仿宋" w:eastAsia="仿宋"/>
          <w:sz w:val="32"/>
          <w:szCs w:val="32"/>
          <w:highlight w:val="none"/>
          <w:lang w:eastAsia="zh-CN"/>
        </w:rPr>
        <w:t>支</w:t>
      </w:r>
      <w:r>
        <w:rPr>
          <w:rFonts w:hint="eastAsia" w:ascii="仿宋" w:hAnsi="仿宋" w:eastAsia="仿宋"/>
          <w:sz w:val="32"/>
          <w:szCs w:val="32"/>
          <w:highlight w:val="none"/>
        </w:rPr>
        <w:t>增加。</w:t>
      </w:r>
    </w:p>
    <w:p w14:paraId="7FFFB30C">
      <w:pPr>
        <w:spacing w:line="600" w:lineRule="exact"/>
        <w:ind w:firstLine="640"/>
        <w:rPr>
          <w:rFonts w:ascii="仿宋" w:hAnsi="仿宋" w:eastAsia="仿宋"/>
          <w:sz w:val="32"/>
          <w:szCs w:val="32"/>
          <w:highlight w:val="none"/>
        </w:rPr>
      </w:pPr>
      <w:r>
        <w:rPr>
          <w:rFonts w:hint="eastAsia" w:ascii="仿宋" w:hAnsi="仿宋" w:eastAsia="仿宋"/>
          <w:b/>
          <w:sz w:val="32"/>
          <w:szCs w:val="32"/>
          <w:highlight w:val="none"/>
        </w:rPr>
        <w:t>（注：数据来源于财决</w:t>
      </w:r>
      <w:r>
        <w:rPr>
          <w:rFonts w:ascii="仿宋" w:hAnsi="仿宋" w:eastAsia="仿宋"/>
          <w:b/>
          <w:sz w:val="32"/>
          <w:szCs w:val="32"/>
          <w:highlight w:val="none"/>
        </w:rPr>
        <w:t>01-1</w:t>
      </w:r>
      <w:r>
        <w:rPr>
          <w:rFonts w:hint="eastAsia" w:ascii="仿宋" w:hAnsi="仿宋" w:eastAsia="仿宋"/>
          <w:b/>
          <w:sz w:val="32"/>
          <w:szCs w:val="32"/>
          <w:highlight w:val="none"/>
        </w:rPr>
        <w:t>表</w:t>
      </w:r>
      <w:r>
        <w:rPr>
          <w:rFonts w:ascii="仿宋" w:hAnsi="仿宋" w:eastAsia="仿宋"/>
          <w:b/>
          <w:sz w:val="32"/>
          <w:szCs w:val="32"/>
          <w:highlight w:val="none"/>
        </w:rPr>
        <w:t>）</w:t>
      </w:r>
    </w:p>
    <w:p w14:paraId="64F3E757">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（图4：财政拨款收、支决算总计变动情况）（柱状图）</w:t>
      </w:r>
    </w:p>
    <w:p w14:paraId="70FA7E5F">
      <w:pPr>
        <w:spacing w:line="600" w:lineRule="exact"/>
        <w:ind w:firstLine="640"/>
        <w:rPr>
          <w:rFonts w:ascii="仿宋" w:hAnsi="仿宋" w:eastAsia="仿宋"/>
          <w:b/>
          <w:sz w:val="32"/>
          <w:szCs w:val="32"/>
          <w:highlight w:val="none"/>
        </w:rPr>
      </w:pPr>
      <w:r>
        <w:rPr>
          <w:rStyle w:val="27"/>
          <w:rFonts w:hint="eastAsia" w:ascii="黑体" w:hAnsi="黑体" w:eastAsia="黑体"/>
          <w:b w:val="0"/>
          <w:bCs/>
          <w:highlight w:val="none"/>
        </w:rPr>
        <w:drawing>
          <wp:anchor distT="0" distB="0" distL="114300" distR="114300" simplePos="0" relativeHeight="251662336" behindDoc="0" locked="0" layoutInCell="1" allowOverlap="1">
            <wp:simplePos x="0" y="0"/>
            <wp:positionH relativeFrom="column">
              <wp:posOffset>266700</wp:posOffset>
            </wp:positionH>
            <wp:positionV relativeFrom="paragraph">
              <wp:posOffset>266700</wp:posOffset>
            </wp:positionV>
            <wp:extent cx="5256530" cy="2988310"/>
            <wp:effectExtent l="5080" t="4445" r="15240" b="1714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5A0B446">
      <w:pPr>
        <w:spacing w:line="600" w:lineRule="exact"/>
        <w:ind w:firstLine="640"/>
        <w:rPr>
          <w:rFonts w:ascii="仿宋" w:hAnsi="仿宋" w:eastAsia="仿宋"/>
          <w:b/>
          <w:sz w:val="32"/>
          <w:szCs w:val="32"/>
          <w:highlight w:val="none"/>
        </w:rPr>
      </w:pPr>
    </w:p>
    <w:p w14:paraId="7A220776">
      <w:pPr>
        <w:spacing w:line="600" w:lineRule="exact"/>
        <w:ind w:firstLine="640"/>
        <w:rPr>
          <w:rFonts w:ascii="仿宋" w:hAnsi="仿宋" w:eastAsia="仿宋"/>
          <w:b/>
          <w:sz w:val="32"/>
          <w:szCs w:val="32"/>
          <w:highlight w:val="none"/>
        </w:rPr>
      </w:pPr>
    </w:p>
    <w:p w14:paraId="63F78DD2">
      <w:pPr>
        <w:spacing w:line="600" w:lineRule="exact"/>
        <w:ind w:firstLine="640"/>
        <w:rPr>
          <w:rFonts w:ascii="仿宋" w:hAnsi="仿宋" w:eastAsia="仿宋"/>
          <w:b/>
          <w:sz w:val="32"/>
          <w:szCs w:val="32"/>
          <w:highlight w:val="none"/>
        </w:rPr>
      </w:pPr>
    </w:p>
    <w:p w14:paraId="531A73D2">
      <w:pPr>
        <w:spacing w:line="600" w:lineRule="exact"/>
        <w:ind w:firstLine="640"/>
        <w:rPr>
          <w:rFonts w:ascii="仿宋" w:hAnsi="仿宋" w:eastAsia="仿宋"/>
          <w:b/>
          <w:sz w:val="32"/>
          <w:szCs w:val="32"/>
          <w:highlight w:val="none"/>
        </w:rPr>
      </w:pPr>
    </w:p>
    <w:p w14:paraId="2B07DD0B">
      <w:pPr>
        <w:spacing w:line="600" w:lineRule="exact"/>
        <w:ind w:firstLine="640"/>
        <w:rPr>
          <w:rFonts w:ascii="仿宋" w:hAnsi="仿宋" w:eastAsia="仿宋"/>
          <w:b/>
          <w:sz w:val="32"/>
          <w:szCs w:val="32"/>
          <w:highlight w:val="none"/>
        </w:rPr>
      </w:pPr>
    </w:p>
    <w:p w14:paraId="7B64F61B">
      <w:pPr>
        <w:spacing w:line="600" w:lineRule="exact"/>
        <w:ind w:firstLine="640"/>
        <w:rPr>
          <w:rFonts w:ascii="仿宋" w:hAnsi="仿宋" w:eastAsia="仿宋"/>
          <w:b/>
          <w:sz w:val="32"/>
          <w:szCs w:val="32"/>
          <w:highlight w:val="none"/>
        </w:rPr>
      </w:pPr>
    </w:p>
    <w:p w14:paraId="511A920D">
      <w:pPr>
        <w:spacing w:line="600" w:lineRule="exact"/>
        <w:ind w:firstLine="640"/>
        <w:rPr>
          <w:rFonts w:ascii="仿宋" w:hAnsi="仿宋" w:eastAsia="仿宋"/>
          <w:b/>
          <w:sz w:val="32"/>
          <w:szCs w:val="32"/>
          <w:highlight w:val="none"/>
        </w:rPr>
      </w:pPr>
    </w:p>
    <w:p w14:paraId="1405AC8B">
      <w:pPr>
        <w:spacing w:line="600" w:lineRule="exact"/>
        <w:ind w:firstLine="640"/>
        <w:rPr>
          <w:rFonts w:ascii="仿宋" w:hAnsi="仿宋" w:eastAsia="仿宋"/>
          <w:b/>
          <w:sz w:val="32"/>
          <w:szCs w:val="32"/>
          <w:highlight w:val="none"/>
        </w:rPr>
      </w:pPr>
    </w:p>
    <w:p w14:paraId="0AF74813">
      <w:pPr>
        <w:spacing w:line="600" w:lineRule="exact"/>
        <w:ind w:firstLine="640" w:firstLineChars="200"/>
        <w:outlineLvl w:val="1"/>
        <w:rPr>
          <w:rStyle w:val="28"/>
          <w:rFonts w:ascii="黑体" w:hAnsi="黑体" w:eastAsia="黑体"/>
          <w:b w:val="0"/>
          <w:highlight w:val="none"/>
        </w:rPr>
      </w:pPr>
      <w:bookmarkStart w:id="26" w:name="_Toc15396607"/>
      <w:bookmarkStart w:id="27" w:name="_Toc15377209"/>
      <w:r>
        <w:rPr>
          <w:rFonts w:hint="eastAsia" w:ascii="黑体" w:hAnsi="黑体" w:eastAsia="黑体"/>
          <w:sz w:val="32"/>
          <w:szCs w:val="32"/>
          <w:highlight w:val="none"/>
        </w:rPr>
        <w:t>五、</w:t>
      </w:r>
      <w:r>
        <w:rPr>
          <w:rFonts w:hint="eastAsia" w:ascii="黑体" w:hAnsi="黑体" w:eastAsia="黑体"/>
          <w:b/>
          <w:sz w:val="32"/>
          <w:szCs w:val="32"/>
          <w:highlight w:val="none"/>
        </w:rPr>
        <w:t>一</w:t>
      </w:r>
      <w:r>
        <w:rPr>
          <w:rStyle w:val="28"/>
          <w:rFonts w:hint="eastAsia" w:ascii="黑体" w:hAnsi="黑体" w:eastAsia="黑体"/>
          <w:b w:val="0"/>
          <w:highlight w:val="none"/>
        </w:rPr>
        <w:t>般公共预算财政拨款支出决算情况说明</w:t>
      </w:r>
      <w:bookmarkEnd w:id="26"/>
      <w:bookmarkEnd w:id="27"/>
    </w:p>
    <w:p w14:paraId="09539BEF">
      <w:pPr>
        <w:spacing w:line="600" w:lineRule="exact"/>
        <w:ind w:firstLine="643" w:firstLineChars="200"/>
        <w:outlineLvl w:val="2"/>
        <w:rPr>
          <w:rFonts w:ascii="仿宋" w:hAnsi="仿宋" w:eastAsia="仿宋"/>
          <w:b/>
          <w:sz w:val="32"/>
          <w:szCs w:val="32"/>
          <w:highlight w:val="none"/>
        </w:rPr>
      </w:pPr>
      <w:bookmarkStart w:id="28" w:name="_Toc15377210"/>
      <w:r>
        <w:rPr>
          <w:rFonts w:hint="eastAsia" w:ascii="仿宋" w:hAnsi="仿宋" w:eastAsia="仿宋"/>
          <w:b/>
          <w:sz w:val="32"/>
          <w:szCs w:val="32"/>
          <w:highlight w:val="none"/>
        </w:rPr>
        <w:t>（一）一般公共预算财政拨款支出决算总体情况</w:t>
      </w:r>
      <w:bookmarkEnd w:id="28"/>
    </w:p>
    <w:p w14:paraId="443A42ED">
      <w:pPr>
        <w:spacing w:line="60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2023年度一般公共</w:t>
      </w:r>
      <w:r>
        <w:rPr>
          <w:rFonts w:hint="eastAsia" w:ascii="仿宋" w:hAnsi="仿宋" w:eastAsia="仿宋"/>
          <w:b w:val="0"/>
          <w:bCs w:val="0"/>
          <w:sz w:val="32"/>
          <w:szCs w:val="32"/>
          <w:highlight w:val="none"/>
        </w:rPr>
        <w:t>预算财政拨款支出</w:t>
      </w:r>
      <w:r>
        <w:rPr>
          <w:rFonts w:hint="eastAsia" w:ascii="仿宋" w:hAnsi="仿宋" w:eastAsia="仿宋"/>
          <w:b w:val="0"/>
          <w:bCs w:val="0"/>
          <w:sz w:val="32"/>
          <w:szCs w:val="32"/>
          <w:highlight w:val="none"/>
          <w:lang w:val="en-US" w:eastAsia="zh-CN"/>
        </w:rPr>
        <w:t>2205.78</w:t>
      </w:r>
      <w:r>
        <w:rPr>
          <w:rFonts w:hint="eastAsia" w:ascii="仿宋" w:hAnsi="仿宋" w:eastAsia="仿宋"/>
          <w:b w:val="0"/>
          <w:bCs w:val="0"/>
          <w:sz w:val="32"/>
          <w:szCs w:val="32"/>
          <w:highlight w:val="none"/>
        </w:rPr>
        <w:t>万元，占本年支出合计的</w:t>
      </w:r>
      <w:r>
        <w:rPr>
          <w:rFonts w:hint="eastAsia" w:ascii="仿宋" w:hAnsi="仿宋" w:eastAsia="仿宋"/>
          <w:b w:val="0"/>
          <w:bCs w:val="0"/>
          <w:sz w:val="32"/>
          <w:szCs w:val="32"/>
          <w:highlight w:val="none"/>
          <w:lang w:val="en-US" w:eastAsia="zh-CN"/>
        </w:rPr>
        <w:t>94.28</w:t>
      </w:r>
      <w:r>
        <w:rPr>
          <w:rFonts w:ascii="仿宋" w:hAnsi="仿宋" w:eastAsia="仿宋"/>
          <w:b w:val="0"/>
          <w:bCs w:val="0"/>
          <w:sz w:val="32"/>
          <w:szCs w:val="32"/>
          <w:highlight w:val="none"/>
        </w:rPr>
        <w:t>%</w:t>
      </w:r>
      <w:r>
        <w:rPr>
          <w:rFonts w:hint="eastAsia" w:ascii="仿宋" w:hAnsi="仿宋" w:eastAsia="仿宋"/>
          <w:sz w:val="32"/>
          <w:szCs w:val="32"/>
          <w:highlight w:val="none"/>
        </w:rPr>
        <w:t>。与2022年度相比，一般公共预算财政拨款支出增加</w:t>
      </w:r>
      <w:r>
        <w:rPr>
          <w:rFonts w:hint="eastAsia" w:ascii="仿宋" w:hAnsi="仿宋" w:eastAsia="仿宋"/>
          <w:sz w:val="32"/>
          <w:szCs w:val="32"/>
          <w:highlight w:val="none"/>
          <w:lang w:val="en-US" w:eastAsia="zh-CN"/>
        </w:rPr>
        <w:t>1211.43</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121.84</w:t>
      </w:r>
      <w:r>
        <w:rPr>
          <w:rFonts w:ascii="仿宋" w:hAnsi="仿宋" w:eastAsia="仿宋"/>
          <w:sz w:val="32"/>
          <w:szCs w:val="32"/>
          <w:highlight w:val="none"/>
        </w:rPr>
        <w:t>%</w:t>
      </w:r>
      <w:r>
        <w:rPr>
          <w:rFonts w:hint="eastAsia" w:ascii="仿宋" w:hAnsi="仿宋" w:eastAsia="仿宋"/>
          <w:sz w:val="32"/>
          <w:szCs w:val="32"/>
          <w:highlight w:val="none"/>
        </w:rPr>
        <w:t>。主要变动原因是上级财政安排</w:t>
      </w:r>
      <w:r>
        <w:rPr>
          <w:rFonts w:hint="eastAsia" w:ascii="仿宋" w:hAnsi="仿宋" w:eastAsia="仿宋"/>
          <w:sz w:val="32"/>
          <w:szCs w:val="32"/>
          <w:highlight w:val="none"/>
          <w:lang w:eastAsia="zh-CN"/>
        </w:rPr>
        <w:t>项目</w:t>
      </w:r>
      <w:r>
        <w:rPr>
          <w:rFonts w:hint="eastAsia" w:ascii="仿宋" w:hAnsi="仿宋" w:eastAsia="仿宋"/>
          <w:sz w:val="32"/>
          <w:szCs w:val="32"/>
          <w:highlight w:val="none"/>
        </w:rPr>
        <w:t>资金较上年度增加</w:t>
      </w:r>
      <w:r>
        <w:rPr>
          <w:rFonts w:hint="eastAsia" w:ascii="仿宋" w:hAnsi="仿宋" w:eastAsia="仿宋"/>
          <w:sz w:val="32"/>
          <w:szCs w:val="32"/>
          <w:highlight w:val="none"/>
          <w:lang w:eastAsia="zh-CN"/>
        </w:rPr>
        <w:t>。</w:t>
      </w:r>
    </w:p>
    <w:p w14:paraId="44E4F0D7">
      <w:pPr>
        <w:spacing w:line="600" w:lineRule="exact"/>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（图5：一般公共预算财政拨款支出决算变动情况）（柱状图）</w:t>
      </w:r>
    </w:p>
    <w:p w14:paraId="66E6CCF2">
      <w:pPr>
        <w:spacing w:line="600" w:lineRule="exact"/>
        <w:ind w:firstLine="880" w:firstLineChars="200"/>
        <w:rPr>
          <w:rFonts w:ascii="仿宋" w:hAnsi="仿宋" w:eastAsia="仿宋"/>
          <w:sz w:val="32"/>
          <w:szCs w:val="32"/>
          <w:highlight w:val="none"/>
        </w:rPr>
      </w:pPr>
      <w:r>
        <w:rPr>
          <w:rStyle w:val="27"/>
          <w:rFonts w:hint="eastAsia" w:ascii="黑体" w:hAnsi="黑体" w:eastAsia="黑体"/>
          <w:b w:val="0"/>
          <w:bCs/>
          <w:highlight w:val="none"/>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228600</wp:posOffset>
            </wp:positionV>
            <wp:extent cx="5256530" cy="2988310"/>
            <wp:effectExtent l="5080" t="4445" r="15240" b="1714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37B67C5">
      <w:pPr>
        <w:spacing w:line="600" w:lineRule="exact"/>
        <w:ind w:firstLine="640" w:firstLineChars="200"/>
        <w:rPr>
          <w:rFonts w:ascii="仿宋" w:hAnsi="仿宋" w:eastAsia="仿宋"/>
          <w:sz w:val="32"/>
          <w:szCs w:val="32"/>
          <w:highlight w:val="none"/>
        </w:rPr>
      </w:pPr>
    </w:p>
    <w:p w14:paraId="7BA36B4D">
      <w:pPr>
        <w:spacing w:line="600" w:lineRule="exact"/>
        <w:ind w:firstLine="640" w:firstLineChars="200"/>
        <w:rPr>
          <w:rFonts w:ascii="仿宋" w:hAnsi="仿宋" w:eastAsia="仿宋"/>
          <w:sz w:val="32"/>
          <w:szCs w:val="32"/>
          <w:highlight w:val="none"/>
        </w:rPr>
      </w:pPr>
    </w:p>
    <w:p w14:paraId="6965CAF5">
      <w:pPr>
        <w:spacing w:line="600" w:lineRule="exact"/>
        <w:ind w:firstLine="640" w:firstLineChars="200"/>
        <w:rPr>
          <w:rFonts w:ascii="仿宋" w:hAnsi="仿宋" w:eastAsia="仿宋"/>
          <w:sz w:val="32"/>
          <w:szCs w:val="32"/>
          <w:highlight w:val="none"/>
        </w:rPr>
      </w:pPr>
    </w:p>
    <w:p w14:paraId="175469B4">
      <w:pPr>
        <w:spacing w:line="600" w:lineRule="exact"/>
        <w:ind w:firstLine="640" w:firstLineChars="200"/>
        <w:rPr>
          <w:rFonts w:ascii="仿宋" w:hAnsi="仿宋" w:eastAsia="仿宋"/>
          <w:sz w:val="32"/>
          <w:szCs w:val="32"/>
          <w:highlight w:val="none"/>
        </w:rPr>
      </w:pPr>
    </w:p>
    <w:p w14:paraId="1872FE58">
      <w:pPr>
        <w:spacing w:line="600" w:lineRule="exact"/>
        <w:ind w:firstLine="640" w:firstLineChars="200"/>
        <w:rPr>
          <w:rFonts w:ascii="仿宋" w:hAnsi="仿宋" w:eastAsia="仿宋"/>
          <w:sz w:val="32"/>
          <w:szCs w:val="32"/>
          <w:highlight w:val="none"/>
        </w:rPr>
      </w:pPr>
    </w:p>
    <w:p w14:paraId="1AD6517F">
      <w:pPr>
        <w:spacing w:line="600" w:lineRule="exact"/>
        <w:ind w:firstLine="640" w:firstLineChars="200"/>
        <w:rPr>
          <w:rFonts w:ascii="仿宋" w:hAnsi="仿宋" w:eastAsia="仿宋"/>
          <w:sz w:val="32"/>
          <w:szCs w:val="32"/>
          <w:highlight w:val="none"/>
        </w:rPr>
      </w:pPr>
    </w:p>
    <w:p w14:paraId="04020A4A">
      <w:pPr>
        <w:spacing w:line="600" w:lineRule="exact"/>
        <w:ind w:firstLine="640" w:firstLineChars="200"/>
        <w:rPr>
          <w:rFonts w:ascii="仿宋" w:hAnsi="仿宋" w:eastAsia="仿宋"/>
          <w:sz w:val="32"/>
          <w:szCs w:val="32"/>
          <w:highlight w:val="none"/>
        </w:rPr>
      </w:pPr>
    </w:p>
    <w:p w14:paraId="34F77A7C">
      <w:pPr>
        <w:spacing w:line="600" w:lineRule="exact"/>
        <w:ind w:firstLine="640" w:firstLineChars="200"/>
        <w:rPr>
          <w:rFonts w:ascii="仿宋" w:hAnsi="仿宋" w:eastAsia="仿宋"/>
          <w:sz w:val="32"/>
          <w:szCs w:val="32"/>
          <w:highlight w:val="none"/>
        </w:rPr>
      </w:pPr>
    </w:p>
    <w:p w14:paraId="1859B3AB">
      <w:pPr>
        <w:spacing w:line="600" w:lineRule="exact"/>
        <w:ind w:firstLine="643" w:firstLineChars="200"/>
        <w:outlineLvl w:val="2"/>
        <w:rPr>
          <w:rFonts w:ascii="仿宋" w:hAnsi="仿宋" w:eastAsia="仿宋"/>
          <w:b/>
          <w:sz w:val="32"/>
          <w:szCs w:val="32"/>
          <w:highlight w:val="none"/>
        </w:rPr>
      </w:pPr>
      <w:bookmarkStart w:id="29" w:name="_Toc15377211"/>
      <w:r>
        <w:rPr>
          <w:rFonts w:hint="eastAsia" w:ascii="仿宋" w:hAnsi="仿宋" w:eastAsia="仿宋"/>
          <w:b/>
          <w:sz w:val="32"/>
          <w:szCs w:val="32"/>
          <w:highlight w:val="none"/>
        </w:rPr>
        <w:t>（二）一般公共预算财政拨款支出决算结构情况</w:t>
      </w:r>
      <w:bookmarkEnd w:id="29"/>
    </w:p>
    <w:p w14:paraId="256FF57B">
      <w:pPr>
        <w:spacing w:line="600" w:lineRule="exact"/>
        <w:ind w:firstLine="640"/>
        <w:rPr>
          <w:rFonts w:ascii="仿宋" w:hAnsi="仿宋" w:eastAsia="仿宋"/>
          <w:b w:val="0"/>
          <w:bCs/>
          <w:sz w:val="32"/>
          <w:szCs w:val="32"/>
          <w:highlight w:val="none"/>
        </w:rPr>
      </w:pPr>
      <w:r>
        <w:rPr>
          <w:rFonts w:hint="eastAsia" w:ascii="仿宋" w:hAnsi="仿宋" w:eastAsia="仿宋"/>
          <w:sz w:val="32"/>
          <w:szCs w:val="32"/>
          <w:highlight w:val="none"/>
        </w:rPr>
        <w:t>2023年度一般公共预算财政拨款支出</w:t>
      </w:r>
      <w:r>
        <w:rPr>
          <w:rFonts w:hint="eastAsia" w:ascii="仿宋" w:hAnsi="仿宋" w:eastAsia="仿宋"/>
          <w:b w:val="0"/>
          <w:bCs w:val="0"/>
          <w:sz w:val="32"/>
          <w:szCs w:val="32"/>
          <w:highlight w:val="none"/>
          <w:lang w:val="en-US" w:eastAsia="zh-CN"/>
        </w:rPr>
        <w:t>2205.78</w:t>
      </w:r>
      <w:r>
        <w:rPr>
          <w:rFonts w:hint="eastAsia" w:ascii="仿宋" w:hAnsi="仿宋" w:eastAsia="仿宋"/>
          <w:sz w:val="32"/>
          <w:szCs w:val="32"/>
          <w:highlight w:val="none"/>
        </w:rPr>
        <w:t>万元，主要用于以下方面</w:t>
      </w:r>
      <w:r>
        <w:rPr>
          <w:rFonts w:ascii="仿宋" w:hAnsi="仿宋" w:eastAsia="仿宋"/>
          <w:sz w:val="32"/>
          <w:szCs w:val="32"/>
          <w:highlight w:val="none"/>
        </w:rPr>
        <w:t>:</w:t>
      </w:r>
      <w:r>
        <w:rPr>
          <w:rFonts w:hint="eastAsia" w:ascii="仿宋" w:hAnsi="仿宋" w:eastAsia="仿宋"/>
          <w:b w:val="0"/>
          <w:bCs/>
          <w:sz w:val="32"/>
          <w:szCs w:val="32"/>
          <w:highlight w:val="none"/>
          <w:lang w:eastAsia="zh-CN"/>
        </w:rPr>
        <w:t>科学技术支出</w:t>
      </w:r>
      <w:r>
        <w:rPr>
          <w:rFonts w:hint="eastAsia" w:ascii="仿宋" w:hAnsi="仿宋" w:eastAsia="仿宋"/>
          <w:b w:val="0"/>
          <w:bCs/>
          <w:sz w:val="32"/>
          <w:szCs w:val="32"/>
          <w:highlight w:val="none"/>
          <w:lang w:val="en-US" w:eastAsia="zh-CN"/>
        </w:rPr>
        <w:t>414.3</w:t>
      </w:r>
      <w:r>
        <w:rPr>
          <w:rFonts w:hint="eastAsia" w:ascii="仿宋" w:hAnsi="仿宋" w:eastAsia="仿宋"/>
          <w:b w:val="0"/>
          <w:bCs/>
          <w:sz w:val="32"/>
          <w:szCs w:val="32"/>
          <w:highlight w:val="none"/>
        </w:rPr>
        <w:t>万元，占</w:t>
      </w:r>
      <w:r>
        <w:rPr>
          <w:rFonts w:hint="eastAsia" w:ascii="仿宋" w:hAnsi="仿宋" w:eastAsia="仿宋"/>
          <w:b w:val="0"/>
          <w:bCs/>
          <w:sz w:val="32"/>
          <w:szCs w:val="32"/>
          <w:highlight w:val="none"/>
          <w:lang w:val="en-US" w:eastAsia="zh-CN"/>
        </w:rPr>
        <w:t>18.78</w:t>
      </w:r>
      <w:r>
        <w:rPr>
          <w:rFonts w:ascii="仿宋" w:hAnsi="仿宋" w:eastAsia="仿宋"/>
          <w:b w:val="0"/>
          <w:bCs/>
          <w:sz w:val="32"/>
          <w:szCs w:val="32"/>
          <w:highlight w:val="none"/>
        </w:rPr>
        <w:t>%</w:t>
      </w:r>
      <w:r>
        <w:rPr>
          <w:rFonts w:hint="eastAsia" w:ascii="仿宋" w:hAnsi="仿宋" w:eastAsia="仿宋"/>
          <w:b w:val="0"/>
          <w:bCs/>
          <w:sz w:val="32"/>
          <w:szCs w:val="32"/>
          <w:highlight w:val="none"/>
        </w:rPr>
        <w:t>；</w:t>
      </w:r>
      <w:r>
        <w:rPr>
          <w:rFonts w:hint="eastAsia" w:ascii="仿宋" w:hAnsi="仿宋" w:eastAsia="仿宋"/>
          <w:b w:val="0"/>
          <w:bCs/>
          <w:sz w:val="32"/>
          <w:szCs w:val="32"/>
          <w:highlight w:val="none"/>
          <w:lang w:eastAsia="zh-CN"/>
        </w:rPr>
        <w:t>社会保障和就业支出</w:t>
      </w:r>
      <w:r>
        <w:rPr>
          <w:rFonts w:hint="eastAsia" w:ascii="仿宋" w:hAnsi="仿宋" w:eastAsia="仿宋"/>
          <w:b w:val="0"/>
          <w:bCs/>
          <w:sz w:val="32"/>
          <w:szCs w:val="32"/>
          <w:highlight w:val="none"/>
          <w:lang w:val="en-US" w:eastAsia="zh-CN"/>
        </w:rPr>
        <w:t>110.7</w:t>
      </w:r>
      <w:r>
        <w:rPr>
          <w:rFonts w:hint="eastAsia" w:ascii="仿宋" w:hAnsi="仿宋" w:eastAsia="仿宋"/>
          <w:b w:val="0"/>
          <w:bCs/>
          <w:sz w:val="32"/>
          <w:szCs w:val="32"/>
          <w:highlight w:val="none"/>
        </w:rPr>
        <w:t>万元，占</w:t>
      </w:r>
      <w:r>
        <w:rPr>
          <w:rFonts w:hint="eastAsia" w:ascii="仿宋" w:hAnsi="仿宋" w:eastAsia="仿宋"/>
          <w:b w:val="0"/>
          <w:bCs/>
          <w:sz w:val="32"/>
          <w:szCs w:val="32"/>
          <w:highlight w:val="none"/>
          <w:lang w:val="en-US" w:eastAsia="zh-CN"/>
        </w:rPr>
        <w:t>5.02</w:t>
      </w:r>
      <w:r>
        <w:rPr>
          <w:rFonts w:ascii="仿宋" w:hAnsi="仿宋" w:eastAsia="仿宋"/>
          <w:b w:val="0"/>
          <w:bCs/>
          <w:sz w:val="32"/>
          <w:szCs w:val="32"/>
          <w:highlight w:val="none"/>
        </w:rPr>
        <w:t>%</w:t>
      </w:r>
      <w:r>
        <w:rPr>
          <w:rFonts w:hint="eastAsia" w:ascii="仿宋" w:hAnsi="仿宋" w:eastAsia="仿宋"/>
          <w:b w:val="0"/>
          <w:bCs/>
          <w:sz w:val="32"/>
          <w:szCs w:val="32"/>
          <w:highlight w:val="none"/>
        </w:rPr>
        <w:t>；</w:t>
      </w:r>
      <w:r>
        <w:rPr>
          <w:rFonts w:hint="eastAsia" w:ascii="仿宋" w:hAnsi="仿宋" w:eastAsia="仿宋"/>
          <w:b w:val="0"/>
          <w:bCs/>
          <w:sz w:val="32"/>
          <w:szCs w:val="32"/>
          <w:highlight w:val="none"/>
          <w:lang w:eastAsia="zh-CN"/>
        </w:rPr>
        <w:t>卫生健康支出</w:t>
      </w:r>
      <w:r>
        <w:rPr>
          <w:rFonts w:hint="eastAsia" w:ascii="仿宋" w:hAnsi="仿宋" w:eastAsia="仿宋"/>
          <w:b w:val="0"/>
          <w:bCs/>
          <w:sz w:val="32"/>
          <w:szCs w:val="32"/>
          <w:highlight w:val="none"/>
          <w:lang w:val="en-US" w:eastAsia="zh-CN"/>
        </w:rPr>
        <w:t>24.79</w:t>
      </w:r>
      <w:r>
        <w:rPr>
          <w:rFonts w:hint="eastAsia" w:ascii="仿宋" w:hAnsi="仿宋" w:eastAsia="仿宋"/>
          <w:b w:val="0"/>
          <w:bCs/>
          <w:sz w:val="32"/>
          <w:szCs w:val="32"/>
          <w:highlight w:val="none"/>
        </w:rPr>
        <w:t>万元，占</w:t>
      </w:r>
      <w:r>
        <w:rPr>
          <w:rFonts w:hint="eastAsia" w:ascii="仿宋" w:hAnsi="仿宋" w:eastAsia="仿宋"/>
          <w:b w:val="0"/>
          <w:bCs/>
          <w:sz w:val="32"/>
          <w:szCs w:val="32"/>
          <w:highlight w:val="none"/>
          <w:lang w:val="en-US" w:eastAsia="zh-CN"/>
        </w:rPr>
        <w:t>1.12</w:t>
      </w:r>
      <w:r>
        <w:rPr>
          <w:rFonts w:ascii="仿宋" w:hAnsi="仿宋" w:eastAsia="仿宋"/>
          <w:b w:val="0"/>
          <w:bCs/>
          <w:sz w:val="32"/>
          <w:szCs w:val="32"/>
          <w:highlight w:val="none"/>
        </w:rPr>
        <w:t>%</w:t>
      </w:r>
      <w:r>
        <w:rPr>
          <w:rFonts w:hint="eastAsia" w:ascii="仿宋" w:hAnsi="仿宋" w:eastAsia="仿宋"/>
          <w:b w:val="0"/>
          <w:bCs/>
          <w:sz w:val="32"/>
          <w:szCs w:val="32"/>
          <w:highlight w:val="none"/>
        </w:rPr>
        <w:t>；</w:t>
      </w:r>
      <w:r>
        <w:rPr>
          <w:rFonts w:hint="eastAsia" w:ascii="仿宋" w:hAnsi="仿宋" w:eastAsia="仿宋"/>
          <w:b w:val="0"/>
          <w:bCs/>
          <w:sz w:val="32"/>
          <w:szCs w:val="32"/>
          <w:highlight w:val="none"/>
          <w:lang w:eastAsia="zh-CN"/>
        </w:rPr>
        <w:t>资源勘探工业信息等支出</w:t>
      </w:r>
      <w:r>
        <w:rPr>
          <w:rFonts w:hint="eastAsia" w:ascii="仿宋" w:hAnsi="仿宋" w:eastAsia="仿宋"/>
          <w:b w:val="0"/>
          <w:bCs/>
          <w:sz w:val="32"/>
          <w:szCs w:val="32"/>
          <w:highlight w:val="none"/>
          <w:lang w:val="en-US" w:eastAsia="zh-CN"/>
        </w:rPr>
        <w:t>26.44</w:t>
      </w:r>
      <w:r>
        <w:rPr>
          <w:rFonts w:hint="eastAsia" w:ascii="仿宋" w:hAnsi="仿宋" w:eastAsia="仿宋"/>
          <w:b w:val="0"/>
          <w:bCs/>
          <w:sz w:val="32"/>
          <w:szCs w:val="32"/>
          <w:highlight w:val="none"/>
        </w:rPr>
        <w:t>万元，占</w:t>
      </w:r>
      <w:r>
        <w:rPr>
          <w:rFonts w:hint="eastAsia" w:ascii="仿宋" w:hAnsi="仿宋" w:eastAsia="仿宋"/>
          <w:b w:val="0"/>
          <w:bCs/>
          <w:sz w:val="32"/>
          <w:szCs w:val="32"/>
          <w:highlight w:val="none"/>
          <w:lang w:val="en-US" w:eastAsia="zh-CN"/>
        </w:rPr>
        <w:t>1.2</w:t>
      </w:r>
      <w:r>
        <w:rPr>
          <w:rFonts w:ascii="仿宋" w:hAnsi="仿宋" w:eastAsia="仿宋"/>
          <w:b w:val="0"/>
          <w:bCs/>
          <w:sz w:val="32"/>
          <w:szCs w:val="32"/>
          <w:highlight w:val="none"/>
        </w:rPr>
        <w:t>%</w:t>
      </w:r>
      <w:r>
        <w:rPr>
          <w:rFonts w:hint="eastAsia" w:ascii="仿宋" w:hAnsi="仿宋" w:eastAsia="仿宋"/>
          <w:b w:val="0"/>
          <w:bCs/>
          <w:sz w:val="32"/>
          <w:szCs w:val="32"/>
          <w:highlight w:val="none"/>
        </w:rPr>
        <w:t>；</w:t>
      </w:r>
      <w:r>
        <w:rPr>
          <w:rFonts w:hint="eastAsia" w:ascii="仿宋" w:hAnsi="仿宋" w:eastAsia="仿宋"/>
          <w:b w:val="0"/>
          <w:bCs/>
          <w:sz w:val="32"/>
          <w:szCs w:val="32"/>
          <w:highlight w:val="none"/>
          <w:lang w:eastAsia="zh-CN"/>
        </w:rPr>
        <w:t>商业服务业等支出</w:t>
      </w:r>
      <w:r>
        <w:rPr>
          <w:rFonts w:hint="eastAsia" w:ascii="仿宋" w:hAnsi="仿宋" w:eastAsia="仿宋"/>
          <w:b w:val="0"/>
          <w:bCs/>
          <w:sz w:val="32"/>
          <w:szCs w:val="32"/>
          <w:highlight w:val="none"/>
          <w:lang w:val="en-US" w:eastAsia="zh-CN"/>
        </w:rPr>
        <w:t>1599.46</w:t>
      </w:r>
      <w:r>
        <w:rPr>
          <w:rFonts w:hint="eastAsia" w:ascii="仿宋" w:hAnsi="仿宋" w:eastAsia="仿宋"/>
          <w:b w:val="0"/>
          <w:bCs/>
          <w:sz w:val="32"/>
          <w:szCs w:val="32"/>
          <w:highlight w:val="none"/>
        </w:rPr>
        <w:t>万元，占</w:t>
      </w:r>
      <w:r>
        <w:rPr>
          <w:rFonts w:hint="eastAsia" w:ascii="仿宋" w:hAnsi="仿宋" w:eastAsia="仿宋"/>
          <w:b w:val="0"/>
          <w:bCs/>
          <w:sz w:val="32"/>
          <w:szCs w:val="32"/>
          <w:highlight w:val="none"/>
          <w:lang w:val="en-US" w:eastAsia="zh-CN"/>
        </w:rPr>
        <w:t>72.51</w:t>
      </w:r>
      <w:r>
        <w:rPr>
          <w:rFonts w:ascii="仿宋" w:hAnsi="仿宋" w:eastAsia="仿宋"/>
          <w:b w:val="0"/>
          <w:bCs/>
          <w:sz w:val="32"/>
          <w:szCs w:val="32"/>
          <w:highlight w:val="none"/>
        </w:rPr>
        <w:t>%</w:t>
      </w:r>
      <w:r>
        <w:rPr>
          <w:rFonts w:hint="eastAsia" w:ascii="仿宋" w:hAnsi="仿宋" w:eastAsia="仿宋"/>
          <w:b w:val="0"/>
          <w:bCs/>
          <w:sz w:val="32"/>
          <w:szCs w:val="32"/>
          <w:highlight w:val="none"/>
        </w:rPr>
        <w:t>；住房保障支出</w:t>
      </w:r>
      <w:r>
        <w:rPr>
          <w:rFonts w:hint="eastAsia" w:ascii="仿宋" w:hAnsi="仿宋" w:eastAsia="仿宋"/>
          <w:b w:val="0"/>
          <w:bCs/>
          <w:sz w:val="32"/>
          <w:szCs w:val="32"/>
          <w:highlight w:val="none"/>
          <w:lang w:val="en-US" w:eastAsia="zh-CN"/>
        </w:rPr>
        <w:t>30.09</w:t>
      </w:r>
      <w:r>
        <w:rPr>
          <w:rFonts w:hint="eastAsia" w:ascii="仿宋" w:hAnsi="仿宋" w:eastAsia="仿宋"/>
          <w:b w:val="0"/>
          <w:bCs/>
          <w:sz w:val="32"/>
          <w:szCs w:val="32"/>
          <w:highlight w:val="none"/>
        </w:rPr>
        <w:t>万元，占</w:t>
      </w:r>
      <w:r>
        <w:rPr>
          <w:rFonts w:hint="eastAsia" w:ascii="仿宋" w:hAnsi="仿宋" w:eastAsia="仿宋"/>
          <w:b w:val="0"/>
          <w:bCs/>
          <w:sz w:val="32"/>
          <w:szCs w:val="32"/>
          <w:highlight w:val="none"/>
          <w:lang w:val="en-US" w:eastAsia="zh-CN"/>
        </w:rPr>
        <w:t>1.37</w:t>
      </w:r>
      <w:r>
        <w:rPr>
          <w:rFonts w:ascii="仿宋" w:hAnsi="仿宋" w:eastAsia="仿宋"/>
          <w:b w:val="0"/>
          <w:bCs/>
          <w:sz w:val="32"/>
          <w:szCs w:val="32"/>
          <w:highlight w:val="none"/>
        </w:rPr>
        <w:t>%</w:t>
      </w:r>
      <w:r>
        <w:rPr>
          <w:rFonts w:hint="eastAsia" w:ascii="仿宋" w:hAnsi="仿宋" w:eastAsia="仿宋"/>
          <w:b w:val="0"/>
          <w:bCs/>
          <w:sz w:val="32"/>
          <w:szCs w:val="32"/>
          <w:highlight w:val="none"/>
        </w:rPr>
        <w:t>。</w:t>
      </w:r>
    </w:p>
    <w:p w14:paraId="5C8F066C">
      <w:pPr>
        <w:spacing w:line="600" w:lineRule="exact"/>
        <w:ind w:firstLine="640"/>
        <w:rPr>
          <w:rFonts w:ascii="仿宋" w:hAnsi="仿宋" w:eastAsia="仿宋"/>
          <w:sz w:val="32"/>
          <w:szCs w:val="32"/>
          <w:highlight w:val="none"/>
        </w:rPr>
      </w:pPr>
      <w:r>
        <w:rPr>
          <w:rFonts w:hint="eastAsia" w:ascii="仿宋" w:hAnsi="仿宋" w:eastAsia="仿宋"/>
          <w:b/>
          <w:sz w:val="32"/>
          <w:szCs w:val="32"/>
          <w:highlight w:val="none"/>
        </w:rPr>
        <w:t>（注：数据来源于财决01-1表，仅罗列本单位涉及的全部功能分类科目，至类级。）</w:t>
      </w:r>
    </w:p>
    <w:p w14:paraId="73387252">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（图6：一般公共预算财政拨款支出决算结构）（饼状图）</w:t>
      </w:r>
    </w:p>
    <w:p w14:paraId="1031EF1C">
      <w:pPr>
        <w:spacing w:line="600" w:lineRule="exact"/>
        <w:ind w:firstLine="640" w:firstLineChars="200"/>
        <w:rPr>
          <w:rFonts w:ascii="仿宋" w:hAnsi="仿宋" w:eastAsia="仿宋"/>
          <w:sz w:val="32"/>
          <w:szCs w:val="32"/>
          <w:highlight w:val="none"/>
        </w:rPr>
      </w:pPr>
    </w:p>
    <w:p w14:paraId="55D78B4C">
      <w:pPr>
        <w:spacing w:line="600" w:lineRule="exact"/>
        <w:ind w:firstLine="640" w:firstLineChars="200"/>
        <w:rPr>
          <w:rFonts w:ascii="仿宋" w:hAnsi="仿宋" w:eastAsia="仿宋"/>
          <w:sz w:val="32"/>
          <w:szCs w:val="32"/>
          <w:highlight w:val="none"/>
        </w:rPr>
      </w:pPr>
    </w:p>
    <w:p w14:paraId="724B8BF7">
      <w:pPr>
        <w:spacing w:line="600" w:lineRule="exact"/>
        <w:ind w:firstLine="640" w:firstLineChars="200"/>
        <w:rPr>
          <w:rFonts w:ascii="仿宋" w:hAnsi="仿宋" w:eastAsia="仿宋"/>
          <w:sz w:val="32"/>
          <w:szCs w:val="32"/>
          <w:highlight w:val="none"/>
        </w:rPr>
      </w:pPr>
    </w:p>
    <w:p w14:paraId="73521A9E">
      <w:pPr>
        <w:spacing w:line="600" w:lineRule="exact"/>
        <w:ind w:firstLine="640" w:firstLineChars="200"/>
        <w:rPr>
          <w:rFonts w:ascii="仿宋" w:hAnsi="仿宋" w:eastAsia="仿宋"/>
          <w:sz w:val="32"/>
          <w:szCs w:val="32"/>
          <w:highlight w:val="none"/>
        </w:rPr>
      </w:pPr>
    </w:p>
    <w:p w14:paraId="0D912A6F">
      <w:pPr>
        <w:spacing w:line="600" w:lineRule="exact"/>
        <w:ind w:firstLine="640" w:firstLineChars="200"/>
        <w:rPr>
          <w:rFonts w:ascii="仿宋" w:hAnsi="仿宋" w:eastAsia="仿宋"/>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114300</wp:posOffset>
            </wp:positionH>
            <wp:positionV relativeFrom="paragraph">
              <wp:posOffset>333375</wp:posOffset>
            </wp:positionV>
            <wp:extent cx="5256530" cy="2988310"/>
            <wp:effectExtent l="5080" t="4445" r="15240" b="1714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CB883EE">
      <w:pPr>
        <w:spacing w:line="600" w:lineRule="exact"/>
        <w:ind w:firstLine="640" w:firstLineChars="200"/>
        <w:rPr>
          <w:rFonts w:ascii="仿宋" w:hAnsi="仿宋" w:eastAsia="仿宋"/>
          <w:sz w:val="32"/>
          <w:szCs w:val="32"/>
          <w:highlight w:val="none"/>
        </w:rPr>
      </w:pPr>
    </w:p>
    <w:p w14:paraId="3E31595E">
      <w:pPr>
        <w:spacing w:line="600" w:lineRule="exact"/>
        <w:ind w:firstLine="640" w:firstLineChars="200"/>
        <w:rPr>
          <w:rFonts w:ascii="仿宋" w:hAnsi="仿宋" w:eastAsia="仿宋"/>
          <w:sz w:val="32"/>
          <w:szCs w:val="32"/>
          <w:highlight w:val="none"/>
        </w:rPr>
      </w:pPr>
    </w:p>
    <w:p w14:paraId="72515A9E">
      <w:pPr>
        <w:spacing w:line="600" w:lineRule="exact"/>
        <w:ind w:firstLine="640" w:firstLineChars="200"/>
        <w:rPr>
          <w:rFonts w:ascii="仿宋" w:hAnsi="仿宋" w:eastAsia="仿宋"/>
          <w:sz w:val="32"/>
          <w:szCs w:val="32"/>
          <w:highlight w:val="none"/>
        </w:rPr>
      </w:pPr>
    </w:p>
    <w:p w14:paraId="79E214BC">
      <w:pPr>
        <w:spacing w:line="600" w:lineRule="exact"/>
        <w:ind w:firstLine="640" w:firstLineChars="200"/>
        <w:rPr>
          <w:rFonts w:ascii="仿宋" w:hAnsi="仿宋" w:eastAsia="仿宋"/>
          <w:sz w:val="32"/>
          <w:szCs w:val="32"/>
          <w:highlight w:val="none"/>
        </w:rPr>
      </w:pPr>
    </w:p>
    <w:p w14:paraId="1A1EE3F5">
      <w:pPr>
        <w:spacing w:line="600" w:lineRule="exact"/>
        <w:ind w:firstLine="640" w:firstLineChars="200"/>
        <w:rPr>
          <w:rFonts w:ascii="仿宋" w:hAnsi="仿宋" w:eastAsia="仿宋"/>
          <w:sz w:val="32"/>
          <w:szCs w:val="32"/>
          <w:highlight w:val="none"/>
        </w:rPr>
      </w:pPr>
    </w:p>
    <w:p w14:paraId="2F1FCD9E">
      <w:pPr>
        <w:spacing w:line="600" w:lineRule="exact"/>
        <w:ind w:firstLine="640" w:firstLineChars="200"/>
        <w:rPr>
          <w:rFonts w:ascii="仿宋" w:hAnsi="仿宋" w:eastAsia="仿宋"/>
          <w:sz w:val="32"/>
          <w:szCs w:val="32"/>
          <w:highlight w:val="none"/>
        </w:rPr>
      </w:pPr>
    </w:p>
    <w:p w14:paraId="1E72080E">
      <w:pPr>
        <w:spacing w:line="600" w:lineRule="exact"/>
        <w:ind w:firstLine="640" w:firstLineChars="200"/>
        <w:rPr>
          <w:rFonts w:ascii="仿宋" w:hAnsi="仿宋" w:eastAsia="仿宋"/>
          <w:sz w:val="32"/>
          <w:szCs w:val="32"/>
          <w:highlight w:val="none"/>
        </w:rPr>
      </w:pPr>
    </w:p>
    <w:p w14:paraId="3214DBE1">
      <w:pPr>
        <w:spacing w:line="600" w:lineRule="exact"/>
        <w:ind w:firstLine="640" w:firstLineChars="200"/>
        <w:rPr>
          <w:rFonts w:ascii="仿宋" w:hAnsi="仿宋" w:eastAsia="仿宋"/>
          <w:sz w:val="32"/>
          <w:szCs w:val="32"/>
          <w:highlight w:val="none"/>
        </w:rPr>
      </w:pPr>
    </w:p>
    <w:p w14:paraId="4A785504">
      <w:pPr>
        <w:spacing w:line="600" w:lineRule="exact"/>
        <w:ind w:firstLine="643" w:firstLineChars="200"/>
        <w:outlineLvl w:val="2"/>
        <w:rPr>
          <w:rFonts w:ascii="仿宋" w:hAnsi="仿宋" w:eastAsia="仿宋"/>
          <w:b/>
          <w:sz w:val="32"/>
          <w:szCs w:val="32"/>
          <w:highlight w:val="none"/>
        </w:rPr>
      </w:pPr>
      <w:bookmarkStart w:id="30" w:name="_Toc15377212"/>
      <w:r>
        <w:rPr>
          <w:rFonts w:hint="eastAsia" w:ascii="仿宋" w:hAnsi="仿宋" w:eastAsia="仿宋"/>
          <w:b/>
          <w:sz w:val="32"/>
          <w:szCs w:val="32"/>
          <w:highlight w:val="none"/>
        </w:rPr>
        <w:t>（三）一般公共预算财政拨款支出决算具体情况</w:t>
      </w:r>
      <w:bookmarkEnd w:id="30"/>
    </w:p>
    <w:p w14:paraId="6E0D0F10">
      <w:pPr>
        <w:spacing w:line="600" w:lineRule="exact"/>
        <w:ind w:firstLine="643" w:firstLineChars="200"/>
        <w:outlineLvl w:val="2"/>
        <w:rPr>
          <w:rFonts w:ascii="仿宋" w:hAnsi="仿宋" w:eastAsia="仿宋"/>
          <w:sz w:val="32"/>
          <w:szCs w:val="32"/>
          <w:highlight w:val="none"/>
        </w:rPr>
      </w:pPr>
      <w:bookmarkStart w:id="31" w:name="_Toc15378460"/>
      <w:bookmarkStart w:id="32" w:name="_Toc15377444"/>
      <w:bookmarkStart w:id="33" w:name="_Toc15377213"/>
      <w:r>
        <w:rPr>
          <w:rFonts w:hint="eastAsia" w:ascii="仿宋" w:hAnsi="仿宋" w:eastAsia="仿宋"/>
          <w:b/>
          <w:sz w:val="32"/>
          <w:szCs w:val="32"/>
          <w:highlight w:val="none"/>
        </w:rPr>
        <w:t>2023年度一般公共预算支出决算数为</w:t>
      </w:r>
      <w:r>
        <w:rPr>
          <w:rFonts w:hint="eastAsia" w:ascii="仿宋" w:hAnsi="仿宋" w:eastAsia="仿宋"/>
          <w:b/>
          <w:sz w:val="32"/>
          <w:szCs w:val="32"/>
          <w:highlight w:val="none"/>
          <w:lang w:val="en-US" w:eastAsia="zh-CN"/>
        </w:rPr>
        <w:t>2205.78</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94.28</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31"/>
      <w:bookmarkEnd w:id="32"/>
      <w:bookmarkEnd w:id="33"/>
    </w:p>
    <w:p w14:paraId="6D9F52B6">
      <w:pPr>
        <w:spacing w:line="600" w:lineRule="exact"/>
        <w:ind w:firstLine="643" w:firstLineChars="200"/>
        <w:rPr>
          <w:rFonts w:hint="eastAsia" w:ascii="仿宋" w:hAnsi="仿宋" w:eastAsia="仿宋"/>
          <w:b/>
          <w:sz w:val="32"/>
          <w:szCs w:val="32"/>
          <w:highlight w:val="none"/>
          <w:lang w:eastAsia="zh-CN"/>
        </w:rPr>
      </w:pPr>
      <w:r>
        <w:rPr>
          <w:rStyle w:val="16"/>
          <w:rFonts w:ascii="仿宋" w:hAnsi="仿宋" w:eastAsia="仿宋"/>
          <w:bCs/>
          <w:sz w:val="32"/>
          <w:szCs w:val="32"/>
          <w:highlight w:val="none"/>
        </w:rPr>
        <w:t>1.</w:t>
      </w:r>
      <w:r>
        <w:rPr>
          <w:rStyle w:val="16"/>
          <w:rFonts w:hint="eastAsia" w:ascii="仿宋" w:hAnsi="仿宋" w:eastAsia="仿宋"/>
          <w:bCs/>
          <w:sz w:val="32"/>
          <w:szCs w:val="32"/>
          <w:highlight w:val="none"/>
        </w:rPr>
        <w:t>科学技术支出（类）技术研究与开发（款）其他技术研究与开发支出（项）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414.3</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lang w:eastAsia="zh-CN"/>
        </w:rPr>
        <w:t>。</w:t>
      </w:r>
    </w:p>
    <w:p w14:paraId="65AC98C8">
      <w:pPr>
        <w:spacing w:line="600" w:lineRule="exact"/>
        <w:ind w:firstLine="643" w:firstLineChars="200"/>
        <w:rPr>
          <w:rFonts w:hint="eastAsia" w:ascii="仿宋" w:hAnsi="仿宋" w:eastAsia="仿宋"/>
          <w:b/>
          <w:sz w:val="32"/>
          <w:szCs w:val="32"/>
          <w:highlight w:val="none"/>
          <w:lang w:eastAsia="zh-CN"/>
        </w:rPr>
      </w:pPr>
      <w:r>
        <w:rPr>
          <w:rStyle w:val="16"/>
          <w:rFonts w:ascii="仿宋" w:hAnsi="仿宋" w:eastAsia="仿宋"/>
          <w:bCs/>
          <w:sz w:val="32"/>
          <w:szCs w:val="32"/>
          <w:highlight w:val="none"/>
        </w:rPr>
        <w:t>2.</w:t>
      </w:r>
      <w:r>
        <w:rPr>
          <w:rStyle w:val="16"/>
          <w:rFonts w:hint="eastAsia" w:ascii="仿宋" w:hAnsi="仿宋" w:eastAsia="仿宋"/>
          <w:bCs/>
          <w:sz w:val="32"/>
          <w:szCs w:val="32"/>
          <w:highlight w:val="none"/>
        </w:rPr>
        <w:t>社会保障和就业支出（类）行政事业单位养老支出（款）行政单位离退休（项）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2.44</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lang w:eastAsia="zh-CN"/>
        </w:rPr>
        <w:t>。</w:t>
      </w:r>
    </w:p>
    <w:p w14:paraId="68914E92">
      <w:pPr>
        <w:spacing w:line="600" w:lineRule="exact"/>
        <w:ind w:firstLine="643" w:firstLineChars="200"/>
        <w:rPr>
          <w:rFonts w:hint="eastAsia" w:ascii="仿宋" w:hAnsi="仿宋" w:eastAsia="仿宋"/>
          <w:b/>
          <w:sz w:val="32"/>
          <w:szCs w:val="32"/>
          <w:highlight w:val="none"/>
          <w:lang w:eastAsia="zh-CN"/>
        </w:rPr>
      </w:pPr>
      <w:r>
        <w:rPr>
          <w:rStyle w:val="16"/>
          <w:rFonts w:ascii="仿宋" w:hAnsi="仿宋" w:eastAsia="仿宋"/>
          <w:bCs/>
          <w:sz w:val="32"/>
          <w:szCs w:val="32"/>
          <w:highlight w:val="none"/>
        </w:rPr>
        <w:t>3.</w:t>
      </w:r>
      <w:r>
        <w:rPr>
          <w:rStyle w:val="16"/>
          <w:rFonts w:hint="eastAsia" w:ascii="仿宋" w:hAnsi="仿宋" w:eastAsia="仿宋"/>
          <w:bCs/>
          <w:sz w:val="32"/>
          <w:szCs w:val="32"/>
          <w:highlight w:val="none"/>
        </w:rPr>
        <w:t>社会保障和就业支出（类）行政事业单位养老支出（款）机关事业单位基本养老保险缴费支出（项）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33.32</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lang w:eastAsia="zh-CN"/>
        </w:rPr>
        <w:t>。</w:t>
      </w:r>
    </w:p>
    <w:p w14:paraId="1007C995">
      <w:pPr>
        <w:spacing w:line="600" w:lineRule="exact"/>
        <w:ind w:firstLine="643" w:firstLineChars="200"/>
        <w:rPr>
          <w:rFonts w:hint="eastAsia" w:ascii="仿宋" w:hAnsi="仿宋" w:eastAsia="仿宋"/>
          <w:b/>
          <w:sz w:val="32"/>
          <w:szCs w:val="32"/>
          <w:highlight w:val="none"/>
          <w:lang w:eastAsia="zh-CN"/>
        </w:rPr>
      </w:pPr>
      <w:r>
        <w:rPr>
          <w:rStyle w:val="16"/>
          <w:rFonts w:ascii="仿宋" w:hAnsi="仿宋" w:eastAsia="仿宋"/>
          <w:bCs/>
          <w:sz w:val="32"/>
          <w:szCs w:val="32"/>
          <w:highlight w:val="none"/>
        </w:rPr>
        <w:t>4.</w:t>
      </w:r>
      <w:r>
        <w:rPr>
          <w:rStyle w:val="16"/>
          <w:rFonts w:hint="eastAsia" w:ascii="仿宋" w:hAnsi="仿宋" w:eastAsia="仿宋"/>
          <w:bCs/>
          <w:sz w:val="32"/>
          <w:szCs w:val="32"/>
          <w:highlight w:val="none"/>
        </w:rPr>
        <w:t>社会保障和就业支出（类）行政事业单位养老支出（款）机关事业单位职业年金缴费支出（项）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4.97</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lang w:eastAsia="zh-CN"/>
        </w:rPr>
        <w:t>。</w:t>
      </w:r>
    </w:p>
    <w:p w14:paraId="1B6A6617">
      <w:pPr>
        <w:spacing w:line="600" w:lineRule="exact"/>
        <w:ind w:firstLine="643" w:firstLineChars="200"/>
        <w:rPr>
          <w:rFonts w:hint="eastAsia" w:ascii="仿宋" w:hAnsi="仿宋" w:eastAsia="仿宋"/>
          <w:b/>
          <w:sz w:val="32"/>
          <w:szCs w:val="32"/>
          <w:highlight w:val="none"/>
          <w:lang w:eastAsia="zh-CN"/>
        </w:rPr>
      </w:pPr>
      <w:r>
        <w:rPr>
          <w:rStyle w:val="16"/>
          <w:rFonts w:ascii="仿宋" w:hAnsi="仿宋" w:eastAsia="仿宋"/>
          <w:bCs/>
          <w:sz w:val="32"/>
          <w:szCs w:val="32"/>
          <w:highlight w:val="none"/>
        </w:rPr>
        <w:t>5.</w:t>
      </w:r>
      <w:r>
        <w:rPr>
          <w:rStyle w:val="16"/>
          <w:rFonts w:hint="eastAsia" w:ascii="仿宋" w:hAnsi="仿宋" w:eastAsia="仿宋"/>
          <w:bCs/>
          <w:sz w:val="32"/>
          <w:szCs w:val="32"/>
          <w:highlight w:val="none"/>
        </w:rPr>
        <w:t>社会保障和就业支出（类）抚恤（款）死亡抚恤（项）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69.97</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lang w:eastAsia="zh-CN"/>
        </w:rPr>
        <w:t>。</w:t>
      </w:r>
    </w:p>
    <w:p w14:paraId="7DD01FC7">
      <w:pPr>
        <w:spacing w:line="600" w:lineRule="exact"/>
        <w:ind w:firstLine="643" w:firstLineChars="200"/>
        <w:rPr>
          <w:rStyle w:val="16"/>
          <w:rFonts w:hint="eastAsia" w:ascii="仿宋" w:hAnsi="仿宋" w:eastAsia="仿宋"/>
          <w:b w:val="0"/>
          <w:bCs/>
          <w:sz w:val="32"/>
          <w:szCs w:val="32"/>
          <w:highlight w:val="none"/>
        </w:rPr>
      </w:pPr>
      <w:r>
        <w:rPr>
          <w:rStyle w:val="16"/>
          <w:rFonts w:ascii="仿宋" w:hAnsi="仿宋" w:eastAsia="仿宋"/>
          <w:bCs/>
          <w:sz w:val="32"/>
          <w:szCs w:val="32"/>
          <w:highlight w:val="none"/>
        </w:rPr>
        <w:t>6.</w:t>
      </w:r>
      <w:r>
        <w:rPr>
          <w:rFonts w:hint="eastAsia" w:ascii="仿宋" w:hAnsi="仿宋" w:eastAsia="仿宋"/>
          <w:b/>
          <w:bCs/>
          <w:sz w:val="32"/>
          <w:szCs w:val="32"/>
          <w:highlight w:val="none"/>
        </w:rPr>
        <w:t>卫生健康</w:t>
      </w:r>
      <w:r>
        <w:rPr>
          <w:rStyle w:val="16"/>
          <w:rFonts w:hint="eastAsia" w:ascii="仿宋" w:hAnsi="仿宋" w:eastAsia="仿宋"/>
          <w:bCs/>
          <w:sz w:val="32"/>
          <w:szCs w:val="32"/>
          <w:highlight w:val="none"/>
        </w:rPr>
        <w:t>（类）行政事业单位医疗（款）行政单位医疗（项）</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9.09</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4688D9ED">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7</w:t>
      </w:r>
      <w:r>
        <w:rPr>
          <w:rStyle w:val="16"/>
          <w:rFonts w:ascii="仿宋" w:hAnsi="仿宋" w:eastAsia="仿宋"/>
          <w:bCs/>
          <w:sz w:val="32"/>
          <w:szCs w:val="32"/>
          <w:highlight w:val="none"/>
        </w:rPr>
        <w:t>.</w:t>
      </w:r>
      <w:r>
        <w:rPr>
          <w:rFonts w:hint="eastAsia" w:ascii="仿宋" w:hAnsi="仿宋" w:eastAsia="仿宋"/>
          <w:b/>
          <w:bCs/>
          <w:sz w:val="32"/>
          <w:szCs w:val="32"/>
          <w:highlight w:val="none"/>
        </w:rPr>
        <w:t>卫生健康</w:t>
      </w:r>
      <w:r>
        <w:rPr>
          <w:rStyle w:val="16"/>
          <w:rFonts w:hint="eastAsia" w:ascii="仿宋" w:hAnsi="仿宋" w:eastAsia="仿宋"/>
          <w:bCs/>
          <w:sz w:val="32"/>
          <w:szCs w:val="32"/>
          <w:highlight w:val="none"/>
        </w:rPr>
        <w:t>（类）行政事业单位医疗（款）事业单位医疗（项）</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5.68</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7AF9CB08">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8</w:t>
      </w:r>
      <w:r>
        <w:rPr>
          <w:rStyle w:val="16"/>
          <w:rFonts w:ascii="仿宋" w:hAnsi="仿宋" w:eastAsia="仿宋"/>
          <w:bCs/>
          <w:sz w:val="32"/>
          <w:szCs w:val="32"/>
          <w:highlight w:val="none"/>
        </w:rPr>
        <w:t>.</w:t>
      </w:r>
      <w:r>
        <w:rPr>
          <w:rFonts w:hint="eastAsia" w:ascii="仿宋" w:hAnsi="仿宋" w:eastAsia="仿宋"/>
          <w:b/>
          <w:bCs/>
          <w:sz w:val="32"/>
          <w:szCs w:val="32"/>
          <w:highlight w:val="none"/>
        </w:rPr>
        <w:t>卫生健康</w:t>
      </w:r>
      <w:r>
        <w:rPr>
          <w:rStyle w:val="16"/>
          <w:rFonts w:hint="eastAsia" w:ascii="仿宋" w:hAnsi="仿宋" w:eastAsia="仿宋"/>
          <w:bCs/>
          <w:sz w:val="32"/>
          <w:szCs w:val="32"/>
          <w:highlight w:val="none"/>
        </w:rPr>
        <w:t>（类）行政事业单位医疗（款）公务员医疗补助（项）</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10.01</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6530235C">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9</w:t>
      </w:r>
      <w:r>
        <w:rPr>
          <w:rStyle w:val="16"/>
          <w:rFonts w:ascii="仿宋" w:hAnsi="仿宋" w:eastAsia="仿宋"/>
          <w:bCs/>
          <w:sz w:val="32"/>
          <w:szCs w:val="32"/>
          <w:highlight w:val="none"/>
        </w:rPr>
        <w:t>.</w:t>
      </w:r>
      <w:r>
        <w:rPr>
          <w:rFonts w:hint="eastAsia" w:ascii="仿宋" w:hAnsi="仿宋" w:eastAsia="仿宋"/>
          <w:b/>
          <w:bCs/>
          <w:sz w:val="32"/>
          <w:szCs w:val="32"/>
          <w:highlight w:val="none"/>
        </w:rPr>
        <w:t>资源勘探工业信息等支出</w:t>
      </w:r>
      <w:r>
        <w:rPr>
          <w:rStyle w:val="16"/>
          <w:rFonts w:hint="eastAsia" w:ascii="仿宋" w:hAnsi="仿宋" w:eastAsia="仿宋"/>
          <w:bCs/>
          <w:sz w:val="32"/>
          <w:szCs w:val="32"/>
          <w:highlight w:val="none"/>
        </w:rPr>
        <w:t>（类）支持中小企业发展和管理支出（款）中小企业发展专项（项）</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26.44</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119FF9FF">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10</w:t>
      </w:r>
      <w:r>
        <w:rPr>
          <w:rStyle w:val="16"/>
          <w:rFonts w:ascii="仿宋" w:hAnsi="仿宋" w:eastAsia="仿宋"/>
          <w:bCs/>
          <w:sz w:val="32"/>
          <w:szCs w:val="32"/>
          <w:highlight w:val="none"/>
        </w:rPr>
        <w:t>.</w:t>
      </w:r>
      <w:r>
        <w:rPr>
          <w:rFonts w:hint="eastAsia" w:ascii="仿宋" w:hAnsi="仿宋" w:eastAsia="仿宋"/>
          <w:b/>
          <w:bCs/>
          <w:sz w:val="32"/>
          <w:szCs w:val="32"/>
          <w:highlight w:val="none"/>
        </w:rPr>
        <w:t>商业服务业等支出</w:t>
      </w:r>
      <w:r>
        <w:rPr>
          <w:rStyle w:val="16"/>
          <w:rFonts w:hint="eastAsia" w:ascii="仿宋" w:hAnsi="仿宋" w:eastAsia="仿宋"/>
          <w:bCs/>
          <w:sz w:val="32"/>
          <w:szCs w:val="32"/>
          <w:highlight w:val="none"/>
        </w:rPr>
        <w:t>（类）商</w:t>
      </w:r>
      <w:r>
        <w:rPr>
          <w:rStyle w:val="16"/>
          <w:rFonts w:hint="eastAsia" w:ascii="仿宋" w:hAnsi="仿宋" w:eastAsia="仿宋"/>
          <w:bCs/>
          <w:sz w:val="32"/>
          <w:szCs w:val="32"/>
          <w:highlight w:val="none"/>
          <w:lang w:eastAsia="zh-CN"/>
        </w:rPr>
        <w:t>贸</w:t>
      </w:r>
      <w:r>
        <w:rPr>
          <w:rStyle w:val="16"/>
          <w:rFonts w:hint="eastAsia" w:ascii="仿宋" w:hAnsi="仿宋" w:eastAsia="仿宋"/>
          <w:bCs/>
          <w:sz w:val="32"/>
          <w:szCs w:val="32"/>
          <w:highlight w:val="none"/>
        </w:rPr>
        <w:t>流通事务（款）行政运行（项）</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357.93</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1A6AEEBF">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11</w:t>
      </w:r>
      <w:r>
        <w:rPr>
          <w:rStyle w:val="16"/>
          <w:rFonts w:ascii="仿宋" w:hAnsi="仿宋" w:eastAsia="仿宋"/>
          <w:bCs/>
          <w:sz w:val="32"/>
          <w:szCs w:val="32"/>
          <w:highlight w:val="none"/>
        </w:rPr>
        <w:t>.</w:t>
      </w:r>
      <w:r>
        <w:rPr>
          <w:rFonts w:hint="eastAsia" w:ascii="仿宋" w:hAnsi="仿宋" w:eastAsia="仿宋"/>
          <w:b/>
          <w:bCs/>
          <w:sz w:val="32"/>
          <w:szCs w:val="32"/>
          <w:highlight w:val="none"/>
        </w:rPr>
        <w:t>商业服务业等支出</w:t>
      </w:r>
      <w:r>
        <w:rPr>
          <w:rStyle w:val="16"/>
          <w:rFonts w:hint="eastAsia" w:ascii="仿宋" w:hAnsi="仿宋" w:eastAsia="仿宋"/>
          <w:bCs/>
          <w:sz w:val="32"/>
          <w:szCs w:val="32"/>
          <w:highlight w:val="none"/>
        </w:rPr>
        <w:t>（类）商</w:t>
      </w:r>
      <w:r>
        <w:rPr>
          <w:rStyle w:val="16"/>
          <w:rFonts w:hint="eastAsia" w:ascii="仿宋" w:hAnsi="仿宋" w:eastAsia="仿宋"/>
          <w:bCs/>
          <w:sz w:val="32"/>
          <w:szCs w:val="32"/>
          <w:highlight w:val="none"/>
          <w:lang w:eastAsia="zh-CN"/>
        </w:rPr>
        <w:t>贸</w:t>
      </w:r>
      <w:r>
        <w:rPr>
          <w:rStyle w:val="16"/>
          <w:rFonts w:hint="eastAsia" w:ascii="仿宋" w:hAnsi="仿宋" w:eastAsia="仿宋"/>
          <w:bCs/>
          <w:sz w:val="32"/>
          <w:szCs w:val="32"/>
          <w:highlight w:val="none"/>
        </w:rPr>
        <w:t>流通事务（款）一般行政管理事务（项）</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127.65</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49D5B221">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12</w:t>
      </w:r>
      <w:r>
        <w:rPr>
          <w:rStyle w:val="16"/>
          <w:rFonts w:ascii="仿宋" w:hAnsi="仿宋" w:eastAsia="仿宋"/>
          <w:bCs/>
          <w:sz w:val="32"/>
          <w:szCs w:val="32"/>
          <w:highlight w:val="none"/>
        </w:rPr>
        <w:t>.</w:t>
      </w:r>
      <w:r>
        <w:rPr>
          <w:rFonts w:hint="eastAsia" w:ascii="仿宋" w:hAnsi="仿宋" w:eastAsia="仿宋"/>
          <w:b/>
          <w:bCs/>
          <w:sz w:val="32"/>
          <w:szCs w:val="32"/>
          <w:highlight w:val="none"/>
        </w:rPr>
        <w:t>商业服务业等支出</w:t>
      </w:r>
      <w:r>
        <w:rPr>
          <w:rStyle w:val="16"/>
          <w:rFonts w:hint="eastAsia" w:ascii="仿宋" w:hAnsi="仿宋" w:eastAsia="仿宋"/>
          <w:bCs/>
          <w:sz w:val="32"/>
          <w:szCs w:val="32"/>
          <w:highlight w:val="none"/>
        </w:rPr>
        <w:t>（类）商</w:t>
      </w:r>
      <w:r>
        <w:rPr>
          <w:rStyle w:val="16"/>
          <w:rFonts w:hint="eastAsia" w:ascii="仿宋" w:hAnsi="仿宋" w:eastAsia="仿宋"/>
          <w:bCs/>
          <w:sz w:val="32"/>
          <w:szCs w:val="32"/>
          <w:highlight w:val="none"/>
          <w:lang w:eastAsia="zh-CN"/>
        </w:rPr>
        <w:t>贸</w:t>
      </w:r>
      <w:r>
        <w:rPr>
          <w:rStyle w:val="16"/>
          <w:rFonts w:hint="eastAsia" w:ascii="仿宋" w:hAnsi="仿宋" w:eastAsia="仿宋"/>
          <w:bCs/>
          <w:sz w:val="32"/>
          <w:szCs w:val="32"/>
          <w:highlight w:val="none"/>
        </w:rPr>
        <w:t>流通事务（款）事业运行（项）</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101.33</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4E9FF88D">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13</w:t>
      </w:r>
      <w:r>
        <w:rPr>
          <w:rStyle w:val="16"/>
          <w:rFonts w:ascii="仿宋" w:hAnsi="仿宋" w:eastAsia="仿宋"/>
          <w:bCs/>
          <w:sz w:val="32"/>
          <w:szCs w:val="32"/>
          <w:highlight w:val="none"/>
        </w:rPr>
        <w:t>.</w:t>
      </w:r>
      <w:r>
        <w:rPr>
          <w:rFonts w:hint="eastAsia" w:ascii="仿宋" w:hAnsi="仿宋" w:eastAsia="仿宋"/>
          <w:b/>
          <w:bCs/>
          <w:sz w:val="32"/>
          <w:szCs w:val="32"/>
          <w:highlight w:val="none"/>
        </w:rPr>
        <w:t>商业服务业等支出</w:t>
      </w:r>
      <w:r>
        <w:rPr>
          <w:rStyle w:val="16"/>
          <w:rFonts w:hint="eastAsia" w:ascii="仿宋" w:hAnsi="仿宋" w:eastAsia="仿宋"/>
          <w:bCs/>
          <w:sz w:val="32"/>
          <w:szCs w:val="32"/>
          <w:highlight w:val="none"/>
        </w:rPr>
        <w:t>（类）商</w:t>
      </w:r>
      <w:r>
        <w:rPr>
          <w:rStyle w:val="16"/>
          <w:rFonts w:hint="eastAsia" w:ascii="仿宋" w:hAnsi="仿宋" w:eastAsia="仿宋"/>
          <w:bCs/>
          <w:sz w:val="32"/>
          <w:szCs w:val="32"/>
          <w:highlight w:val="none"/>
          <w:lang w:eastAsia="zh-CN"/>
        </w:rPr>
        <w:t>贸</w:t>
      </w:r>
      <w:r>
        <w:rPr>
          <w:rStyle w:val="16"/>
          <w:rFonts w:hint="eastAsia" w:ascii="仿宋" w:hAnsi="仿宋" w:eastAsia="仿宋"/>
          <w:bCs/>
          <w:sz w:val="32"/>
          <w:szCs w:val="32"/>
          <w:highlight w:val="none"/>
        </w:rPr>
        <w:t>流通事务（款）其他商</w:t>
      </w:r>
      <w:r>
        <w:rPr>
          <w:rStyle w:val="16"/>
          <w:rFonts w:hint="eastAsia" w:ascii="仿宋" w:hAnsi="仿宋" w:eastAsia="仿宋"/>
          <w:bCs/>
          <w:sz w:val="32"/>
          <w:szCs w:val="32"/>
          <w:highlight w:val="none"/>
          <w:lang w:eastAsia="zh-CN"/>
        </w:rPr>
        <w:t>贸</w:t>
      </w:r>
      <w:r>
        <w:rPr>
          <w:rStyle w:val="16"/>
          <w:rFonts w:hint="eastAsia" w:ascii="仿宋" w:hAnsi="仿宋" w:eastAsia="仿宋"/>
          <w:bCs/>
          <w:sz w:val="32"/>
          <w:szCs w:val="32"/>
          <w:highlight w:val="none"/>
        </w:rPr>
        <w:t>流通事务支出（项）</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716.97</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384AD307">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14</w:t>
      </w:r>
      <w:r>
        <w:rPr>
          <w:rStyle w:val="16"/>
          <w:rFonts w:ascii="仿宋" w:hAnsi="仿宋" w:eastAsia="仿宋"/>
          <w:bCs/>
          <w:sz w:val="32"/>
          <w:szCs w:val="32"/>
          <w:highlight w:val="none"/>
        </w:rPr>
        <w:t>.</w:t>
      </w:r>
      <w:r>
        <w:rPr>
          <w:rFonts w:hint="eastAsia" w:ascii="仿宋" w:hAnsi="仿宋" w:eastAsia="仿宋"/>
          <w:b/>
          <w:bCs/>
          <w:sz w:val="32"/>
          <w:szCs w:val="32"/>
          <w:highlight w:val="none"/>
        </w:rPr>
        <w:t>商业服务业等支出</w:t>
      </w:r>
      <w:r>
        <w:rPr>
          <w:rStyle w:val="16"/>
          <w:rFonts w:hint="eastAsia" w:ascii="仿宋" w:hAnsi="仿宋" w:eastAsia="仿宋"/>
          <w:bCs/>
          <w:sz w:val="32"/>
          <w:szCs w:val="32"/>
          <w:highlight w:val="none"/>
        </w:rPr>
        <w:t>（类）涉外发展服务支出（款）其他涉外发展服务支出（项）</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136.87</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73785ACA">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15</w:t>
      </w:r>
      <w:r>
        <w:rPr>
          <w:rStyle w:val="16"/>
          <w:rFonts w:ascii="仿宋" w:hAnsi="仿宋" w:eastAsia="仿宋"/>
          <w:bCs/>
          <w:sz w:val="32"/>
          <w:szCs w:val="32"/>
          <w:highlight w:val="none"/>
        </w:rPr>
        <w:t>.</w:t>
      </w:r>
      <w:r>
        <w:rPr>
          <w:rFonts w:hint="eastAsia" w:ascii="仿宋" w:hAnsi="仿宋" w:eastAsia="仿宋"/>
          <w:b/>
          <w:bCs/>
          <w:sz w:val="32"/>
          <w:szCs w:val="32"/>
          <w:highlight w:val="none"/>
        </w:rPr>
        <w:t>商业服务业等支出</w:t>
      </w:r>
      <w:r>
        <w:rPr>
          <w:rStyle w:val="16"/>
          <w:rFonts w:hint="eastAsia" w:ascii="仿宋" w:hAnsi="仿宋" w:eastAsia="仿宋"/>
          <w:bCs/>
          <w:sz w:val="32"/>
          <w:szCs w:val="32"/>
          <w:highlight w:val="none"/>
        </w:rPr>
        <w:t>（类）其他商业服务业等支出（款）其他商业服务业等支出（项）</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158.71</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06DF4FE4">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16</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住房保障支出（类）住房改革支出（款）住房公积金（项）</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30.09</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3E5BCC91">
      <w:pPr>
        <w:spacing w:line="600" w:lineRule="exact"/>
        <w:ind w:firstLine="640" w:firstLineChars="200"/>
        <w:rPr>
          <w:rStyle w:val="16"/>
          <w:rFonts w:hint="eastAsia" w:ascii="仿宋" w:hAnsi="仿宋" w:eastAsia="仿宋"/>
          <w:b w:val="0"/>
          <w:bCs/>
          <w:sz w:val="32"/>
          <w:szCs w:val="32"/>
          <w:highlight w:val="none"/>
        </w:rPr>
      </w:pPr>
    </w:p>
    <w:p w14:paraId="01A3C969">
      <w:pPr>
        <w:spacing w:line="6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（注：数据来源于财决</w:t>
      </w:r>
      <w:r>
        <w:rPr>
          <w:rFonts w:ascii="仿宋" w:hAnsi="仿宋" w:eastAsia="仿宋"/>
          <w:b/>
          <w:sz w:val="32"/>
          <w:szCs w:val="32"/>
          <w:highlight w:val="none"/>
        </w:rPr>
        <w:t>0</w:t>
      </w:r>
      <w:r>
        <w:rPr>
          <w:rFonts w:hint="eastAsia" w:ascii="仿宋" w:hAnsi="仿宋" w:eastAsia="仿宋"/>
          <w:b/>
          <w:sz w:val="32"/>
          <w:szCs w:val="32"/>
          <w:highlight w:val="none"/>
        </w:rPr>
        <w:t>1-1表和财决08表，仅罗列本单位涉及的全部功能分类科目，至项级。上述“预算”口径为全年预算数。增减变动原因为决算数</w:t>
      </w:r>
      <w:r>
        <w:rPr>
          <w:rFonts w:ascii="仿宋" w:hAnsi="仿宋" w:eastAsia="仿宋"/>
          <w:b/>
          <w:sz w:val="32"/>
          <w:szCs w:val="32"/>
          <w:highlight w:val="none"/>
        </w:rPr>
        <w:t>&lt;</w:t>
      </w:r>
      <w:r>
        <w:rPr>
          <w:rFonts w:hint="eastAsia" w:ascii="仿宋" w:hAnsi="仿宋" w:eastAsia="仿宋"/>
          <w:b/>
          <w:sz w:val="32"/>
          <w:szCs w:val="32"/>
          <w:highlight w:val="none"/>
        </w:rPr>
        <w:t>项级</w:t>
      </w:r>
      <w:r>
        <w:rPr>
          <w:rFonts w:ascii="仿宋" w:hAnsi="仿宋" w:eastAsia="仿宋"/>
          <w:b/>
          <w:sz w:val="32"/>
          <w:szCs w:val="32"/>
          <w:highlight w:val="none"/>
        </w:rPr>
        <w:t>&gt;</w:t>
      </w:r>
      <w:r>
        <w:rPr>
          <w:rFonts w:hint="eastAsia" w:ascii="仿宋" w:hAnsi="仿宋" w:eastAsia="仿宋"/>
          <w:b/>
          <w:sz w:val="32"/>
          <w:szCs w:val="32"/>
          <w:highlight w:val="none"/>
        </w:rPr>
        <w:t>和全年预算数</w:t>
      </w:r>
      <w:r>
        <w:rPr>
          <w:rFonts w:ascii="仿宋" w:hAnsi="仿宋" w:eastAsia="仿宋"/>
          <w:b/>
          <w:sz w:val="32"/>
          <w:szCs w:val="32"/>
          <w:highlight w:val="none"/>
        </w:rPr>
        <w:t>&lt;</w:t>
      </w:r>
      <w:r>
        <w:rPr>
          <w:rFonts w:hint="eastAsia" w:ascii="仿宋" w:hAnsi="仿宋" w:eastAsia="仿宋"/>
          <w:b/>
          <w:sz w:val="32"/>
          <w:szCs w:val="32"/>
          <w:highlight w:val="none"/>
        </w:rPr>
        <w:t>项级</w:t>
      </w:r>
      <w:r>
        <w:rPr>
          <w:rFonts w:ascii="仿宋" w:hAnsi="仿宋" w:eastAsia="仿宋"/>
          <w:b/>
          <w:sz w:val="32"/>
          <w:szCs w:val="32"/>
          <w:highlight w:val="none"/>
        </w:rPr>
        <w:t>&gt;</w:t>
      </w:r>
      <w:r>
        <w:rPr>
          <w:rFonts w:hint="eastAsia" w:ascii="仿宋" w:hAnsi="仿宋" w:eastAsia="仿宋"/>
          <w:b/>
          <w:sz w:val="32"/>
          <w:szCs w:val="32"/>
          <w:highlight w:val="none"/>
        </w:rPr>
        <w:t>比较，与预算数持平可以不写原因。）</w:t>
      </w:r>
    </w:p>
    <w:p w14:paraId="7D4389A4">
      <w:pPr>
        <w:spacing w:line="600" w:lineRule="exact"/>
        <w:ind w:firstLine="640"/>
        <w:rPr>
          <w:rFonts w:ascii="仿宋" w:hAnsi="仿宋" w:eastAsia="仿宋"/>
          <w:b/>
          <w:sz w:val="32"/>
          <w:szCs w:val="32"/>
          <w:highlight w:val="none"/>
        </w:rPr>
      </w:pPr>
    </w:p>
    <w:p w14:paraId="2840454B">
      <w:pPr>
        <w:tabs>
          <w:tab w:val="right" w:pos="8306"/>
        </w:tabs>
        <w:spacing w:line="600" w:lineRule="exact"/>
        <w:ind w:firstLine="640"/>
        <w:outlineLvl w:val="1"/>
        <w:rPr>
          <w:rStyle w:val="28"/>
          <w:highlight w:val="none"/>
        </w:rPr>
      </w:pPr>
      <w:bookmarkStart w:id="34" w:name="_Toc15396608"/>
      <w:bookmarkStart w:id="35" w:name="_Toc15377214"/>
      <w:r>
        <w:rPr>
          <w:rFonts w:hint="eastAsia" w:ascii="黑体" w:eastAsia="黑体"/>
          <w:sz w:val="32"/>
          <w:szCs w:val="32"/>
          <w:highlight w:val="none"/>
        </w:rPr>
        <w:t>六</w:t>
      </w:r>
      <w:r>
        <w:rPr>
          <w:rFonts w:hint="eastAsia" w:ascii="黑体" w:eastAsia="黑体"/>
          <w:b/>
          <w:sz w:val="32"/>
          <w:szCs w:val="32"/>
          <w:highlight w:val="none"/>
        </w:rPr>
        <w:t>、</w:t>
      </w:r>
      <w:r>
        <w:rPr>
          <w:rFonts w:hint="eastAsia" w:ascii="黑体" w:hAnsi="黑体" w:eastAsia="黑体"/>
          <w:b/>
          <w:sz w:val="32"/>
          <w:szCs w:val="32"/>
          <w:highlight w:val="none"/>
        </w:rPr>
        <w:t>一</w:t>
      </w:r>
      <w:r>
        <w:rPr>
          <w:rStyle w:val="28"/>
          <w:rFonts w:hint="eastAsia" w:ascii="黑体" w:hAnsi="黑体" w:eastAsia="黑体"/>
          <w:b w:val="0"/>
          <w:highlight w:val="none"/>
        </w:rPr>
        <w:t>般公共预算财政拨款基本支出决算情况说明</w:t>
      </w:r>
      <w:bookmarkEnd w:id="34"/>
      <w:bookmarkEnd w:id="35"/>
      <w:r>
        <w:rPr>
          <w:rStyle w:val="28"/>
          <w:rFonts w:ascii="黑体" w:hAnsi="黑体" w:eastAsia="黑体"/>
          <w:b w:val="0"/>
          <w:highlight w:val="none"/>
        </w:rPr>
        <w:tab/>
      </w:r>
    </w:p>
    <w:p w14:paraId="3C76A1A2">
      <w:pPr>
        <w:spacing w:line="600" w:lineRule="exact"/>
        <w:ind w:firstLine="645"/>
        <w:rPr>
          <w:rFonts w:ascii="仿宋" w:hAnsi="仿宋" w:eastAsia="仿宋"/>
          <w:sz w:val="32"/>
          <w:szCs w:val="32"/>
          <w:highlight w:val="none"/>
        </w:rPr>
      </w:pPr>
      <w:r>
        <w:rPr>
          <w:rFonts w:hint="eastAsia" w:ascii="仿宋" w:hAnsi="仿宋" w:eastAsia="仿宋"/>
          <w:sz w:val="32"/>
          <w:szCs w:val="32"/>
          <w:highlight w:val="none"/>
        </w:rPr>
        <w:t>2023年度一般公共预算财政拨款基本支出</w:t>
      </w:r>
      <w:r>
        <w:rPr>
          <w:rFonts w:hint="eastAsia" w:ascii="仿宋" w:hAnsi="仿宋" w:eastAsia="仿宋"/>
          <w:sz w:val="32"/>
          <w:szCs w:val="32"/>
          <w:highlight w:val="none"/>
          <w:lang w:val="en-US" w:eastAsia="zh-CN"/>
        </w:rPr>
        <w:t>629.79</w:t>
      </w:r>
      <w:r>
        <w:rPr>
          <w:rFonts w:hint="eastAsia" w:ascii="仿宋" w:hAnsi="仿宋" w:eastAsia="仿宋"/>
          <w:sz w:val="32"/>
          <w:szCs w:val="32"/>
          <w:highlight w:val="none"/>
        </w:rPr>
        <w:t>万元，其中：</w:t>
      </w:r>
    </w:p>
    <w:p w14:paraId="02CDC1B8">
      <w:pPr>
        <w:spacing w:line="600" w:lineRule="exact"/>
        <w:ind w:firstLine="645"/>
        <w:rPr>
          <w:rFonts w:ascii="仿宋" w:hAnsi="仿宋" w:eastAsia="仿宋"/>
          <w:sz w:val="32"/>
          <w:szCs w:val="32"/>
          <w:highlight w:val="none"/>
        </w:rPr>
      </w:pPr>
      <w:r>
        <w:rPr>
          <w:rFonts w:hint="eastAsia" w:ascii="仿宋" w:hAnsi="仿宋" w:eastAsia="仿宋"/>
          <w:b w:val="0"/>
          <w:bCs w:val="0"/>
          <w:sz w:val="32"/>
          <w:szCs w:val="32"/>
          <w:highlight w:val="none"/>
        </w:rPr>
        <w:t>人员经费</w:t>
      </w:r>
      <w:r>
        <w:rPr>
          <w:rFonts w:hint="eastAsia" w:ascii="仿宋" w:hAnsi="仿宋" w:eastAsia="仿宋"/>
          <w:b w:val="0"/>
          <w:bCs w:val="0"/>
          <w:sz w:val="32"/>
          <w:szCs w:val="32"/>
          <w:highlight w:val="none"/>
          <w:lang w:val="en-US" w:eastAsia="zh-CN"/>
        </w:rPr>
        <w:t>555.43</w:t>
      </w:r>
      <w:r>
        <w:rPr>
          <w:rFonts w:hint="eastAsia" w:ascii="仿宋" w:hAnsi="仿宋" w:eastAsia="仿宋"/>
          <w:b w:val="0"/>
          <w:bCs w:val="0"/>
          <w:sz w:val="32"/>
          <w:szCs w:val="32"/>
          <w:highlight w:val="none"/>
        </w:rPr>
        <w:t>万元，</w:t>
      </w:r>
      <w:r>
        <w:rPr>
          <w:rFonts w:hint="eastAsia" w:ascii="仿宋" w:hAnsi="仿宋" w:eastAsia="仿宋"/>
          <w:sz w:val="32"/>
          <w:szCs w:val="32"/>
          <w:highlight w:val="none"/>
        </w:rPr>
        <w:t>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highlight w:val="none"/>
        </w:rPr>
        <w:br w:type="textWrapping"/>
      </w:r>
      <w:r>
        <w:rPr>
          <w:rFonts w:hint="eastAsia" w:ascii="仿宋" w:hAnsi="仿宋" w:eastAsia="仿宋"/>
          <w:b w:val="0"/>
          <w:bCs w:val="0"/>
          <w:sz w:val="32"/>
          <w:szCs w:val="32"/>
          <w:highlight w:val="none"/>
        </w:rPr>
        <w:t>　　公用经费</w:t>
      </w:r>
      <w:r>
        <w:rPr>
          <w:rFonts w:hint="eastAsia" w:ascii="仿宋" w:hAnsi="仿宋" w:eastAsia="仿宋"/>
          <w:b w:val="0"/>
          <w:bCs w:val="0"/>
          <w:sz w:val="32"/>
          <w:szCs w:val="32"/>
          <w:highlight w:val="none"/>
          <w:lang w:val="en-US" w:eastAsia="zh-CN"/>
        </w:rPr>
        <w:t>74.36</w:t>
      </w:r>
      <w:r>
        <w:rPr>
          <w:rFonts w:hint="eastAsia" w:ascii="仿宋" w:hAnsi="仿宋" w:eastAsia="仿宋"/>
          <w:b w:val="0"/>
          <w:bCs w:val="0"/>
          <w:sz w:val="32"/>
          <w:szCs w:val="32"/>
          <w:highlight w:val="none"/>
        </w:rPr>
        <w:t>万元</w:t>
      </w:r>
      <w:r>
        <w:rPr>
          <w:rFonts w:hint="eastAsia" w:ascii="仿宋" w:hAnsi="仿宋" w:eastAsia="仿宋"/>
          <w:sz w:val="32"/>
          <w:szCs w:val="32"/>
          <w:highlight w:val="none"/>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FC666FE">
      <w:pPr>
        <w:spacing w:line="600" w:lineRule="exact"/>
        <w:ind w:firstLine="645"/>
        <w:rPr>
          <w:rFonts w:ascii="仿宋" w:hAnsi="仿宋" w:eastAsia="仿宋"/>
          <w:b/>
          <w:sz w:val="32"/>
          <w:szCs w:val="32"/>
          <w:highlight w:val="none"/>
        </w:rPr>
      </w:pPr>
      <w:r>
        <w:rPr>
          <w:rFonts w:hint="eastAsia" w:ascii="仿宋" w:hAnsi="仿宋" w:eastAsia="仿宋"/>
          <w:b/>
          <w:sz w:val="32"/>
          <w:szCs w:val="32"/>
          <w:highlight w:val="none"/>
        </w:rPr>
        <w:t>（注：数据来源于财决</w:t>
      </w:r>
      <w:r>
        <w:rPr>
          <w:rFonts w:ascii="仿宋" w:hAnsi="仿宋" w:eastAsia="仿宋"/>
          <w:b/>
          <w:sz w:val="32"/>
          <w:szCs w:val="32"/>
          <w:highlight w:val="none"/>
        </w:rPr>
        <w:t>0</w:t>
      </w:r>
      <w:r>
        <w:rPr>
          <w:rFonts w:hint="eastAsia" w:ascii="仿宋" w:hAnsi="仿宋" w:eastAsia="仿宋"/>
          <w:b/>
          <w:sz w:val="32"/>
          <w:szCs w:val="32"/>
          <w:highlight w:val="none"/>
        </w:rPr>
        <w:t>7表和财决08-1表，仅罗列本单位实际支出涉及的经济分类科目。）</w:t>
      </w:r>
    </w:p>
    <w:p w14:paraId="23132D73">
      <w:pPr>
        <w:spacing w:line="600" w:lineRule="exact"/>
        <w:ind w:firstLine="640"/>
        <w:rPr>
          <w:rFonts w:ascii="仿宋" w:hAnsi="仿宋" w:eastAsia="仿宋"/>
          <w:b/>
          <w:sz w:val="32"/>
          <w:szCs w:val="32"/>
          <w:highlight w:val="none"/>
        </w:rPr>
      </w:pPr>
    </w:p>
    <w:p w14:paraId="6801AA85">
      <w:pPr>
        <w:spacing w:line="600" w:lineRule="exact"/>
        <w:ind w:firstLine="640"/>
        <w:outlineLvl w:val="1"/>
        <w:rPr>
          <w:rStyle w:val="28"/>
          <w:rFonts w:ascii="黑体" w:hAnsi="黑体" w:eastAsia="黑体"/>
          <w:b w:val="0"/>
          <w:highlight w:val="none"/>
        </w:rPr>
      </w:pPr>
      <w:bookmarkStart w:id="36" w:name="_Toc15396609"/>
      <w:bookmarkStart w:id="37" w:name="_Toc15377215"/>
      <w:r>
        <w:rPr>
          <w:rFonts w:hint="eastAsia" w:ascii="黑体" w:eastAsia="黑体"/>
          <w:sz w:val="32"/>
          <w:szCs w:val="32"/>
          <w:highlight w:val="none"/>
        </w:rPr>
        <w:t>七、</w:t>
      </w:r>
      <w:r>
        <w:rPr>
          <w:rStyle w:val="28"/>
          <w:rFonts w:hint="eastAsia" w:ascii="黑体" w:hAnsi="黑体" w:eastAsia="黑体"/>
          <w:b w:val="0"/>
          <w:highlight w:val="none"/>
        </w:rPr>
        <w:t>财政拨款</w:t>
      </w:r>
      <w:r>
        <w:rPr>
          <w:rStyle w:val="28"/>
          <w:rFonts w:hint="eastAsia" w:ascii="黑体" w:hAnsi="黑体" w:eastAsia="黑体"/>
          <w:highlight w:val="none"/>
        </w:rPr>
        <w:t>“</w:t>
      </w:r>
      <w:r>
        <w:rPr>
          <w:rStyle w:val="28"/>
          <w:rFonts w:hint="eastAsia" w:ascii="黑体" w:hAnsi="黑体" w:eastAsia="黑体"/>
          <w:b w:val="0"/>
          <w:highlight w:val="none"/>
        </w:rPr>
        <w:t>三公”经费支出决算情况说明</w:t>
      </w:r>
      <w:bookmarkEnd w:id="36"/>
      <w:bookmarkEnd w:id="37"/>
    </w:p>
    <w:p w14:paraId="0EC1E6B7">
      <w:pPr>
        <w:spacing w:line="600" w:lineRule="exact"/>
        <w:ind w:firstLine="640"/>
        <w:outlineLvl w:val="2"/>
        <w:rPr>
          <w:rFonts w:ascii="仿宋" w:hAnsi="仿宋" w:eastAsia="仿宋"/>
          <w:b/>
          <w:sz w:val="32"/>
          <w:szCs w:val="32"/>
          <w:highlight w:val="none"/>
        </w:rPr>
      </w:pPr>
      <w:bookmarkStart w:id="38" w:name="_Toc15377216"/>
      <w:r>
        <w:rPr>
          <w:rFonts w:hint="eastAsia" w:ascii="仿宋" w:hAnsi="仿宋" w:eastAsia="仿宋"/>
          <w:b/>
          <w:sz w:val="32"/>
          <w:szCs w:val="32"/>
          <w:highlight w:val="none"/>
        </w:rPr>
        <w:t>（一）“三公”经费财政拨款支出决算总体情况说明</w:t>
      </w:r>
      <w:bookmarkEnd w:id="38"/>
    </w:p>
    <w:p w14:paraId="5BD17432">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2023年度“三公”经费财政拨款支出决算</w:t>
      </w:r>
      <w:r>
        <w:rPr>
          <w:rFonts w:hint="eastAsia" w:ascii="仿宋" w:hAnsi="仿宋" w:eastAsia="仿宋"/>
          <w:b w:val="0"/>
          <w:bCs w:val="0"/>
          <w:sz w:val="32"/>
          <w:szCs w:val="32"/>
          <w:highlight w:val="none"/>
        </w:rPr>
        <w:t>为</w:t>
      </w:r>
      <w:r>
        <w:rPr>
          <w:rFonts w:hint="eastAsia" w:ascii="仿宋" w:hAnsi="仿宋" w:eastAsia="仿宋"/>
          <w:b w:val="0"/>
          <w:bCs w:val="0"/>
          <w:sz w:val="32"/>
          <w:szCs w:val="32"/>
          <w:highlight w:val="none"/>
          <w:lang w:val="en-US" w:eastAsia="zh-CN"/>
        </w:rPr>
        <w:t>2.42</w:t>
      </w:r>
      <w:r>
        <w:rPr>
          <w:rFonts w:hint="eastAsia" w:ascii="仿宋" w:hAnsi="仿宋" w:eastAsia="仿宋"/>
          <w:b w:val="0"/>
          <w:bCs w:val="0"/>
          <w:sz w:val="32"/>
          <w:szCs w:val="32"/>
          <w:highlight w:val="none"/>
        </w:rPr>
        <w:t>万元</w:t>
      </w:r>
      <w:r>
        <w:rPr>
          <w:rFonts w:hint="eastAsia" w:ascii="仿宋" w:hAnsi="仿宋" w:eastAsia="仿宋"/>
          <w:sz w:val="32"/>
          <w:szCs w:val="32"/>
          <w:highlight w:val="none"/>
        </w:rPr>
        <w:t>，完成</w:t>
      </w:r>
      <w:r>
        <w:rPr>
          <w:rFonts w:hint="eastAsia" w:ascii="仿宋" w:hAnsi="仿宋" w:eastAsia="仿宋" w:cs="Times New Roman"/>
          <w:sz w:val="32"/>
          <w:szCs w:val="32"/>
          <w:highlight w:val="none"/>
        </w:rPr>
        <w:t>预算</w:t>
      </w:r>
      <w:r>
        <w:rPr>
          <w:rFonts w:hint="eastAsia" w:ascii="仿宋" w:hAnsi="仿宋" w:eastAsia="仿宋" w:cs="Times New Roman"/>
          <w:sz w:val="32"/>
          <w:szCs w:val="32"/>
          <w:highlight w:val="none"/>
          <w:lang w:val="en-US" w:eastAsia="zh-CN"/>
        </w:rPr>
        <w:t>56.28</w:t>
      </w:r>
      <w:r>
        <w:rPr>
          <w:rFonts w:hint="eastAsia" w:ascii="仿宋" w:hAnsi="仿宋" w:eastAsia="仿宋" w:cs="Times New Roman"/>
          <w:sz w:val="32"/>
          <w:szCs w:val="32"/>
          <w:highlight w:val="none"/>
        </w:rPr>
        <w:t>%，较上</w:t>
      </w:r>
      <w:r>
        <w:rPr>
          <w:rFonts w:hint="eastAsia" w:ascii="仿宋" w:hAnsi="仿宋" w:eastAsia="仿宋"/>
          <w:sz w:val="32"/>
          <w:szCs w:val="32"/>
          <w:highlight w:val="none"/>
        </w:rPr>
        <w:t>年度减少</w:t>
      </w:r>
      <w:r>
        <w:rPr>
          <w:rFonts w:hint="eastAsia" w:ascii="仿宋" w:hAnsi="仿宋" w:eastAsia="仿宋"/>
          <w:sz w:val="32"/>
          <w:szCs w:val="32"/>
          <w:highlight w:val="none"/>
          <w:lang w:val="en-US" w:eastAsia="zh-CN"/>
        </w:rPr>
        <w:t>1.23</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33.7</w:t>
      </w:r>
      <w:r>
        <w:rPr>
          <w:rFonts w:hint="eastAsia" w:ascii="仿宋" w:hAnsi="仿宋" w:eastAsia="仿宋"/>
          <w:sz w:val="32"/>
          <w:szCs w:val="32"/>
          <w:highlight w:val="none"/>
        </w:rPr>
        <w:t>%。决算数小于预算数的主要原因是</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一是厉行节约，二是部分公务接待费用因财政调度资金困难而暂时没有实现支出。</w:t>
      </w:r>
    </w:p>
    <w:p w14:paraId="36BBB6C7">
      <w:pPr>
        <w:spacing w:line="600" w:lineRule="exact"/>
        <w:ind w:firstLine="640"/>
        <w:rPr>
          <w:rFonts w:ascii="仿宋" w:hAnsi="仿宋" w:eastAsia="仿宋"/>
          <w:b/>
          <w:sz w:val="32"/>
          <w:szCs w:val="32"/>
          <w:highlight w:val="none"/>
        </w:rPr>
      </w:pPr>
      <w:r>
        <w:rPr>
          <w:rFonts w:hint="eastAsia" w:ascii="仿宋" w:hAnsi="仿宋" w:eastAsia="仿宋"/>
          <w:b/>
          <w:sz w:val="32"/>
          <w:szCs w:val="32"/>
          <w:highlight w:val="none"/>
        </w:rPr>
        <w:t>（注：上述“预算”口径为全年预算数，包括一般公共预算和政府性基金预算财政拨款支出决算情况。）</w:t>
      </w:r>
    </w:p>
    <w:p w14:paraId="76C18A7B">
      <w:pPr>
        <w:spacing w:line="600" w:lineRule="exact"/>
        <w:ind w:firstLine="640"/>
        <w:outlineLvl w:val="2"/>
        <w:rPr>
          <w:rFonts w:ascii="仿宋" w:hAnsi="仿宋" w:eastAsia="仿宋"/>
          <w:b/>
          <w:sz w:val="32"/>
          <w:szCs w:val="32"/>
          <w:highlight w:val="none"/>
        </w:rPr>
      </w:pPr>
      <w:bookmarkStart w:id="39" w:name="_Toc15377217"/>
      <w:r>
        <w:rPr>
          <w:rFonts w:hint="eastAsia" w:ascii="仿宋" w:hAnsi="仿宋" w:eastAsia="仿宋"/>
          <w:b/>
          <w:sz w:val="32"/>
          <w:szCs w:val="32"/>
          <w:highlight w:val="none"/>
        </w:rPr>
        <w:t>（二）“三公”经费财政拨款支出决算具体情况说明</w:t>
      </w:r>
      <w:bookmarkEnd w:id="39"/>
    </w:p>
    <w:p w14:paraId="1B902672">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t>2023</w:t>
      </w:r>
      <w:r>
        <w:rPr>
          <w:rFonts w:hint="eastAsia" w:ascii="仿宋" w:hAnsi="仿宋" w:eastAsia="仿宋"/>
          <w:b w:val="0"/>
          <w:bCs w:val="0"/>
          <w:sz w:val="32"/>
          <w:szCs w:val="32"/>
          <w:highlight w:val="none"/>
        </w:rPr>
        <w:t>年度“三公”经费财政拨款支出决算中，因公出国（境）费支出决算</w:t>
      </w:r>
      <w:r>
        <w:rPr>
          <w:rFonts w:ascii="仿宋" w:hAnsi="仿宋" w:eastAsia="仿宋"/>
          <w:b w:val="0"/>
          <w:bCs w:val="0"/>
          <w:sz w:val="32"/>
          <w:szCs w:val="32"/>
          <w:highlight w:val="none"/>
        </w:rPr>
        <w:t>0</w:t>
      </w:r>
      <w:r>
        <w:rPr>
          <w:rFonts w:hint="eastAsia" w:ascii="仿宋" w:hAnsi="仿宋" w:eastAsia="仿宋"/>
          <w:b w:val="0"/>
          <w:bCs w:val="0"/>
          <w:sz w:val="32"/>
          <w:szCs w:val="32"/>
          <w:highlight w:val="none"/>
        </w:rPr>
        <w:t>万元，占</w:t>
      </w:r>
      <w:r>
        <w:rPr>
          <w:rFonts w:ascii="仿宋" w:hAnsi="仿宋" w:eastAsia="仿宋"/>
          <w:b w:val="0"/>
          <w:bCs w:val="0"/>
          <w:sz w:val="32"/>
          <w:szCs w:val="32"/>
          <w:highlight w:val="none"/>
        </w:rPr>
        <w:t>0%</w:t>
      </w:r>
      <w:r>
        <w:rPr>
          <w:rFonts w:hint="eastAsia" w:ascii="仿宋" w:hAnsi="仿宋" w:eastAsia="仿宋"/>
          <w:b w:val="0"/>
          <w:bCs w:val="0"/>
          <w:sz w:val="32"/>
          <w:szCs w:val="32"/>
          <w:highlight w:val="none"/>
        </w:rPr>
        <w:t>；公务用车购置及运行维护费支出决算</w:t>
      </w:r>
      <w:r>
        <w:rPr>
          <w:rFonts w:ascii="仿宋" w:hAnsi="仿宋" w:eastAsia="仿宋"/>
          <w:b w:val="0"/>
          <w:bCs w:val="0"/>
          <w:sz w:val="32"/>
          <w:szCs w:val="32"/>
          <w:highlight w:val="none"/>
        </w:rPr>
        <w:t>0</w:t>
      </w:r>
      <w:r>
        <w:rPr>
          <w:rFonts w:hint="eastAsia" w:ascii="仿宋" w:hAnsi="仿宋" w:eastAsia="仿宋"/>
          <w:b w:val="0"/>
          <w:bCs w:val="0"/>
          <w:sz w:val="32"/>
          <w:szCs w:val="32"/>
          <w:highlight w:val="none"/>
        </w:rPr>
        <w:t>万元，占</w:t>
      </w:r>
      <w:r>
        <w:rPr>
          <w:rFonts w:ascii="仿宋" w:hAnsi="仿宋" w:eastAsia="仿宋"/>
          <w:b w:val="0"/>
          <w:bCs w:val="0"/>
          <w:sz w:val="32"/>
          <w:szCs w:val="32"/>
          <w:highlight w:val="none"/>
        </w:rPr>
        <w:t>0%</w:t>
      </w:r>
      <w:r>
        <w:rPr>
          <w:rFonts w:hint="eastAsia" w:ascii="仿宋" w:hAnsi="仿宋" w:eastAsia="仿宋"/>
          <w:b w:val="0"/>
          <w:bCs w:val="0"/>
          <w:sz w:val="32"/>
          <w:szCs w:val="32"/>
          <w:highlight w:val="none"/>
        </w:rPr>
        <w:t>；公务接待费支出决算</w:t>
      </w:r>
      <w:r>
        <w:rPr>
          <w:rFonts w:hint="eastAsia" w:ascii="仿宋" w:hAnsi="仿宋" w:eastAsia="仿宋"/>
          <w:b w:val="0"/>
          <w:bCs w:val="0"/>
          <w:sz w:val="32"/>
          <w:szCs w:val="32"/>
          <w:highlight w:val="none"/>
          <w:lang w:val="en-US" w:eastAsia="zh-CN"/>
        </w:rPr>
        <w:t>2.42</w:t>
      </w:r>
      <w:r>
        <w:rPr>
          <w:rFonts w:hint="eastAsia" w:ascii="仿宋" w:hAnsi="仿宋" w:eastAsia="仿宋"/>
          <w:b w:val="0"/>
          <w:bCs w:val="0"/>
          <w:sz w:val="32"/>
          <w:szCs w:val="32"/>
          <w:highlight w:val="none"/>
        </w:rPr>
        <w:t>万元，占</w:t>
      </w:r>
      <w:r>
        <w:rPr>
          <w:rFonts w:ascii="仿宋" w:hAnsi="仿宋" w:eastAsia="仿宋"/>
          <w:b w:val="0"/>
          <w:bCs w:val="0"/>
          <w:sz w:val="32"/>
          <w:szCs w:val="32"/>
          <w:highlight w:val="none"/>
        </w:rPr>
        <w:t>100%</w:t>
      </w:r>
      <w:r>
        <w:rPr>
          <w:rFonts w:hint="eastAsia" w:ascii="仿宋" w:hAnsi="仿宋" w:eastAsia="仿宋"/>
          <w:b w:val="0"/>
          <w:bCs w:val="0"/>
          <w:sz w:val="32"/>
          <w:szCs w:val="32"/>
          <w:highlight w:val="none"/>
        </w:rPr>
        <w:t>。具体情况如下：</w:t>
      </w:r>
    </w:p>
    <w:p w14:paraId="2728CB0E">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（图7：“三公”经费财政拨款支出结构）（饼状图）</w:t>
      </w:r>
    </w:p>
    <w:p w14:paraId="58BB35A4">
      <w:pPr>
        <w:spacing w:line="600" w:lineRule="exact"/>
        <w:ind w:firstLine="640"/>
        <w:rPr>
          <w:rFonts w:hint="eastAsia" w:ascii="仿宋" w:hAnsi="仿宋" w:eastAsia="仿宋"/>
          <w:sz w:val="32"/>
          <w:szCs w:val="32"/>
          <w:highlight w:val="none"/>
        </w:rPr>
      </w:pPr>
    </w:p>
    <w:p w14:paraId="4D19B1A5">
      <w:pPr>
        <w:spacing w:line="600" w:lineRule="exact"/>
        <w:ind w:firstLine="640"/>
        <w:rPr>
          <w:rFonts w:hint="eastAsia" w:ascii="仿宋" w:hAnsi="仿宋" w:eastAsia="仿宋"/>
          <w:sz w:val="32"/>
          <w:szCs w:val="32"/>
          <w:highlight w:val="none"/>
        </w:rPr>
      </w:pPr>
    </w:p>
    <w:p w14:paraId="47F2BB06">
      <w:pPr>
        <w:spacing w:line="600" w:lineRule="exact"/>
        <w:ind w:firstLine="640"/>
        <w:rPr>
          <w:rFonts w:hint="eastAsia" w:ascii="仿宋" w:hAnsi="仿宋" w:eastAsia="仿宋"/>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173355</wp:posOffset>
            </wp:positionH>
            <wp:positionV relativeFrom="paragraph">
              <wp:posOffset>13970</wp:posOffset>
            </wp:positionV>
            <wp:extent cx="5256530" cy="2988310"/>
            <wp:effectExtent l="5080" t="4445" r="15240" b="1714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B58A4DE">
      <w:pPr>
        <w:spacing w:line="600" w:lineRule="exact"/>
        <w:ind w:firstLine="640"/>
        <w:rPr>
          <w:rFonts w:hint="eastAsia" w:ascii="仿宋" w:hAnsi="仿宋" w:eastAsia="仿宋"/>
          <w:sz w:val="32"/>
          <w:szCs w:val="32"/>
          <w:highlight w:val="none"/>
        </w:rPr>
      </w:pPr>
    </w:p>
    <w:p w14:paraId="44744751">
      <w:pPr>
        <w:spacing w:line="600" w:lineRule="exact"/>
        <w:ind w:firstLine="640"/>
        <w:rPr>
          <w:rFonts w:hint="eastAsia" w:ascii="仿宋" w:hAnsi="仿宋" w:eastAsia="仿宋"/>
          <w:sz w:val="32"/>
          <w:szCs w:val="32"/>
          <w:highlight w:val="none"/>
        </w:rPr>
      </w:pPr>
    </w:p>
    <w:p w14:paraId="054FD17C">
      <w:pPr>
        <w:spacing w:line="600" w:lineRule="exact"/>
        <w:ind w:firstLine="640"/>
        <w:rPr>
          <w:rFonts w:hint="eastAsia" w:ascii="仿宋" w:hAnsi="仿宋" w:eastAsia="仿宋"/>
          <w:sz w:val="32"/>
          <w:szCs w:val="32"/>
          <w:highlight w:val="none"/>
        </w:rPr>
      </w:pPr>
    </w:p>
    <w:p w14:paraId="4DB15C88">
      <w:pPr>
        <w:spacing w:line="600" w:lineRule="exact"/>
        <w:ind w:firstLine="640"/>
        <w:rPr>
          <w:rFonts w:hint="eastAsia" w:ascii="仿宋" w:hAnsi="仿宋" w:eastAsia="仿宋"/>
          <w:sz w:val="32"/>
          <w:szCs w:val="32"/>
          <w:highlight w:val="none"/>
        </w:rPr>
      </w:pPr>
    </w:p>
    <w:p w14:paraId="53CB89DF">
      <w:pPr>
        <w:spacing w:line="600" w:lineRule="exact"/>
        <w:ind w:firstLine="640"/>
        <w:rPr>
          <w:rFonts w:hint="eastAsia" w:ascii="仿宋" w:hAnsi="仿宋" w:eastAsia="仿宋"/>
          <w:sz w:val="32"/>
          <w:szCs w:val="32"/>
          <w:highlight w:val="none"/>
        </w:rPr>
      </w:pPr>
    </w:p>
    <w:p w14:paraId="5417679A">
      <w:pPr>
        <w:spacing w:line="600" w:lineRule="exact"/>
        <w:ind w:firstLine="640"/>
        <w:rPr>
          <w:rFonts w:hint="eastAsia" w:ascii="仿宋" w:hAnsi="仿宋" w:eastAsia="仿宋"/>
          <w:sz w:val="32"/>
          <w:szCs w:val="32"/>
          <w:highlight w:val="none"/>
        </w:rPr>
      </w:pPr>
    </w:p>
    <w:p w14:paraId="53D3EAC7">
      <w:pPr>
        <w:spacing w:line="600" w:lineRule="exact"/>
        <w:ind w:firstLine="640"/>
        <w:rPr>
          <w:rFonts w:hint="eastAsia" w:ascii="仿宋" w:hAnsi="仿宋" w:eastAsia="仿宋"/>
          <w:sz w:val="32"/>
          <w:szCs w:val="32"/>
          <w:highlight w:val="none"/>
        </w:rPr>
      </w:pPr>
    </w:p>
    <w:p w14:paraId="513C82CD">
      <w:pPr>
        <w:spacing w:line="600" w:lineRule="exact"/>
        <w:ind w:firstLine="640"/>
        <w:rPr>
          <w:rFonts w:hint="eastAsia" w:ascii="仿宋" w:hAnsi="仿宋" w:eastAsia="仿宋"/>
          <w:sz w:val="32"/>
          <w:szCs w:val="32"/>
          <w:highlight w:val="none"/>
        </w:rPr>
      </w:pPr>
    </w:p>
    <w:p w14:paraId="2F60DD24">
      <w:pPr>
        <w:spacing w:line="600" w:lineRule="exact"/>
        <w:ind w:firstLine="640"/>
        <w:rPr>
          <w:rFonts w:ascii="仿宋_GB2312" w:eastAsia="仿宋_GB2312"/>
          <w:sz w:val="32"/>
          <w:szCs w:val="32"/>
          <w:highlight w:val="none"/>
        </w:rPr>
      </w:pPr>
      <w:bookmarkStart w:id="40" w:name="_Toc15377218"/>
      <w:bookmarkStart w:id="41" w:name="_Toc15396610"/>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3B7B42D5">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2A2510A5">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2.42</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hint="eastAsia" w:ascii="仿宋" w:hAnsi="仿宋" w:eastAsia="仿宋"/>
          <w:b w:val="0"/>
          <w:bCs/>
          <w:sz w:val="32"/>
          <w:szCs w:val="32"/>
          <w:highlight w:val="none"/>
          <w:lang w:val="en-US" w:eastAsia="zh-CN"/>
        </w:rPr>
        <w:t>56.28</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w:t>
      </w:r>
      <w:r>
        <w:rPr>
          <w:rFonts w:hint="eastAsia" w:ascii="仿宋" w:hAnsi="仿宋" w:eastAsia="仿宋"/>
          <w:sz w:val="32"/>
          <w:szCs w:val="32"/>
          <w:highlight w:val="none"/>
        </w:rPr>
        <w:t>减少</w:t>
      </w:r>
      <w:r>
        <w:rPr>
          <w:rFonts w:hint="eastAsia" w:ascii="仿宋" w:hAnsi="仿宋" w:eastAsia="仿宋"/>
          <w:sz w:val="32"/>
          <w:szCs w:val="32"/>
          <w:highlight w:val="none"/>
          <w:lang w:val="en-US" w:eastAsia="zh-CN"/>
        </w:rPr>
        <w:t>1.23</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33.7</w:t>
      </w:r>
      <w:r>
        <w:rPr>
          <w:rFonts w:hint="eastAsia" w:ascii="仿宋" w:hAnsi="仿宋" w:eastAsia="仿宋"/>
          <w:sz w:val="32"/>
          <w:szCs w:val="32"/>
          <w:highlight w:val="none"/>
        </w:rPr>
        <w:t>%。主要原因是</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一是厉行节约，二是部分公务接待费用因财政调度资金困难而暂时没有实现支出。</w:t>
      </w:r>
    </w:p>
    <w:p w14:paraId="58E845E8">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2.42</w:t>
      </w:r>
      <w:r>
        <w:rPr>
          <w:rFonts w:hint="eastAsia" w:ascii="仿宋_GB2312" w:eastAsia="仿宋_GB2312"/>
          <w:sz w:val="32"/>
          <w:szCs w:val="32"/>
          <w:highlight w:val="none"/>
        </w:rPr>
        <w:t>万元，主要用于执行公务、开展业务活动开支的交通费、住宿费、用餐费等。国内公务接待</w:t>
      </w:r>
      <w:r>
        <w:rPr>
          <w:rFonts w:hint="eastAsia" w:ascii="仿宋_GB2312" w:eastAsia="仿宋_GB2312"/>
          <w:sz w:val="32"/>
          <w:szCs w:val="32"/>
          <w:highlight w:val="none"/>
          <w:lang w:val="en-US" w:eastAsia="zh-CN"/>
        </w:rPr>
        <w:t>29</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389</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2.42</w:t>
      </w:r>
      <w:r>
        <w:rPr>
          <w:rFonts w:hint="eastAsia" w:ascii="仿宋_GB2312" w:eastAsia="仿宋_GB2312"/>
          <w:sz w:val="32"/>
          <w:szCs w:val="32"/>
          <w:highlight w:val="none"/>
        </w:rPr>
        <w:t>万元，具体内容包括：</w:t>
      </w:r>
      <w:r>
        <w:rPr>
          <w:rFonts w:hint="eastAsia" w:ascii="仿宋_GB2312" w:eastAsia="仿宋_GB2312"/>
          <w:sz w:val="32"/>
          <w:szCs w:val="32"/>
          <w:highlight w:val="none"/>
          <w:lang w:eastAsia="zh-CN"/>
        </w:rPr>
        <w:t>上级工作检查接待等</w:t>
      </w:r>
      <w:r>
        <w:rPr>
          <w:rFonts w:hint="eastAsia" w:ascii="仿宋_GB2312" w:eastAsia="仿宋_GB2312"/>
          <w:sz w:val="32"/>
          <w:szCs w:val="32"/>
          <w:highlight w:val="none"/>
        </w:rPr>
        <w:t>。</w:t>
      </w:r>
    </w:p>
    <w:p w14:paraId="143F391C">
      <w:pPr>
        <w:spacing w:line="600" w:lineRule="exact"/>
        <w:ind w:firstLine="643" w:firstLineChars="200"/>
        <w:rPr>
          <w:rFonts w:ascii="仿宋_GB2312" w:eastAsia="仿宋_GB2312"/>
          <w:sz w:val="32"/>
          <w:szCs w:val="32"/>
          <w:highlight w:val="none"/>
        </w:rPr>
      </w:pPr>
      <w:r>
        <w:rPr>
          <w:rFonts w:hint="eastAsia" w:ascii="仿宋" w:hAnsi="仿宋" w:eastAsia="仿宋"/>
          <w:b/>
          <w:sz w:val="32"/>
          <w:szCs w:val="32"/>
          <w:highlight w:val="none"/>
        </w:rPr>
        <w:t>外事接待支出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3184A5EA">
      <w:pPr>
        <w:spacing w:line="600" w:lineRule="exact"/>
        <w:ind w:firstLine="640"/>
        <w:outlineLvl w:val="1"/>
        <w:rPr>
          <w:rFonts w:ascii="黑体" w:eastAsia="黑体"/>
          <w:sz w:val="32"/>
          <w:szCs w:val="32"/>
          <w:highlight w:val="none"/>
        </w:rPr>
      </w:pPr>
    </w:p>
    <w:p w14:paraId="59804D54">
      <w:pPr>
        <w:spacing w:line="600" w:lineRule="exact"/>
        <w:ind w:firstLine="640"/>
        <w:outlineLvl w:val="1"/>
        <w:rPr>
          <w:rStyle w:val="28"/>
          <w:rFonts w:ascii="黑体" w:hAnsi="黑体" w:eastAsia="黑体"/>
          <w:highlight w:val="none"/>
        </w:rPr>
      </w:pPr>
      <w:r>
        <w:rPr>
          <w:rFonts w:hint="eastAsia" w:ascii="黑体" w:eastAsia="黑体"/>
          <w:sz w:val="32"/>
          <w:szCs w:val="32"/>
          <w:highlight w:val="none"/>
        </w:rPr>
        <w:t>八、</w:t>
      </w:r>
      <w:r>
        <w:rPr>
          <w:rStyle w:val="28"/>
          <w:rFonts w:hint="eastAsia" w:ascii="黑体" w:hAnsi="黑体" w:eastAsia="黑体"/>
          <w:b w:val="0"/>
          <w:highlight w:val="none"/>
        </w:rPr>
        <w:t>政府性基金预算支出决算情况说明</w:t>
      </w:r>
      <w:bookmarkEnd w:id="40"/>
      <w:bookmarkEnd w:id="41"/>
    </w:p>
    <w:p w14:paraId="4DF940A1">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2023年度政府性基金预算财政拨</w:t>
      </w:r>
      <w:r>
        <w:rPr>
          <w:rFonts w:hint="eastAsia" w:ascii="仿宋_GB2312" w:eastAsia="仿宋_GB2312"/>
          <w:b w:val="0"/>
          <w:bCs w:val="0"/>
          <w:sz w:val="32"/>
          <w:szCs w:val="32"/>
          <w:highlight w:val="none"/>
        </w:rPr>
        <w:t>款支出</w:t>
      </w:r>
      <w:r>
        <w:rPr>
          <w:rFonts w:ascii="仿宋" w:hAnsi="仿宋" w:eastAsia="仿宋"/>
          <w:b w:val="0"/>
          <w:bCs w:val="0"/>
          <w:sz w:val="32"/>
          <w:szCs w:val="32"/>
          <w:highlight w:val="none"/>
        </w:rPr>
        <w:t>0</w:t>
      </w:r>
      <w:r>
        <w:rPr>
          <w:rFonts w:hint="eastAsia" w:ascii="仿宋_GB2312" w:eastAsia="仿宋_GB2312"/>
          <w:b w:val="0"/>
          <w:bCs w:val="0"/>
          <w:sz w:val="32"/>
          <w:szCs w:val="32"/>
          <w:highlight w:val="none"/>
        </w:rPr>
        <w:t>万</w:t>
      </w:r>
      <w:r>
        <w:rPr>
          <w:rFonts w:hint="eastAsia" w:ascii="仿宋_GB2312" w:eastAsia="仿宋_GB2312"/>
          <w:sz w:val="32"/>
          <w:szCs w:val="32"/>
          <w:highlight w:val="none"/>
        </w:rPr>
        <w:t>元。</w:t>
      </w:r>
    </w:p>
    <w:p w14:paraId="74809DF6">
      <w:pPr>
        <w:spacing w:line="600" w:lineRule="exact"/>
        <w:ind w:firstLine="640"/>
        <w:rPr>
          <w:rFonts w:ascii="仿宋_GB2312" w:eastAsia="仿宋_GB2312"/>
          <w:sz w:val="32"/>
          <w:szCs w:val="32"/>
          <w:highlight w:val="none"/>
        </w:rPr>
      </w:pPr>
    </w:p>
    <w:p w14:paraId="77B9DD47">
      <w:pPr>
        <w:numPr>
          <w:ilvl w:val="0"/>
          <w:numId w:val="3"/>
        </w:numPr>
        <w:spacing w:line="600" w:lineRule="exact"/>
        <w:ind w:firstLine="640"/>
        <w:outlineLvl w:val="1"/>
        <w:rPr>
          <w:rStyle w:val="28"/>
          <w:rFonts w:ascii="黑体" w:hAnsi="黑体" w:eastAsia="黑体"/>
          <w:b w:val="0"/>
          <w:highlight w:val="none"/>
        </w:rPr>
      </w:pPr>
      <w:bookmarkStart w:id="42" w:name="_Toc15377219"/>
      <w:bookmarkStart w:id="43" w:name="_Toc15396611"/>
      <w:r>
        <w:rPr>
          <w:rStyle w:val="28"/>
          <w:rFonts w:hint="eastAsia" w:ascii="黑体" w:hAnsi="黑体" w:eastAsia="黑体"/>
          <w:b w:val="0"/>
          <w:highlight w:val="none"/>
        </w:rPr>
        <w:t>国有资本经营预算支出决算情况说明</w:t>
      </w:r>
      <w:bookmarkEnd w:id="42"/>
      <w:bookmarkEnd w:id="43"/>
    </w:p>
    <w:p w14:paraId="6E50C18C">
      <w:pPr>
        <w:spacing w:line="600" w:lineRule="exact"/>
        <w:ind w:firstLine="640"/>
        <w:rPr>
          <w:rFonts w:ascii="方正小标宋简体" w:hAnsi="方正小标宋简体" w:eastAsia="方正小标宋简体" w:cs="方正小标宋简体"/>
          <w:sz w:val="44"/>
          <w:szCs w:val="44"/>
          <w:highlight w:val="none"/>
        </w:rPr>
      </w:pPr>
      <w:r>
        <w:rPr>
          <w:rFonts w:hint="eastAsia" w:ascii="仿宋_GB2312" w:eastAsia="仿宋_GB2312"/>
          <w:sz w:val="32"/>
          <w:szCs w:val="32"/>
          <w:highlight w:val="none"/>
        </w:rPr>
        <w:t>2023年度国有资本经营预算财政拨款支</w:t>
      </w:r>
      <w:r>
        <w:rPr>
          <w:rFonts w:hint="eastAsia" w:ascii="仿宋_GB2312" w:eastAsia="仿宋_GB2312"/>
          <w:b w:val="0"/>
          <w:bCs w:val="0"/>
          <w:sz w:val="32"/>
          <w:szCs w:val="32"/>
          <w:highlight w:val="none"/>
        </w:rPr>
        <w:t>出</w:t>
      </w:r>
      <w:r>
        <w:rPr>
          <w:rFonts w:hint="eastAsia" w:ascii="仿宋" w:hAnsi="仿宋" w:eastAsia="仿宋"/>
          <w:b w:val="0"/>
          <w:bCs w:val="0"/>
          <w:sz w:val="32"/>
          <w:szCs w:val="32"/>
          <w:highlight w:val="none"/>
          <w:lang w:val="en-US" w:eastAsia="zh-CN"/>
        </w:rPr>
        <w:t>133.68</w:t>
      </w:r>
      <w:r>
        <w:rPr>
          <w:rFonts w:hint="eastAsia" w:ascii="仿宋_GB2312" w:eastAsia="仿宋_GB2312"/>
          <w:b w:val="0"/>
          <w:bCs w:val="0"/>
          <w:sz w:val="32"/>
          <w:szCs w:val="32"/>
          <w:highlight w:val="none"/>
        </w:rPr>
        <w:t>万元。</w:t>
      </w:r>
    </w:p>
    <w:p w14:paraId="4FDF847F">
      <w:pPr>
        <w:numPr>
          <w:ilvl w:val="0"/>
          <w:numId w:val="3"/>
        </w:numPr>
        <w:spacing w:line="600" w:lineRule="exact"/>
        <w:ind w:firstLine="640"/>
        <w:outlineLvl w:val="1"/>
        <w:rPr>
          <w:rStyle w:val="28"/>
          <w:rFonts w:ascii="黑体" w:hAnsi="黑体" w:eastAsia="黑体"/>
          <w:b w:val="0"/>
          <w:highlight w:val="none"/>
        </w:rPr>
      </w:pPr>
      <w:bookmarkStart w:id="44" w:name="_Toc15396612"/>
      <w:bookmarkStart w:id="45" w:name="_Toc15377221"/>
      <w:r>
        <w:rPr>
          <w:rStyle w:val="28"/>
          <w:rFonts w:hint="eastAsia" w:ascii="黑体" w:hAnsi="黑体" w:eastAsia="黑体"/>
          <w:b w:val="0"/>
          <w:highlight w:val="none"/>
        </w:rPr>
        <w:t>其他重要事项的情况说明</w:t>
      </w:r>
      <w:bookmarkEnd w:id="44"/>
      <w:bookmarkEnd w:id="45"/>
    </w:p>
    <w:p w14:paraId="57D918B1">
      <w:pPr>
        <w:spacing w:line="600" w:lineRule="exact"/>
        <w:ind w:firstLine="643" w:firstLineChars="200"/>
        <w:outlineLvl w:val="2"/>
        <w:rPr>
          <w:rFonts w:ascii="仿宋" w:hAnsi="仿宋" w:eastAsia="仿宋"/>
          <w:sz w:val="32"/>
          <w:szCs w:val="32"/>
          <w:highlight w:val="none"/>
        </w:rPr>
      </w:pPr>
      <w:bookmarkStart w:id="46" w:name="_Toc15377222"/>
      <w:r>
        <w:rPr>
          <w:rFonts w:hint="eastAsia" w:ascii="仿宋" w:hAnsi="仿宋" w:eastAsia="仿宋"/>
          <w:b/>
          <w:sz w:val="32"/>
          <w:szCs w:val="32"/>
          <w:highlight w:val="none"/>
        </w:rPr>
        <w:t>（一）机关运行经费支出情况</w:t>
      </w:r>
      <w:bookmarkEnd w:id="46"/>
    </w:p>
    <w:p w14:paraId="4DD44FD5">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hint="eastAsia" w:ascii="仿宋_GB2312" w:eastAsia="仿宋_GB2312"/>
          <w:b w:val="0"/>
          <w:bCs/>
          <w:sz w:val="32"/>
          <w:szCs w:val="32"/>
          <w:highlight w:val="none"/>
          <w:lang w:val="en-US" w:eastAsia="zh-CN"/>
        </w:rPr>
        <w:t>大竹县商务局</w:t>
      </w:r>
      <w:r>
        <w:rPr>
          <w:rFonts w:hint="eastAsia" w:ascii="仿宋_GB2312" w:eastAsia="仿宋_GB2312"/>
          <w:b w:val="0"/>
          <w:bCs/>
          <w:sz w:val="32"/>
          <w:szCs w:val="32"/>
          <w:highlight w:val="none"/>
        </w:rPr>
        <w:t>机</w:t>
      </w:r>
      <w:r>
        <w:rPr>
          <w:rFonts w:hint="eastAsia" w:ascii="仿宋_GB2312" w:eastAsia="仿宋_GB2312"/>
          <w:sz w:val="32"/>
          <w:szCs w:val="32"/>
          <w:highlight w:val="none"/>
        </w:rPr>
        <w:t>关运行经费支出</w:t>
      </w:r>
      <w:r>
        <w:rPr>
          <w:rFonts w:hint="eastAsia" w:ascii="仿宋" w:hAnsi="仿宋" w:eastAsia="仿宋"/>
          <w:b w:val="0"/>
          <w:bCs/>
          <w:sz w:val="32"/>
          <w:szCs w:val="32"/>
          <w:highlight w:val="none"/>
          <w:lang w:val="en-US" w:eastAsia="zh-CN"/>
        </w:rPr>
        <w:t>74.36</w:t>
      </w:r>
      <w:r>
        <w:rPr>
          <w:rFonts w:hint="eastAsia" w:ascii="仿宋_GB2312" w:eastAsia="仿宋_GB2312"/>
          <w:sz w:val="32"/>
          <w:szCs w:val="32"/>
          <w:highlight w:val="none"/>
        </w:rPr>
        <w:t>万元，比2022年度减少</w:t>
      </w:r>
      <w:r>
        <w:rPr>
          <w:rFonts w:hint="eastAsia" w:ascii="仿宋_GB2312" w:eastAsia="仿宋_GB2312"/>
          <w:sz w:val="32"/>
          <w:szCs w:val="32"/>
          <w:highlight w:val="none"/>
          <w:lang w:val="en-US" w:eastAsia="zh-CN"/>
        </w:rPr>
        <w:t>121.14</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61.96</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 w:hAnsi="仿宋" w:eastAsia="仿宋"/>
          <w:sz w:val="32"/>
          <w:szCs w:val="32"/>
          <w:highlight w:val="none"/>
        </w:rPr>
        <w:t>财政调度资金困难而暂时没有实现支出</w:t>
      </w:r>
      <w:r>
        <w:rPr>
          <w:rFonts w:hint="eastAsia" w:ascii="仿宋_GB2312" w:eastAsia="仿宋_GB2312"/>
          <w:sz w:val="32"/>
          <w:szCs w:val="32"/>
          <w:highlight w:val="none"/>
        </w:rPr>
        <w:t>。</w:t>
      </w:r>
    </w:p>
    <w:p w14:paraId="443B6406">
      <w:pPr>
        <w:spacing w:line="6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（注：数据来源于财决附</w:t>
      </w:r>
      <w:r>
        <w:rPr>
          <w:rFonts w:ascii="仿宋" w:hAnsi="仿宋" w:eastAsia="仿宋"/>
          <w:b/>
          <w:sz w:val="32"/>
          <w:szCs w:val="32"/>
          <w:highlight w:val="none"/>
        </w:rPr>
        <w:t>03</w:t>
      </w:r>
      <w:r>
        <w:rPr>
          <w:rFonts w:hint="eastAsia" w:ascii="仿宋" w:hAnsi="仿宋" w:eastAsia="仿宋"/>
          <w:b/>
          <w:sz w:val="32"/>
          <w:szCs w:val="32"/>
          <w:highlight w:val="none"/>
        </w:rPr>
        <w:t>表）</w:t>
      </w:r>
    </w:p>
    <w:p w14:paraId="3B089EB0">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47" w:name="_Toc15377223"/>
      <w:r>
        <w:rPr>
          <w:rFonts w:hint="eastAsia" w:ascii="仿宋" w:hAnsi="仿宋" w:eastAsia="仿宋"/>
          <w:b/>
          <w:sz w:val="32"/>
          <w:szCs w:val="32"/>
          <w:highlight w:val="none"/>
        </w:rPr>
        <w:t>（二）政府采购支出情况</w:t>
      </w:r>
      <w:bookmarkEnd w:id="47"/>
    </w:p>
    <w:p w14:paraId="078B568A">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hint="eastAsia" w:ascii="仿宋_GB2312" w:eastAsia="仿宋_GB2312"/>
          <w:b w:val="0"/>
          <w:bCs/>
          <w:sz w:val="32"/>
          <w:szCs w:val="32"/>
          <w:highlight w:val="none"/>
          <w:lang w:eastAsia="zh-CN"/>
        </w:rPr>
        <w:t>大竹县商务局</w:t>
      </w:r>
      <w:r>
        <w:rPr>
          <w:rFonts w:hint="eastAsia" w:ascii="仿宋_GB2312" w:eastAsia="仿宋_GB2312"/>
          <w:sz w:val="32"/>
          <w:szCs w:val="32"/>
          <w:highlight w:val="none"/>
        </w:rPr>
        <w:t>政府采购支出总额</w:t>
      </w:r>
      <w:r>
        <w:rPr>
          <w:rFonts w:ascii="仿宋" w:hAnsi="仿宋" w:eastAsia="仿宋"/>
          <w:b/>
          <w:sz w:val="32"/>
          <w:szCs w:val="32"/>
          <w:highlight w:val="none"/>
        </w:rPr>
        <w:t>0</w:t>
      </w:r>
      <w:r>
        <w:rPr>
          <w:rFonts w:hint="eastAsia" w:ascii="仿宋_GB2312" w:eastAsia="仿宋_GB2312"/>
          <w:sz w:val="32"/>
          <w:szCs w:val="32"/>
          <w:highlight w:val="none"/>
        </w:rPr>
        <w:t>万元。</w:t>
      </w:r>
    </w:p>
    <w:p w14:paraId="77E6FC2B">
      <w:pPr>
        <w:spacing w:line="6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（注：数据来源于财决附</w:t>
      </w:r>
      <w:r>
        <w:rPr>
          <w:rFonts w:ascii="仿宋" w:hAnsi="仿宋" w:eastAsia="仿宋"/>
          <w:b/>
          <w:sz w:val="32"/>
          <w:szCs w:val="32"/>
          <w:highlight w:val="none"/>
        </w:rPr>
        <w:t>03</w:t>
      </w:r>
      <w:r>
        <w:rPr>
          <w:rFonts w:hint="eastAsia" w:ascii="仿宋" w:hAnsi="仿宋" w:eastAsia="仿宋"/>
          <w:b/>
          <w:sz w:val="32"/>
          <w:szCs w:val="32"/>
          <w:highlight w:val="none"/>
        </w:rPr>
        <w:t>表）</w:t>
      </w:r>
    </w:p>
    <w:p w14:paraId="297EEEFA">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48" w:name="_Toc15377224"/>
      <w:r>
        <w:rPr>
          <w:rFonts w:hint="eastAsia" w:ascii="仿宋" w:hAnsi="仿宋" w:eastAsia="仿宋"/>
          <w:b/>
          <w:sz w:val="32"/>
          <w:szCs w:val="32"/>
          <w:highlight w:val="none"/>
        </w:rPr>
        <w:t>（三）国有资产占有使用情况</w:t>
      </w:r>
      <w:bookmarkEnd w:id="48"/>
    </w:p>
    <w:p w14:paraId="18C31498">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hint="eastAsia" w:ascii="仿宋_GB2312" w:eastAsia="仿宋_GB2312"/>
          <w:b w:val="0"/>
          <w:bCs/>
          <w:sz w:val="32"/>
          <w:szCs w:val="32"/>
          <w:highlight w:val="none"/>
          <w:lang w:eastAsia="zh-CN"/>
        </w:rPr>
        <w:t>大竹县商务局</w:t>
      </w:r>
      <w:r>
        <w:rPr>
          <w:rFonts w:hint="eastAsia" w:ascii="仿宋_GB2312" w:eastAsia="仿宋_GB2312"/>
          <w:sz w:val="32"/>
          <w:szCs w:val="32"/>
          <w:highlight w:val="none"/>
        </w:rPr>
        <w:t>共有车辆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辆。</w:t>
      </w:r>
    </w:p>
    <w:p w14:paraId="6013EC54">
      <w:pPr>
        <w:autoSpaceDE w:val="0"/>
        <w:autoSpaceDN w:val="0"/>
        <w:adjustRightInd w:val="0"/>
        <w:spacing w:line="600" w:lineRule="exact"/>
        <w:ind w:firstLine="643" w:firstLineChars="200"/>
        <w:jc w:val="left"/>
        <w:rPr>
          <w:rFonts w:ascii="仿宋" w:hAnsi="仿宋" w:eastAsia="仿宋"/>
          <w:b/>
          <w:sz w:val="32"/>
          <w:szCs w:val="32"/>
          <w:highlight w:val="none"/>
        </w:rPr>
      </w:pPr>
      <w:r>
        <w:rPr>
          <w:rFonts w:hint="eastAsia" w:ascii="仿宋" w:hAnsi="仿宋" w:eastAsia="仿宋"/>
          <w:b/>
          <w:sz w:val="32"/>
          <w:szCs w:val="32"/>
          <w:highlight w:val="none"/>
        </w:rPr>
        <w:t>（注：数据来源于财决附</w:t>
      </w:r>
      <w:r>
        <w:rPr>
          <w:rFonts w:ascii="仿宋" w:hAnsi="仿宋" w:eastAsia="仿宋"/>
          <w:b/>
          <w:sz w:val="32"/>
          <w:szCs w:val="32"/>
          <w:highlight w:val="none"/>
        </w:rPr>
        <w:t>03</w:t>
      </w:r>
      <w:r>
        <w:rPr>
          <w:rFonts w:hint="eastAsia" w:ascii="仿宋" w:hAnsi="仿宋" w:eastAsia="仿宋"/>
          <w:b/>
          <w:sz w:val="32"/>
          <w:szCs w:val="32"/>
          <w:highlight w:val="none"/>
        </w:rPr>
        <w:t>表，按单位决算报表填报数据罗列车辆情况。）</w:t>
      </w:r>
    </w:p>
    <w:p w14:paraId="469AD0E6">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r>
        <w:rPr>
          <w:rFonts w:hint="eastAsia" w:ascii="仿宋" w:hAnsi="仿宋" w:eastAsia="仿宋"/>
          <w:b/>
          <w:sz w:val="32"/>
          <w:szCs w:val="32"/>
          <w:highlight w:val="none"/>
        </w:rPr>
        <w:t>（四）预算绩效管理情况</w:t>
      </w:r>
    </w:p>
    <w:p w14:paraId="53F9943D">
      <w:pPr>
        <w:pStyle w:val="2"/>
        <w:ind w:firstLine="640" w:firstLineChars="200"/>
        <w:rPr>
          <w:color w:val="auto"/>
          <w:highlight w:val="yellow"/>
        </w:rPr>
      </w:pPr>
      <w:bookmarkStart w:id="49" w:name="_Toc15377225"/>
      <w:bookmarkStart w:id="50" w:name="_Toc15396613"/>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年度预算编制阶段，组织对糖酒公司工作</w:t>
      </w:r>
      <w:r>
        <w:rPr>
          <w:rFonts w:hint="eastAsia" w:hAnsi="仿宋_GB2312" w:cs="仿宋_GB2312"/>
          <w:color w:val="auto"/>
          <w:sz w:val="32"/>
          <w:szCs w:val="32"/>
          <w:highlight w:val="none"/>
          <w:lang w:eastAsia="zh-CN"/>
        </w:rPr>
        <w:t>经</w:t>
      </w:r>
      <w:r>
        <w:rPr>
          <w:rFonts w:hint="eastAsia" w:ascii="仿宋_GB2312" w:hAnsi="仿宋_GB2312" w:eastAsia="仿宋_GB2312" w:cs="仿宋_GB2312"/>
          <w:color w:val="auto"/>
          <w:sz w:val="32"/>
          <w:szCs w:val="32"/>
          <w:highlight w:val="none"/>
        </w:rPr>
        <w:t>费</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商务统计工作经费</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参加博览会、展会经费项目等</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33E00381">
      <w:pPr>
        <w:numPr>
          <w:ilvl w:val="0"/>
          <w:numId w:val="4"/>
        </w:numPr>
        <w:spacing w:line="600" w:lineRule="exact"/>
        <w:ind w:firstLine="660" w:firstLineChars="150"/>
        <w:jc w:val="center"/>
        <w:outlineLvl w:val="0"/>
        <w:rPr>
          <w:rStyle w:val="27"/>
          <w:rFonts w:ascii="黑体" w:hAnsi="黑体" w:eastAsia="黑体"/>
          <w:b w:val="0"/>
          <w:highlight w:val="none"/>
        </w:rPr>
      </w:pPr>
      <w:r>
        <w:rPr>
          <w:rFonts w:hint="eastAsia" w:ascii="黑体" w:hAnsi="黑体" w:eastAsia="黑体"/>
          <w:sz w:val="44"/>
          <w:szCs w:val="44"/>
          <w:highlight w:val="none"/>
        </w:rPr>
        <w:t>名</w:t>
      </w:r>
      <w:r>
        <w:rPr>
          <w:rStyle w:val="27"/>
          <w:rFonts w:hint="eastAsia" w:ascii="黑体" w:hAnsi="黑体" w:eastAsia="黑体"/>
          <w:b w:val="0"/>
          <w:highlight w:val="none"/>
        </w:rPr>
        <w:t>词解释</w:t>
      </w:r>
      <w:bookmarkEnd w:id="49"/>
      <w:bookmarkEnd w:id="50"/>
    </w:p>
    <w:p w14:paraId="1A532C94">
      <w:pPr>
        <w:spacing w:line="600" w:lineRule="exact"/>
        <w:jc w:val="left"/>
        <w:rPr>
          <w:rFonts w:ascii="宋体"/>
          <w:b/>
          <w:sz w:val="44"/>
          <w:szCs w:val="44"/>
          <w:highlight w:val="none"/>
        </w:rPr>
      </w:pPr>
    </w:p>
    <w:p w14:paraId="26149874">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630214E2">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74AB5B72">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41FEFDA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087B4344">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w:t>
      </w:r>
      <w:bookmarkStart w:id="67" w:name="_GoBack"/>
      <w:bookmarkEnd w:id="67"/>
      <w:r>
        <w:rPr>
          <w:rFonts w:hint="eastAsia" w:ascii="仿宋_GB2312" w:eastAsia="仿宋_GB2312"/>
          <w:color w:val="auto"/>
          <w:sz w:val="32"/>
          <w:szCs w:val="32"/>
          <w:highlight w:val="none"/>
        </w:rPr>
        <w:t>。</w:t>
      </w:r>
    </w:p>
    <w:p w14:paraId="07C092F1">
      <w:pPr>
        <w:pStyle w:val="25"/>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B92F20">
      <w:pPr>
        <w:spacing w:line="600" w:lineRule="exact"/>
        <w:jc w:val="center"/>
        <w:outlineLvl w:val="0"/>
        <w:rPr>
          <w:rStyle w:val="27"/>
          <w:rFonts w:ascii="黑体" w:hAnsi="黑体" w:eastAsia="黑体"/>
          <w:b w:val="0"/>
          <w:highlight w:val="none"/>
        </w:rPr>
      </w:pPr>
      <w:bookmarkStart w:id="51" w:name="_Toc15377226"/>
      <w:r>
        <w:rPr>
          <w:rFonts w:ascii="宋体"/>
          <w:b/>
          <w:sz w:val="44"/>
          <w:szCs w:val="44"/>
          <w:highlight w:val="none"/>
        </w:rPr>
        <w:br w:type="page"/>
      </w:r>
      <w:bookmarkStart w:id="52" w:name="_Toc15396614"/>
      <w:r>
        <w:rPr>
          <w:rFonts w:hint="eastAsia" w:ascii="黑体" w:hAnsi="黑体" w:eastAsia="黑体"/>
          <w:sz w:val="44"/>
          <w:szCs w:val="44"/>
          <w:highlight w:val="none"/>
        </w:rPr>
        <w:t>第</w:t>
      </w:r>
      <w:r>
        <w:rPr>
          <w:rStyle w:val="27"/>
          <w:rFonts w:hint="eastAsia" w:ascii="黑体" w:hAnsi="黑体" w:eastAsia="黑体"/>
          <w:b w:val="0"/>
          <w:highlight w:val="none"/>
        </w:rPr>
        <w:t>四部分 附件</w:t>
      </w:r>
      <w:bookmarkEnd w:id="52"/>
    </w:p>
    <w:p w14:paraId="3A6D08C2">
      <w:pPr>
        <w:spacing w:line="572" w:lineRule="exact"/>
        <w:jc w:val="left"/>
        <w:outlineLvl w:val="0"/>
        <w:rPr>
          <w:rFonts w:ascii="仿宋_GB2312" w:hAnsi="仿宋_GB2312" w:eastAsia="仿宋_GB2312" w:cs="仿宋_GB2312"/>
          <w:sz w:val="32"/>
          <w:szCs w:val="32"/>
          <w:highlight w:val="none"/>
        </w:rPr>
      </w:pPr>
    </w:p>
    <w:p w14:paraId="5025C7AF">
      <w:pPr>
        <w:spacing w:line="600" w:lineRule="exact"/>
        <w:jc w:val="center"/>
        <w:outlineLvl w:val="0"/>
        <w:rPr>
          <w:rFonts w:ascii="黑体" w:hAnsi="黑体" w:eastAsia="黑体"/>
          <w:color w:val="FF0000"/>
          <w:sz w:val="44"/>
          <w:szCs w:val="44"/>
          <w:highlight w:val="none"/>
        </w:rPr>
      </w:pPr>
      <w:bookmarkStart w:id="53" w:name="_Toc15396618"/>
      <w:r>
        <w:rPr>
          <w:rFonts w:hint="eastAsia"/>
          <w:sz w:val="32"/>
          <w:szCs w:val="32"/>
          <w:highlight w:val="none"/>
        </w:rPr>
        <w:t>部门预算项目支出绩效自评表（2023年度）</w:t>
      </w:r>
    </w:p>
    <w:p w14:paraId="57DFCE82">
      <w:pPr>
        <w:pStyle w:val="13"/>
        <w:spacing w:line="560" w:lineRule="exact"/>
        <w:ind w:left="0" w:leftChars="0" w:firstLine="640"/>
        <w:rPr>
          <w:sz w:val="32"/>
          <w:highlight w:val="none"/>
        </w:rPr>
      </w:pPr>
    </w:p>
    <w:p w14:paraId="51254DA9">
      <w:pPr>
        <w:pStyle w:val="13"/>
        <w:spacing w:line="560" w:lineRule="exact"/>
        <w:ind w:left="0" w:leftChars="0" w:firstLine="640"/>
        <w:rPr>
          <w:rFonts w:hAnsi="Calibri" w:eastAsia="仿宋_GB2312" w:cs="仿宋"/>
          <w:sz w:val="32"/>
          <w:highlight w:val="none"/>
          <w:lang w:val="zh-CN"/>
        </w:rPr>
      </w:pPr>
      <w:r>
        <w:rPr>
          <w:rFonts w:hint="eastAsia" w:hAnsi="Calibri" w:eastAsia="仿宋_GB2312" w:cs="仿宋"/>
          <w:sz w:val="32"/>
          <w:highlight w:val="none"/>
        </w:rPr>
        <w:t>（备注：按照绩效自评工作安排，各单位可在预算管理一体化系统—综合报表查询—预算绩效报表模块中下载本单位“部门预算项目支出绩效自评表（2023年度）”，该表格应作为附件予以公开。）</w:t>
      </w:r>
    </w:p>
    <w:p w14:paraId="06E3494F">
      <w:pPr>
        <w:pStyle w:val="2"/>
        <w:spacing w:before="93"/>
        <w:rPr>
          <w:rFonts w:hAnsi="Calibri" w:cs="仿宋"/>
          <w:sz w:val="32"/>
          <w:szCs w:val="32"/>
          <w:highlight w:val="none"/>
        </w:rPr>
      </w:pPr>
    </w:p>
    <w:p w14:paraId="7A5253D7">
      <w:pPr>
        <w:pStyle w:val="2"/>
        <w:spacing w:before="93"/>
        <w:rPr>
          <w:rFonts w:hAnsi="Calibri" w:cs="仿宋"/>
          <w:sz w:val="32"/>
          <w:szCs w:val="32"/>
          <w:highlight w:val="none"/>
        </w:rPr>
      </w:pPr>
    </w:p>
    <w:p w14:paraId="6C6FFB36">
      <w:pPr>
        <w:pStyle w:val="2"/>
        <w:spacing w:before="93"/>
        <w:rPr>
          <w:rFonts w:hAnsi="Calibri" w:cs="仿宋"/>
          <w:sz w:val="32"/>
          <w:szCs w:val="32"/>
          <w:highlight w:val="none"/>
        </w:rPr>
      </w:pPr>
    </w:p>
    <w:p w14:paraId="6BD33583">
      <w:pPr>
        <w:pStyle w:val="2"/>
        <w:spacing w:before="93"/>
        <w:rPr>
          <w:rFonts w:hAnsi="Calibri" w:cs="仿宋"/>
          <w:sz w:val="32"/>
          <w:szCs w:val="32"/>
          <w:highlight w:val="none"/>
        </w:rPr>
      </w:pPr>
    </w:p>
    <w:p w14:paraId="7B4029CB">
      <w:pPr>
        <w:pStyle w:val="2"/>
        <w:spacing w:before="93"/>
        <w:rPr>
          <w:rFonts w:hAnsi="Calibri" w:cs="仿宋"/>
          <w:sz w:val="32"/>
          <w:szCs w:val="32"/>
          <w:highlight w:val="none"/>
        </w:rPr>
      </w:pPr>
    </w:p>
    <w:p w14:paraId="18EF2359">
      <w:pPr>
        <w:pStyle w:val="2"/>
        <w:spacing w:before="93"/>
        <w:rPr>
          <w:rFonts w:hAnsi="Calibri" w:cs="仿宋"/>
          <w:sz w:val="32"/>
          <w:szCs w:val="32"/>
          <w:highlight w:val="none"/>
        </w:rPr>
      </w:pPr>
    </w:p>
    <w:p w14:paraId="588A0295">
      <w:pPr>
        <w:pStyle w:val="2"/>
        <w:spacing w:before="93"/>
        <w:rPr>
          <w:rFonts w:hAnsi="Calibri" w:cs="仿宋"/>
          <w:sz w:val="32"/>
          <w:szCs w:val="32"/>
          <w:highlight w:val="none"/>
        </w:rPr>
      </w:pPr>
    </w:p>
    <w:p w14:paraId="45756E29">
      <w:pPr>
        <w:pStyle w:val="2"/>
        <w:spacing w:before="93"/>
        <w:rPr>
          <w:rFonts w:hAnsi="Calibri" w:cs="仿宋"/>
          <w:sz w:val="32"/>
          <w:szCs w:val="32"/>
          <w:highlight w:val="none"/>
        </w:rPr>
      </w:pPr>
    </w:p>
    <w:p w14:paraId="153B4B80">
      <w:pPr>
        <w:pStyle w:val="2"/>
        <w:spacing w:before="93"/>
        <w:rPr>
          <w:rFonts w:hAnsi="Calibri" w:cs="仿宋"/>
          <w:sz w:val="32"/>
          <w:szCs w:val="32"/>
          <w:highlight w:val="none"/>
        </w:rPr>
      </w:pPr>
    </w:p>
    <w:p w14:paraId="101D3A7C">
      <w:pPr>
        <w:pStyle w:val="2"/>
        <w:spacing w:before="93"/>
        <w:rPr>
          <w:rFonts w:hAnsi="Calibri" w:cs="仿宋"/>
          <w:sz w:val="32"/>
          <w:szCs w:val="32"/>
          <w:highlight w:val="none"/>
        </w:rPr>
      </w:pPr>
    </w:p>
    <w:p w14:paraId="1B3184E5">
      <w:pPr>
        <w:pStyle w:val="2"/>
        <w:spacing w:before="93"/>
        <w:rPr>
          <w:rFonts w:hAnsi="Calibri" w:cs="仿宋"/>
          <w:sz w:val="32"/>
          <w:szCs w:val="32"/>
          <w:highlight w:val="none"/>
        </w:rPr>
      </w:pPr>
    </w:p>
    <w:p w14:paraId="211950DF">
      <w:pPr>
        <w:pStyle w:val="2"/>
        <w:spacing w:before="93"/>
        <w:rPr>
          <w:rFonts w:hAnsi="Calibri" w:cs="仿宋"/>
          <w:sz w:val="32"/>
          <w:szCs w:val="32"/>
          <w:highlight w:val="none"/>
        </w:rPr>
      </w:pPr>
    </w:p>
    <w:p w14:paraId="6EA42A5C">
      <w:pPr>
        <w:pStyle w:val="2"/>
        <w:spacing w:before="93"/>
        <w:rPr>
          <w:rFonts w:hAnsi="Calibri" w:cs="仿宋"/>
          <w:sz w:val="32"/>
          <w:szCs w:val="32"/>
          <w:highlight w:val="none"/>
        </w:rPr>
      </w:pPr>
    </w:p>
    <w:p w14:paraId="4BB3DFF5">
      <w:pPr>
        <w:spacing w:line="600" w:lineRule="exact"/>
        <w:jc w:val="center"/>
        <w:outlineLvl w:val="0"/>
        <w:rPr>
          <w:rFonts w:ascii="仿宋" w:hAnsi="仿宋" w:eastAsia="仿宋"/>
          <w:highlight w:val="none"/>
        </w:rPr>
      </w:pPr>
      <w:r>
        <w:rPr>
          <w:rFonts w:hint="eastAsia" w:ascii="黑体" w:hAnsi="黑体" w:eastAsia="黑体"/>
          <w:sz w:val="44"/>
          <w:szCs w:val="44"/>
          <w:highlight w:val="none"/>
        </w:rPr>
        <w:t>第</w:t>
      </w:r>
      <w:r>
        <w:rPr>
          <w:rStyle w:val="27"/>
          <w:rFonts w:hint="eastAsia" w:ascii="黑体" w:hAnsi="黑体" w:eastAsia="黑体"/>
          <w:b w:val="0"/>
          <w:highlight w:val="none"/>
        </w:rPr>
        <w:t>五部分 附表</w:t>
      </w:r>
      <w:bookmarkEnd w:id="51"/>
      <w:bookmarkEnd w:id="53"/>
      <w:bookmarkStart w:id="54" w:name="_Toc15396619"/>
    </w:p>
    <w:p w14:paraId="53AFF1CD">
      <w:pPr>
        <w:pStyle w:val="4"/>
        <w:rPr>
          <w:rFonts w:ascii="仿宋" w:hAnsi="仿宋" w:eastAsia="仿宋"/>
          <w:highlight w:val="none"/>
        </w:rPr>
      </w:pPr>
      <w:r>
        <w:rPr>
          <w:rFonts w:hint="eastAsia" w:ascii="仿宋" w:hAnsi="仿宋" w:eastAsia="仿宋"/>
          <w:b w:val="0"/>
          <w:highlight w:val="none"/>
        </w:rPr>
        <w:t>一、收</w:t>
      </w:r>
      <w:r>
        <w:rPr>
          <w:rStyle w:val="28"/>
          <w:rFonts w:hint="eastAsia" w:ascii="仿宋" w:hAnsi="仿宋" w:eastAsia="仿宋"/>
          <w:b w:val="0"/>
          <w:bCs w:val="0"/>
          <w:highlight w:val="none"/>
        </w:rPr>
        <w:t>入支出决算总表</w:t>
      </w:r>
      <w:bookmarkEnd w:id="54"/>
    </w:p>
    <w:p w14:paraId="0D9B16B6">
      <w:pPr>
        <w:pStyle w:val="4"/>
        <w:rPr>
          <w:rFonts w:ascii="仿宋" w:hAnsi="仿宋" w:eastAsia="仿宋"/>
          <w:highlight w:val="none"/>
        </w:rPr>
      </w:pPr>
      <w:bookmarkStart w:id="55" w:name="_Toc15396620"/>
      <w:r>
        <w:rPr>
          <w:rFonts w:hint="eastAsia" w:ascii="仿宋" w:hAnsi="仿宋" w:eastAsia="仿宋"/>
          <w:b w:val="0"/>
          <w:highlight w:val="none"/>
        </w:rPr>
        <w:t>二、收</w:t>
      </w:r>
      <w:r>
        <w:rPr>
          <w:rStyle w:val="28"/>
          <w:rFonts w:hint="eastAsia" w:ascii="仿宋" w:hAnsi="仿宋" w:eastAsia="仿宋"/>
          <w:b w:val="0"/>
          <w:bCs w:val="0"/>
          <w:highlight w:val="none"/>
        </w:rPr>
        <w:t>入决算表</w:t>
      </w:r>
      <w:bookmarkEnd w:id="55"/>
    </w:p>
    <w:p w14:paraId="76D64822">
      <w:pPr>
        <w:pStyle w:val="4"/>
        <w:rPr>
          <w:rFonts w:ascii="仿宋" w:hAnsi="仿宋" w:eastAsia="仿宋"/>
          <w:highlight w:val="none"/>
        </w:rPr>
      </w:pPr>
      <w:bookmarkStart w:id="56" w:name="_Toc15396621"/>
      <w:r>
        <w:rPr>
          <w:rStyle w:val="28"/>
          <w:rFonts w:hint="eastAsia" w:ascii="仿宋" w:hAnsi="仿宋" w:eastAsia="仿宋"/>
          <w:b w:val="0"/>
          <w:bCs w:val="0"/>
          <w:highlight w:val="none"/>
        </w:rPr>
        <w:t>三、</w:t>
      </w:r>
      <w:r>
        <w:rPr>
          <w:rFonts w:hint="eastAsia" w:ascii="仿宋" w:hAnsi="仿宋" w:eastAsia="仿宋"/>
          <w:b w:val="0"/>
          <w:highlight w:val="none"/>
        </w:rPr>
        <w:t>支</w:t>
      </w:r>
      <w:r>
        <w:rPr>
          <w:rStyle w:val="28"/>
          <w:rFonts w:hint="eastAsia" w:ascii="仿宋" w:hAnsi="仿宋" w:eastAsia="仿宋"/>
          <w:b w:val="0"/>
          <w:bCs w:val="0"/>
          <w:highlight w:val="none"/>
        </w:rPr>
        <w:t>出决算表</w:t>
      </w:r>
      <w:bookmarkEnd w:id="56"/>
    </w:p>
    <w:p w14:paraId="0B67995A">
      <w:pPr>
        <w:pStyle w:val="4"/>
        <w:rPr>
          <w:rFonts w:ascii="仿宋" w:hAnsi="仿宋" w:eastAsia="仿宋"/>
          <w:b w:val="0"/>
          <w:highlight w:val="none"/>
        </w:rPr>
      </w:pPr>
      <w:bookmarkStart w:id="57" w:name="_Toc15396622"/>
      <w:r>
        <w:rPr>
          <w:rStyle w:val="28"/>
          <w:rFonts w:hint="eastAsia" w:ascii="仿宋" w:hAnsi="仿宋" w:eastAsia="仿宋"/>
          <w:b w:val="0"/>
          <w:bCs w:val="0"/>
          <w:highlight w:val="none"/>
        </w:rPr>
        <w:t>四、</w:t>
      </w:r>
      <w:r>
        <w:rPr>
          <w:rFonts w:hint="eastAsia" w:ascii="仿宋" w:hAnsi="仿宋" w:eastAsia="仿宋"/>
          <w:b w:val="0"/>
          <w:highlight w:val="none"/>
        </w:rPr>
        <w:t>财</w:t>
      </w:r>
      <w:r>
        <w:rPr>
          <w:rStyle w:val="28"/>
          <w:rFonts w:hint="eastAsia" w:ascii="仿宋" w:hAnsi="仿宋" w:eastAsia="仿宋"/>
          <w:b w:val="0"/>
          <w:bCs w:val="0"/>
          <w:highlight w:val="none"/>
        </w:rPr>
        <w:t>政拨款收入支出决算总表</w:t>
      </w:r>
      <w:bookmarkEnd w:id="57"/>
    </w:p>
    <w:p w14:paraId="0B9EE199">
      <w:pPr>
        <w:pStyle w:val="4"/>
        <w:rPr>
          <w:rStyle w:val="28"/>
          <w:rFonts w:ascii="仿宋" w:hAnsi="仿宋" w:eastAsia="仿宋"/>
          <w:b w:val="0"/>
          <w:bCs w:val="0"/>
          <w:highlight w:val="none"/>
        </w:rPr>
      </w:pPr>
      <w:bookmarkStart w:id="58" w:name="_Toc15396623"/>
      <w:r>
        <w:rPr>
          <w:rStyle w:val="28"/>
          <w:rFonts w:hint="eastAsia" w:ascii="仿宋" w:hAnsi="仿宋" w:eastAsia="仿宋"/>
          <w:b w:val="0"/>
          <w:bCs w:val="0"/>
          <w:highlight w:val="none"/>
        </w:rPr>
        <w:t>五、</w:t>
      </w:r>
      <w:r>
        <w:rPr>
          <w:rFonts w:hint="eastAsia" w:ascii="仿宋" w:hAnsi="仿宋" w:eastAsia="仿宋"/>
          <w:b w:val="0"/>
          <w:highlight w:val="none"/>
        </w:rPr>
        <w:t>财</w:t>
      </w:r>
      <w:r>
        <w:rPr>
          <w:rStyle w:val="28"/>
          <w:rFonts w:hint="eastAsia" w:ascii="仿宋" w:hAnsi="仿宋" w:eastAsia="仿宋"/>
          <w:b w:val="0"/>
          <w:bCs w:val="0"/>
          <w:highlight w:val="none"/>
        </w:rPr>
        <w:t>政拨款支出决算明细表</w:t>
      </w:r>
      <w:bookmarkEnd w:id="58"/>
      <w:bookmarkStart w:id="59" w:name="_Toc15396624"/>
    </w:p>
    <w:p w14:paraId="5272F4EE">
      <w:pPr>
        <w:pStyle w:val="4"/>
        <w:rPr>
          <w:rFonts w:ascii="仿宋" w:hAnsi="仿宋" w:eastAsia="仿宋"/>
          <w:highlight w:val="none"/>
        </w:rPr>
      </w:pPr>
      <w:r>
        <w:rPr>
          <w:rStyle w:val="28"/>
          <w:rFonts w:hint="eastAsia" w:ascii="仿宋" w:hAnsi="仿宋" w:eastAsia="仿宋"/>
          <w:b w:val="0"/>
          <w:bCs w:val="0"/>
          <w:highlight w:val="none"/>
        </w:rPr>
        <w:t>六、</w:t>
      </w:r>
      <w:r>
        <w:rPr>
          <w:rFonts w:hint="eastAsia" w:ascii="仿宋" w:hAnsi="仿宋" w:eastAsia="仿宋"/>
          <w:b w:val="0"/>
          <w:highlight w:val="none"/>
        </w:rPr>
        <w:t>一</w:t>
      </w:r>
      <w:r>
        <w:rPr>
          <w:rStyle w:val="28"/>
          <w:rFonts w:hint="eastAsia" w:ascii="仿宋" w:hAnsi="仿宋" w:eastAsia="仿宋"/>
          <w:b w:val="0"/>
          <w:bCs w:val="0"/>
          <w:highlight w:val="none"/>
        </w:rPr>
        <w:t>般公共预算财政拨款支出决算表</w:t>
      </w:r>
      <w:bookmarkEnd w:id="59"/>
    </w:p>
    <w:p w14:paraId="3ABE00AE">
      <w:pPr>
        <w:pStyle w:val="4"/>
        <w:rPr>
          <w:rFonts w:ascii="仿宋" w:hAnsi="仿宋" w:eastAsia="仿宋"/>
          <w:highlight w:val="none"/>
        </w:rPr>
      </w:pPr>
      <w:bookmarkStart w:id="60" w:name="_Toc15396625"/>
      <w:r>
        <w:rPr>
          <w:rStyle w:val="28"/>
          <w:rFonts w:hint="eastAsia" w:ascii="仿宋" w:hAnsi="仿宋" w:eastAsia="仿宋"/>
          <w:b w:val="0"/>
          <w:bCs w:val="0"/>
          <w:highlight w:val="none"/>
        </w:rPr>
        <w:t>七、</w:t>
      </w:r>
      <w:r>
        <w:rPr>
          <w:rFonts w:hint="eastAsia" w:ascii="仿宋" w:hAnsi="仿宋" w:eastAsia="仿宋"/>
          <w:b w:val="0"/>
          <w:highlight w:val="none"/>
        </w:rPr>
        <w:t>一</w:t>
      </w:r>
      <w:r>
        <w:rPr>
          <w:rStyle w:val="28"/>
          <w:rFonts w:hint="eastAsia" w:ascii="仿宋" w:hAnsi="仿宋" w:eastAsia="仿宋"/>
          <w:b w:val="0"/>
          <w:bCs w:val="0"/>
          <w:highlight w:val="none"/>
        </w:rPr>
        <w:t>般公共预算财政拨款支出决算明细表</w:t>
      </w:r>
      <w:bookmarkEnd w:id="60"/>
    </w:p>
    <w:p w14:paraId="2B715387">
      <w:pPr>
        <w:pStyle w:val="4"/>
        <w:rPr>
          <w:rFonts w:ascii="仿宋" w:hAnsi="仿宋" w:eastAsia="仿宋"/>
          <w:highlight w:val="none"/>
        </w:rPr>
      </w:pPr>
      <w:bookmarkStart w:id="61" w:name="_Toc15396626"/>
      <w:r>
        <w:rPr>
          <w:rStyle w:val="28"/>
          <w:rFonts w:hint="eastAsia" w:ascii="仿宋" w:hAnsi="仿宋" w:eastAsia="仿宋"/>
          <w:b w:val="0"/>
          <w:bCs w:val="0"/>
          <w:highlight w:val="none"/>
        </w:rPr>
        <w:t>八、</w:t>
      </w:r>
      <w:r>
        <w:rPr>
          <w:rFonts w:hint="eastAsia" w:ascii="仿宋" w:hAnsi="仿宋" w:eastAsia="仿宋"/>
          <w:b w:val="0"/>
          <w:highlight w:val="none"/>
        </w:rPr>
        <w:t>一</w:t>
      </w:r>
      <w:r>
        <w:rPr>
          <w:rStyle w:val="28"/>
          <w:rFonts w:hint="eastAsia" w:ascii="仿宋" w:hAnsi="仿宋" w:eastAsia="仿宋"/>
          <w:b w:val="0"/>
          <w:bCs w:val="0"/>
          <w:highlight w:val="none"/>
        </w:rPr>
        <w:t>般公共预算财政拨款基本支出决算表</w:t>
      </w:r>
      <w:bookmarkEnd w:id="61"/>
    </w:p>
    <w:p w14:paraId="4205FC05">
      <w:pPr>
        <w:pStyle w:val="4"/>
        <w:rPr>
          <w:rFonts w:ascii="仿宋" w:hAnsi="仿宋" w:eastAsia="仿宋"/>
          <w:highlight w:val="none"/>
        </w:rPr>
      </w:pPr>
      <w:bookmarkStart w:id="62" w:name="_Toc15396627"/>
      <w:r>
        <w:rPr>
          <w:rStyle w:val="28"/>
          <w:rFonts w:hint="eastAsia" w:ascii="仿宋" w:hAnsi="仿宋" w:eastAsia="仿宋"/>
          <w:b w:val="0"/>
          <w:bCs w:val="0"/>
          <w:highlight w:val="none"/>
        </w:rPr>
        <w:t>九、</w:t>
      </w:r>
      <w:r>
        <w:rPr>
          <w:rFonts w:hint="eastAsia" w:ascii="仿宋" w:hAnsi="仿宋" w:eastAsia="仿宋"/>
          <w:b w:val="0"/>
          <w:highlight w:val="none"/>
        </w:rPr>
        <w:t>一</w:t>
      </w:r>
      <w:r>
        <w:rPr>
          <w:rStyle w:val="28"/>
          <w:rFonts w:hint="eastAsia" w:ascii="仿宋" w:hAnsi="仿宋" w:eastAsia="仿宋"/>
          <w:b w:val="0"/>
          <w:bCs w:val="0"/>
          <w:highlight w:val="none"/>
        </w:rPr>
        <w:t>般公共预算财政拨款项目支出决算表</w:t>
      </w:r>
      <w:bookmarkEnd w:id="62"/>
    </w:p>
    <w:p w14:paraId="4D357B86">
      <w:pPr>
        <w:pStyle w:val="4"/>
        <w:rPr>
          <w:rFonts w:ascii="仿宋" w:hAnsi="仿宋" w:eastAsia="仿宋"/>
          <w:highlight w:val="none"/>
        </w:rPr>
      </w:pPr>
      <w:bookmarkStart w:id="63" w:name="_Toc15396628"/>
      <w:r>
        <w:rPr>
          <w:rStyle w:val="28"/>
          <w:rFonts w:hint="eastAsia" w:ascii="仿宋" w:hAnsi="仿宋" w:eastAsia="仿宋"/>
          <w:b w:val="0"/>
          <w:bCs w:val="0"/>
          <w:highlight w:val="none"/>
        </w:rPr>
        <w:t>十、</w:t>
      </w:r>
      <w:bookmarkEnd w:id="63"/>
      <w:r>
        <w:rPr>
          <w:rFonts w:hint="eastAsia" w:ascii="仿宋" w:hAnsi="仿宋" w:eastAsia="仿宋"/>
          <w:b w:val="0"/>
          <w:highlight w:val="none"/>
        </w:rPr>
        <w:t>政</w:t>
      </w:r>
      <w:r>
        <w:rPr>
          <w:rStyle w:val="28"/>
          <w:rFonts w:hint="eastAsia" w:ascii="仿宋" w:hAnsi="仿宋" w:eastAsia="仿宋"/>
          <w:b w:val="0"/>
          <w:bCs w:val="0"/>
          <w:highlight w:val="none"/>
        </w:rPr>
        <w:t>府性基金预算财政拨款收入支出决算表</w:t>
      </w:r>
    </w:p>
    <w:p w14:paraId="47B9AE3A">
      <w:pPr>
        <w:pStyle w:val="4"/>
        <w:rPr>
          <w:rFonts w:ascii="仿宋" w:hAnsi="仿宋" w:eastAsia="仿宋"/>
          <w:highlight w:val="none"/>
        </w:rPr>
      </w:pPr>
      <w:bookmarkStart w:id="64" w:name="_Toc15396629"/>
      <w:r>
        <w:rPr>
          <w:rStyle w:val="28"/>
          <w:rFonts w:hint="eastAsia" w:ascii="仿宋" w:hAnsi="仿宋" w:eastAsia="仿宋"/>
          <w:b w:val="0"/>
          <w:bCs w:val="0"/>
          <w:highlight w:val="none"/>
        </w:rPr>
        <w:t>十一、</w:t>
      </w:r>
      <w:bookmarkEnd w:id="64"/>
      <w:r>
        <w:rPr>
          <w:rFonts w:hint="eastAsia" w:ascii="仿宋" w:hAnsi="仿宋" w:eastAsia="仿宋"/>
          <w:b w:val="0"/>
          <w:highlight w:val="none"/>
        </w:rPr>
        <w:t>国</w:t>
      </w:r>
      <w:r>
        <w:rPr>
          <w:rStyle w:val="28"/>
          <w:rFonts w:hint="eastAsia" w:ascii="仿宋" w:hAnsi="仿宋" w:eastAsia="仿宋"/>
          <w:b w:val="0"/>
          <w:bCs w:val="0"/>
          <w:highlight w:val="none"/>
        </w:rPr>
        <w:t>有资本经营预算财政拨款收入支出决算表</w:t>
      </w:r>
    </w:p>
    <w:p w14:paraId="5769FF34">
      <w:pPr>
        <w:pStyle w:val="4"/>
        <w:rPr>
          <w:rFonts w:ascii="仿宋" w:hAnsi="仿宋" w:eastAsia="仿宋"/>
          <w:highlight w:val="none"/>
        </w:rPr>
      </w:pPr>
      <w:bookmarkStart w:id="65" w:name="_Toc15396630"/>
      <w:r>
        <w:rPr>
          <w:rStyle w:val="28"/>
          <w:rFonts w:hint="eastAsia" w:ascii="仿宋" w:hAnsi="仿宋" w:eastAsia="仿宋"/>
          <w:b w:val="0"/>
          <w:bCs w:val="0"/>
          <w:highlight w:val="none"/>
        </w:rPr>
        <w:t>十二、</w:t>
      </w:r>
      <w:bookmarkEnd w:id="65"/>
      <w:r>
        <w:rPr>
          <w:rStyle w:val="28"/>
          <w:rFonts w:hint="eastAsia" w:ascii="仿宋" w:hAnsi="仿宋" w:eastAsia="仿宋"/>
          <w:b w:val="0"/>
          <w:bCs w:val="0"/>
          <w:highlight w:val="none"/>
        </w:rPr>
        <w:t>国有资本经营预算财政拨款支出决算表</w:t>
      </w:r>
    </w:p>
    <w:p w14:paraId="707956F2">
      <w:pPr>
        <w:pStyle w:val="4"/>
        <w:rPr>
          <w:rFonts w:eastAsia="仿宋"/>
          <w:highlight w:val="none"/>
        </w:rPr>
      </w:pPr>
      <w:bookmarkStart w:id="66" w:name="_Toc15396631"/>
      <w:r>
        <w:rPr>
          <w:rStyle w:val="28"/>
          <w:rFonts w:hint="eastAsia" w:ascii="仿宋" w:hAnsi="仿宋" w:eastAsia="仿宋"/>
          <w:b w:val="0"/>
          <w:bCs w:val="0"/>
          <w:highlight w:val="none"/>
        </w:rPr>
        <w:t>十三、</w:t>
      </w:r>
      <w:bookmarkEnd w:id="66"/>
      <w:r>
        <w:rPr>
          <w:rStyle w:val="28"/>
          <w:rFonts w:hint="eastAsia" w:ascii="仿宋" w:hAnsi="仿宋" w:eastAsia="仿宋"/>
          <w:b w:val="0"/>
          <w:bCs w:val="0"/>
          <w:highlight w:val="none"/>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165D3FF">
        <w:pPr>
          <w:pStyle w:val="9"/>
          <w:jc w:val="center"/>
        </w:pPr>
        <w:r>
          <w:fldChar w:fldCharType="begin"/>
        </w:r>
        <w:r>
          <w:instrText xml:space="preserve">PAGE   \* MERGEFORMAT</w:instrText>
        </w:r>
        <w:r>
          <w:fldChar w:fldCharType="separate"/>
        </w:r>
        <w:r>
          <w:rPr>
            <w:lang w:val="zh-CN"/>
          </w:rPr>
          <w:t>15</w:t>
        </w:r>
        <w:r>
          <w:fldChar w:fldCharType="end"/>
        </w:r>
      </w:p>
    </w:sdtContent>
  </w:sdt>
  <w:p w14:paraId="24884E1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E7A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YTQxOTI5MTc5OWRmNWFiOTAyZTk1NTBmOTRhND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05886"/>
    <w:rsid w:val="02121FCC"/>
    <w:rsid w:val="03DC2831"/>
    <w:rsid w:val="047A6279"/>
    <w:rsid w:val="081B5E94"/>
    <w:rsid w:val="0A2032A3"/>
    <w:rsid w:val="0B8A37D8"/>
    <w:rsid w:val="0C46286F"/>
    <w:rsid w:val="0F5FFB2F"/>
    <w:rsid w:val="0FFFCF60"/>
    <w:rsid w:val="10C055FF"/>
    <w:rsid w:val="118107EC"/>
    <w:rsid w:val="11DD6519"/>
    <w:rsid w:val="120C75A5"/>
    <w:rsid w:val="13217B81"/>
    <w:rsid w:val="14690FF8"/>
    <w:rsid w:val="16BB723D"/>
    <w:rsid w:val="172E12A6"/>
    <w:rsid w:val="17E42975"/>
    <w:rsid w:val="18015F3F"/>
    <w:rsid w:val="18F31C84"/>
    <w:rsid w:val="1BE8440E"/>
    <w:rsid w:val="1D155CEE"/>
    <w:rsid w:val="1FDBBF84"/>
    <w:rsid w:val="20F57F95"/>
    <w:rsid w:val="2233586D"/>
    <w:rsid w:val="240371BF"/>
    <w:rsid w:val="25711CC6"/>
    <w:rsid w:val="25C741E6"/>
    <w:rsid w:val="276F80C0"/>
    <w:rsid w:val="27720251"/>
    <w:rsid w:val="27842671"/>
    <w:rsid w:val="28422068"/>
    <w:rsid w:val="29FD04D3"/>
    <w:rsid w:val="2ABE7A3E"/>
    <w:rsid w:val="2AFF09B6"/>
    <w:rsid w:val="2CA234A8"/>
    <w:rsid w:val="2D6C7DAD"/>
    <w:rsid w:val="2EFA178C"/>
    <w:rsid w:val="2EFDF86C"/>
    <w:rsid w:val="2F9D17E1"/>
    <w:rsid w:val="30B46D73"/>
    <w:rsid w:val="319F2514"/>
    <w:rsid w:val="319F7F4E"/>
    <w:rsid w:val="324E6BDF"/>
    <w:rsid w:val="356A28F1"/>
    <w:rsid w:val="357C035A"/>
    <w:rsid w:val="368E000D"/>
    <w:rsid w:val="369332F3"/>
    <w:rsid w:val="383D272C"/>
    <w:rsid w:val="39AE70AB"/>
    <w:rsid w:val="39AF2A47"/>
    <w:rsid w:val="3A266C23"/>
    <w:rsid w:val="3A4DCE41"/>
    <w:rsid w:val="3BCB56FA"/>
    <w:rsid w:val="3C0C0783"/>
    <w:rsid w:val="3EE7C2F4"/>
    <w:rsid w:val="3F371B56"/>
    <w:rsid w:val="3F792ED8"/>
    <w:rsid w:val="3F9F3A96"/>
    <w:rsid w:val="3FECA4B2"/>
    <w:rsid w:val="3FF58C48"/>
    <w:rsid w:val="42FF6694"/>
    <w:rsid w:val="43C31186"/>
    <w:rsid w:val="48BF60AB"/>
    <w:rsid w:val="493C27E9"/>
    <w:rsid w:val="496F39ED"/>
    <w:rsid w:val="49FF41D3"/>
    <w:rsid w:val="4BE068DB"/>
    <w:rsid w:val="4BF6002B"/>
    <w:rsid w:val="4BFFC6BE"/>
    <w:rsid w:val="4ECE2238"/>
    <w:rsid w:val="4FE53958"/>
    <w:rsid w:val="504A4512"/>
    <w:rsid w:val="51DB4B86"/>
    <w:rsid w:val="51F64DB0"/>
    <w:rsid w:val="55333C3E"/>
    <w:rsid w:val="559F3540"/>
    <w:rsid w:val="5BAC4656"/>
    <w:rsid w:val="5F67802D"/>
    <w:rsid w:val="5F7DC4F2"/>
    <w:rsid w:val="5FB36814"/>
    <w:rsid w:val="5FBB8E56"/>
    <w:rsid w:val="5FFB5535"/>
    <w:rsid w:val="60DA48FD"/>
    <w:rsid w:val="62CC42CF"/>
    <w:rsid w:val="64CA39A1"/>
    <w:rsid w:val="6562740E"/>
    <w:rsid w:val="65E66195"/>
    <w:rsid w:val="67B25D37"/>
    <w:rsid w:val="69630ADE"/>
    <w:rsid w:val="69BD5F13"/>
    <w:rsid w:val="69FB0B4B"/>
    <w:rsid w:val="6BFFE1FB"/>
    <w:rsid w:val="6C4A05C8"/>
    <w:rsid w:val="6CE42F6E"/>
    <w:rsid w:val="6D3B1A89"/>
    <w:rsid w:val="6D86142F"/>
    <w:rsid w:val="6DB7D8A3"/>
    <w:rsid w:val="6EC78701"/>
    <w:rsid w:val="6F7A5481"/>
    <w:rsid w:val="6FFE07A9"/>
    <w:rsid w:val="71BF4EC2"/>
    <w:rsid w:val="72734D90"/>
    <w:rsid w:val="73E75B71"/>
    <w:rsid w:val="7412278C"/>
    <w:rsid w:val="75462511"/>
    <w:rsid w:val="75DDCDA9"/>
    <w:rsid w:val="75FF44B1"/>
    <w:rsid w:val="77670518"/>
    <w:rsid w:val="777FA627"/>
    <w:rsid w:val="77DF1B5F"/>
    <w:rsid w:val="77EF2D9D"/>
    <w:rsid w:val="79E7B28D"/>
    <w:rsid w:val="7ACFF0C2"/>
    <w:rsid w:val="7AFB9108"/>
    <w:rsid w:val="7BD5340C"/>
    <w:rsid w:val="7BFB19D2"/>
    <w:rsid w:val="7BFD1750"/>
    <w:rsid w:val="7BFDAA1B"/>
    <w:rsid w:val="7CD6328C"/>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1123.25</c:v>
                </c:pt>
                <c:pt idx="1">
                  <c:v>1123.25</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2339.52</c:v>
                </c:pt>
                <c:pt idx="1">
                  <c:v>2339.52</c:v>
                </c:pt>
              </c:numCache>
            </c:numRef>
          </c:val>
        </c:ser>
        <c:dLbls>
          <c:showLegendKey val="0"/>
          <c:showVal val="0"/>
          <c:showCatName val="0"/>
          <c:showSerName val="0"/>
          <c:showPercent val="0"/>
          <c:showBubbleSize val="0"/>
        </c:dLbls>
        <c:gapWidth val="246"/>
        <c:overlap val="-28"/>
        <c:axId val="51843807"/>
        <c:axId val="422981783"/>
      </c:barChart>
      <c:catAx>
        <c:axId val="518438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2981783"/>
        <c:crosses val="autoZero"/>
        <c:auto val="1"/>
        <c:lblAlgn val="ctr"/>
        <c:lblOffset val="100"/>
        <c:noMultiLvlLbl val="0"/>
      </c:catAx>
      <c:valAx>
        <c:axId val="42298178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38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e961337-7e17-478f-9ac7-de9e6c87a0e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国有资本经营预算财政拨款收入</c:v>
                </c:pt>
              </c:strCache>
            </c:strRef>
          </c:cat>
          <c:val>
            <c:numRef>
              <c:f>Sheet1!$B$2:$B$3</c:f>
              <c:numCache>
                <c:formatCode>General</c:formatCode>
                <c:ptCount val="2"/>
                <c:pt idx="0">
                  <c:v>1510.96</c:v>
                </c:pt>
                <c:pt idx="1">
                  <c:v>133.68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909c552-fa78-4f6c-ac04-0eb079044bf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本年支出</a:t>
            </a:r>
          </a:p>
        </c:rich>
      </c:tx>
      <c:layout/>
      <c:overlay val="0"/>
      <c:spPr>
        <a:noFill/>
        <a:ln>
          <a:noFill/>
        </a:ln>
        <a:effectLst/>
      </c:sp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629.79</c:v>
                </c:pt>
                <c:pt idx="1">
                  <c:v>1709.67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db3c480-14a6-43a1-9b44-3da5ace94c3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1123.25</c:v>
                </c:pt>
                <c:pt idx="1">
                  <c:v>1123.25</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2339.52</c:v>
                </c:pt>
                <c:pt idx="1">
                  <c:v>2339.52</c:v>
                </c:pt>
              </c:numCache>
            </c:numRef>
          </c:val>
        </c:ser>
        <c:dLbls>
          <c:showLegendKey val="0"/>
          <c:showVal val="0"/>
          <c:showCatName val="0"/>
          <c:showSerName val="0"/>
          <c:showPercent val="0"/>
          <c:showBubbleSize val="0"/>
        </c:dLbls>
        <c:gapWidth val="246"/>
        <c:overlap val="-28"/>
        <c:axId val="51843807"/>
        <c:axId val="422981783"/>
      </c:barChart>
      <c:catAx>
        <c:axId val="518438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2981783"/>
        <c:crosses val="autoZero"/>
        <c:auto val="1"/>
        <c:lblAlgn val="ctr"/>
        <c:lblOffset val="100"/>
        <c:noMultiLvlLbl val="0"/>
      </c:catAx>
      <c:valAx>
        <c:axId val="42298178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38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e961337-7e17-478f-9ac7-de9e6c87a0e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一般公用预算财政拨款支出决算情况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994.35</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2205.78</c:v>
                </c:pt>
              </c:numCache>
            </c:numRef>
          </c:val>
        </c:ser>
        <c:dLbls>
          <c:showLegendKey val="0"/>
          <c:showVal val="1"/>
          <c:showCatName val="0"/>
          <c:showSerName val="0"/>
          <c:showPercent val="0"/>
          <c:showBubbleSize val="0"/>
        </c:dLbls>
        <c:gapWidth val="246"/>
        <c:overlap val="-28"/>
        <c:axId val="51843807"/>
        <c:axId val="422981783"/>
      </c:barChart>
      <c:catAx>
        <c:axId val="518438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2981783"/>
        <c:crosses val="autoZero"/>
        <c:auto val="1"/>
        <c:lblAlgn val="ctr"/>
        <c:lblOffset val="100"/>
        <c:noMultiLvlLbl val="0"/>
      </c:catAx>
      <c:valAx>
        <c:axId val="42298178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380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e961337-7e17-478f-9ac7-de9e6c87a0e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一般公共预算财政拨款支出决算情况</a:t>
            </a:r>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5"/>
              <c:layout>
                <c:manualLayout>
                  <c:x val="0.0269383323265761"/>
                  <c:y val="0.0081140816101645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科学技术支出</c:v>
                </c:pt>
                <c:pt idx="1">
                  <c:v>社会保障和就业支出</c:v>
                </c:pt>
                <c:pt idx="2">
                  <c:v>卫生健康支出</c:v>
                </c:pt>
                <c:pt idx="3">
                  <c:v>资源勘探工业信息等支出</c:v>
                </c:pt>
                <c:pt idx="4">
                  <c:v>商业服务业等支出</c:v>
                </c:pt>
                <c:pt idx="5">
                  <c:v>住房保障支出</c:v>
                </c:pt>
              </c:strCache>
            </c:strRef>
          </c:cat>
          <c:val>
            <c:numRef>
              <c:f>Sheet1!$B$2:$B$7</c:f>
              <c:numCache>
                <c:formatCode>General</c:formatCode>
                <c:ptCount val="6"/>
                <c:pt idx="0">
                  <c:v>414.3</c:v>
                </c:pt>
                <c:pt idx="1">
                  <c:v>110.7</c:v>
                </c:pt>
                <c:pt idx="2">
                  <c:v>24.79</c:v>
                </c:pt>
                <c:pt idx="3">
                  <c:v>26.44</c:v>
                </c:pt>
                <c:pt idx="4">
                  <c:v>1599.46</c:v>
                </c:pt>
                <c:pt idx="5">
                  <c:v>30.09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8c87744-d2f3-460c-a89b-7a05fd6cadf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a:t>
            </a:r>
            <a:r>
              <a:rPr altLang="en-US"/>
              <a:t>三公</a:t>
            </a:r>
            <a:r>
              <a:rPr lang="en-US" altLang="zh-CN"/>
              <a:t>”</a:t>
            </a:r>
            <a:r>
              <a:rPr altLang="en-US"/>
              <a:t>经费财政拨款支出决算情况</a:t>
            </a:r>
            <a:endParaRPr altLang="en-US"/>
          </a:p>
        </c:rich>
      </c:tx>
      <c:layout>
        <c:manualLayout>
          <c:xMode val="edge"/>
          <c:yMode val="edge"/>
          <c:x val="0.233752114037207"/>
          <c:y val="0.0382490437739057"/>
        </c:manualLayout>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因公出国（境）费支出决算</c:v>
                </c:pt>
                <c:pt idx="1">
                  <c:v>公务用车购置及运行维护费</c:v>
                </c:pt>
                <c:pt idx="2">
                  <c:v>公务接待费</c:v>
                </c:pt>
              </c:strCache>
            </c:strRef>
          </c:cat>
          <c:val>
            <c:numRef>
              <c:f>Sheet1!$B$2:$B$4</c:f>
              <c:numCache>
                <c:formatCode>General</c:formatCode>
                <c:ptCount val="3"/>
                <c:pt idx="0">
                  <c:v>0</c:v>
                </c:pt>
                <c:pt idx="1">
                  <c:v>0</c:v>
                </c:pt>
                <c:pt idx="2">
                  <c:v>2.42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373575f-8714-465e-8c0c-2b3b1356173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5696</Words>
  <Characters>6241</Characters>
  <Lines>54</Lines>
  <Paragraphs>15</Paragraphs>
  <TotalTime>7</TotalTime>
  <ScaleCrop>false</ScaleCrop>
  <LinksUpToDate>false</LinksUpToDate>
  <CharactersWithSpaces>6261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2024-10-22T06:42:49Z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2F8D3A192746458BB5B26379F62A0058_13</vt:lpwstr>
  </property>
</Properties>
</file>