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79697">
      <w:pPr>
        <w:spacing w:line="600" w:lineRule="exact"/>
        <w:jc w:val="left"/>
        <w:outlineLvl w:val="9"/>
        <w:rPr>
          <w:rFonts w:ascii="方正小标宋简体" w:hAnsi="宋体" w:eastAsia="方正小标宋简体"/>
          <w:szCs w:val="21"/>
        </w:rPr>
      </w:pPr>
      <w:bookmarkStart w:id="0" w:name="_Toc15306267"/>
    </w:p>
    <w:p w14:paraId="17519FFB">
      <w:pPr>
        <w:pStyle w:val="5"/>
        <w:spacing w:before="93"/>
      </w:pPr>
    </w:p>
    <w:p w14:paraId="18FCF3E1">
      <w:pPr>
        <w:spacing w:line="600" w:lineRule="exact"/>
        <w:jc w:val="center"/>
        <w:outlineLvl w:val="9"/>
        <w:rPr>
          <w:rFonts w:ascii="方正小标宋简体" w:hAnsi="宋体" w:eastAsia="方正小标宋简体"/>
          <w:sz w:val="72"/>
          <w:szCs w:val="72"/>
        </w:rPr>
      </w:pPr>
    </w:p>
    <w:p w14:paraId="4EF48CB9">
      <w:pPr>
        <w:spacing w:line="600" w:lineRule="exact"/>
        <w:jc w:val="center"/>
        <w:outlineLvl w:val="9"/>
        <w:rPr>
          <w:rFonts w:ascii="方正小标宋简体" w:hAnsi="宋体" w:eastAsia="方正小标宋简体"/>
          <w:sz w:val="72"/>
          <w:szCs w:val="72"/>
        </w:rPr>
      </w:pPr>
    </w:p>
    <w:p w14:paraId="5C06DE84">
      <w:pPr>
        <w:adjustRightInd w:val="0"/>
        <w:snapToGrid w:val="0"/>
        <w:spacing w:line="360" w:lineRule="auto"/>
        <w:jc w:val="center"/>
        <w:outlineLvl w:val="0"/>
        <w:rPr>
          <w:rFonts w:hint="eastAsia" w:ascii="方正小标宋简体" w:hAnsi="方正小标宋简体" w:eastAsia="方正小标宋简体" w:cs="方正小标宋简体"/>
          <w:sz w:val="60"/>
          <w:szCs w:val="60"/>
        </w:rPr>
      </w:pPr>
      <w:bookmarkStart w:id="1" w:name="_Toc15377193"/>
      <w:bookmarkStart w:id="2" w:name="_Toc15377425"/>
      <w:bookmarkStart w:id="3" w:name="_Toc14262"/>
      <w:bookmarkStart w:id="4" w:name="_Toc15396475"/>
      <w:bookmarkStart w:id="5" w:name="_Toc15396597"/>
      <w:bookmarkStart w:id="6" w:name="_Toc15378441"/>
      <w:r>
        <w:rPr>
          <w:rFonts w:hint="eastAsia" w:ascii="方正小标宋简体" w:hAnsi="方正小标宋简体" w:eastAsia="方正小标宋简体" w:cs="方正小标宋简体"/>
          <w:sz w:val="60"/>
          <w:szCs w:val="60"/>
        </w:rPr>
        <w:t>2023年度</w:t>
      </w:r>
      <w:bookmarkEnd w:id="0"/>
      <w:bookmarkEnd w:id="1"/>
      <w:bookmarkEnd w:id="2"/>
      <w:bookmarkEnd w:id="3"/>
      <w:bookmarkEnd w:id="4"/>
      <w:bookmarkEnd w:id="5"/>
      <w:bookmarkEnd w:id="6"/>
    </w:p>
    <w:p w14:paraId="381154D2">
      <w:pPr>
        <w:adjustRightInd w:val="0"/>
        <w:snapToGrid w:val="0"/>
        <w:spacing w:line="360" w:lineRule="auto"/>
        <w:jc w:val="center"/>
        <w:outlineLvl w:val="0"/>
        <w:rPr>
          <w:rFonts w:hint="default"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60"/>
          <w:szCs w:val="60"/>
          <w:lang w:val="en-US" w:eastAsia="zh-CN"/>
        </w:rPr>
        <w:t>大竹县童家镇第二中心小学</w:t>
      </w:r>
    </w:p>
    <w:p w14:paraId="1D0CF64A">
      <w:pPr>
        <w:adjustRightInd w:val="0"/>
        <w:snapToGrid w:val="0"/>
        <w:spacing w:line="360" w:lineRule="auto"/>
        <w:jc w:val="center"/>
        <w:outlineLvl w:val="0"/>
        <w:rPr>
          <w:rFonts w:hint="eastAsia" w:ascii="黑体" w:hAnsi="黑体" w:eastAsia="黑体"/>
          <w:sz w:val="48"/>
          <w:szCs w:val="48"/>
        </w:rPr>
        <w:sectPr>
          <w:footerReference r:id="rId4" w:type="first"/>
          <w:footerReference r:id="rId3" w:type="default"/>
          <w:pgSz w:w="11906" w:h="16838"/>
          <w:pgMar w:top="1440" w:right="1800" w:bottom="1440" w:left="1800" w:header="851" w:footer="992" w:gutter="0"/>
          <w:pgNumType w:fmt="decimal" w:start="2"/>
          <w:cols w:space="425" w:num="1"/>
          <w:docGrid w:type="lines" w:linePitch="312" w:charSpace="0"/>
        </w:sectPr>
      </w:pPr>
      <w:bookmarkStart w:id="7" w:name="_Toc30379"/>
      <w:r>
        <w:rPr>
          <w:rFonts w:hint="eastAsia" w:ascii="方正小标宋简体" w:hAnsi="宋体" w:eastAsia="方正小标宋简体"/>
          <w:sz w:val="52"/>
          <w:szCs w:val="52"/>
          <w:lang w:val="en-US" w:eastAsia="zh-CN"/>
        </w:rPr>
        <w:t>单位决算</w:t>
      </w:r>
      <w:bookmarkEnd w:id="7"/>
    </w:p>
    <w:p w14:paraId="41A9FFC3">
      <w:pPr>
        <w:widowControl/>
        <w:jc w:val="center"/>
        <w:rPr>
          <w:rFonts w:ascii="黑体" w:hAnsi="黑体" w:eastAsia="黑体"/>
          <w:sz w:val="48"/>
          <w:szCs w:val="48"/>
        </w:rPr>
      </w:pPr>
      <w:r>
        <w:rPr>
          <w:rFonts w:hint="eastAsia" w:ascii="黑体" w:hAnsi="黑体" w:eastAsia="黑体"/>
          <w:sz w:val="48"/>
          <w:szCs w:val="48"/>
        </w:rPr>
        <w:t>目录</w:t>
      </w:r>
    </w:p>
    <w:p w14:paraId="5B75C96D">
      <w:pPr>
        <w:widowControl/>
        <w:jc w:val="center"/>
        <w:rPr>
          <w:rFonts w:ascii="黑体" w:hAnsi="黑体" w:eastAsia="黑体" w:cstheme="minorBidi"/>
          <w:sz w:val="28"/>
          <w:szCs w:val="28"/>
        </w:rPr>
      </w:pPr>
    </w:p>
    <w:p w14:paraId="3A62308F">
      <w:pPr>
        <w:pStyle w:val="11"/>
        <w:rPr>
          <w:rFonts w:hint="default" w:eastAsia="仿宋"/>
          <w:highlight w:val="none"/>
          <w:lang w:val="en-US" w:eastAsia="zh-CN"/>
        </w:rPr>
      </w:pPr>
      <w:r>
        <w:rPr>
          <w:rFonts w:hint="eastAsia"/>
          <w:highlight w:val="none"/>
        </w:rPr>
        <w:t>公开时间：202</w:t>
      </w:r>
      <w:r>
        <w:rPr>
          <w:rFonts w:hint="eastAsia"/>
          <w:highlight w:val="none"/>
          <w:lang w:val="en-US" w:eastAsia="zh-CN"/>
        </w:rPr>
        <w:t>4</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18</w:t>
      </w:r>
      <w:r>
        <w:rPr>
          <w:rFonts w:hint="eastAsia"/>
          <w:highlight w:val="none"/>
        </w:rPr>
        <w:t>日</w:t>
      </w:r>
    </w:p>
    <w:p w14:paraId="60203064"/>
    <w:sdt>
      <w:sdtPr>
        <w:rPr>
          <w:rFonts w:ascii="宋体" w:hAnsi="宋体" w:eastAsia="宋体" w:cs="Times New Roman"/>
          <w:kern w:val="2"/>
          <w:sz w:val="21"/>
          <w:szCs w:val="24"/>
          <w:lang w:val="en-US" w:eastAsia="zh-CN" w:bidi="ar-SA"/>
        </w:rPr>
        <w:id w:val="147461188"/>
        <w15:color w:val="DBDBDB"/>
        <w:docPartObj>
          <w:docPartGallery w:val="Table of Contents"/>
          <w:docPartUnique/>
        </w:docPartObj>
      </w:sdtPr>
      <w:sdtEndPr>
        <w:rPr>
          <w:rFonts w:hint="eastAsia" w:ascii="仿宋" w:hAnsi="仿宋" w:eastAsia="仿宋" w:cs="仿宋"/>
          <w:b/>
          <w:kern w:val="2"/>
          <w:sz w:val="28"/>
          <w:szCs w:val="28"/>
          <w:lang w:val="en-US" w:eastAsia="zh-CN" w:bidi="ar-SA"/>
        </w:rPr>
      </w:sdtEndPr>
      <w:sdtContent>
        <w:p w14:paraId="3D4B39D2">
          <w:pPr>
            <w:spacing w:before="0" w:beforeLines="0" w:after="0" w:afterLines="0" w:line="240" w:lineRule="auto"/>
            <w:ind w:left="0" w:leftChars="0" w:right="0" w:rightChars="0" w:firstLine="0" w:firstLineChars="0"/>
            <w:jc w:val="center"/>
          </w:pPr>
        </w:p>
        <w:p w14:paraId="29C48512">
          <w:pPr>
            <w:pStyle w:val="34"/>
            <w:tabs>
              <w:tab w:val="right" w:leader="dot" w:pos="8306"/>
            </w:tabs>
            <w:rPr>
              <w:rFonts w:hint="eastAsia" w:ascii="仿宋" w:hAnsi="仿宋" w:eastAsia="仿宋" w:cs="仿宋"/>
              <w:b/>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p>
        <w:p w14:paraId="36CD385B">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_Toc28792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第一部分 单位</w:t>
          </w:r>
          <w:r>
            <w:rPr>
              <w:rFonts w:hint="eastAsia" w:ascii="仿宋" w:hAnsi="仿宋" w:eastAsia="仿宋" w:cs="仿宋"/>
              <w:b/>
              <w:bCs w:val="0"/>
              <w:sz w:val="28"/>
              <w:szCs w:val="28"/>
            </w:rPr>
            <w:t>概况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_Toc28792 </w:instrText>
          </w:r>
          <w:r>
            <w:rPr>
              <w:rFonts w:hint="eastAsia" w:ascii="仿宋" w:hAnsi="仿宋" w:eastAsia="仿宋" w:cs="仿宋"/>
              <w:b/>
              <w:sz w:val="28"/>
              <w:szCs w:val="28"/>
            </w:rPr>
            <w:fldChar w:fldCharType="separate"/>
          </w:r>
          <w:r>
            <w:rPr>
              <w:rFonts w:hint="eastAsia" w:ascii="仿宋" w:hAnsi="仿宋" w:eastAsia="仿宋" w:cs="仿宋"/>
              <w:b/>
              <w:sz w:val="28"/>
              <w:szCs w:val="28"/>
            </w:rPr>
            <w:t>4</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54660F5C">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_Toc17832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 xml:space="preserve">一、 </w:t>
          </w:r>
          <w:r>
            <w:rPr>
              <w:rFonts w:hint="eastAsia" w:ascii="仿宋" w:hAnsi="仿宋" w:eastAsia="仿宋" w:cs="仿宋"/>
              <w:bCs w:val="0"/>
              <w:sz w:val="28"/>
              <w:szCs w:val="28"/>
              <w:highlight w:val="none"/>
            </w:rPr>
            <w:t>主要职责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_Toc17832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1EB07D9">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_Toc7884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二、 </w:t>
          </w:r>
          <w:r>
            <w:rPr>
              <w:rFonts w:hint="eastAsia" w:ascii="仿宋" w:hAnsi="仿宋" w:eastAsia="仿宋" w:cs="仿宋"/>
              <w:sz w:val="28"/>
              <w:szCs w:val="28"/>
              <w:highlight w:val="none"/>
            </w:rPr>
            <w:t>机构设置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_Toc7884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6CE6548">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_Toc23483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第二部分 2023年度</w:t>
          </w:r>
          <w:r>
            <w:rPr>
              <w:rFonts w:hint="eastAsia" w:ascii="仿宋" w:hAnsi="仿宋" w:eastAsia="仿宋" w:cs="仿宋"/>
              <w:b/>
              <w:bCs/>
              <w:sz w:val="28"/>
              <w:szCs w:val="28"/>
            </w:rPr>
            <w:t>单位决算情况说明</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_Toc23483 </w:instrText>
          </w:r>
          <w:r>
            <w:rPr>
              <w:rFonts w:hint="eastAsia" w:ascii="仿宋" w:hAnsi="仿宋" w:eastAsia="仿宋" w:cs="仿宋"/>
              <w:b/>
              <w:sz w:val="28"/>
              <w:szCs w:val="28"/>
            </w:rPr>
            <w:fldChar w:fldCharType="separate"/>
          </w:r>
          <w:r>
            <w:rPr>
              <w:rFonts w:hint="eastAsia" w:ascii="仿宋" w:hAnsi="仿宋" w:eastAsia="仿宋" w:cs="仿宋"/>
              <w:b/>
              <w:sz w:val="28"/>
              <w:szCs w:val="28"/>
            </w:rPr>
            <w:t>5</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0FD3933D">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_Toc5261 </w:instrText>
          </w:r>
          <w:r>
            <w:rPr>
              <w:rFonts w:hint="eastAsia" w:ascii="仿宋" w:hAnsi="仿宋" w:eastAsia="仿宋" w:cs="仿宋"/>
              <w:sz w:val="28"/>
              <w:szCs w:val="28"/>
            </w:rP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_Toc5261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64F9E98">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_Toc293 </w:instrText>
          </w:r>
          <w:r>
            <w:rPr>
              <w:rFonts w:hint="eastAsia" w:ascii="仿宋" w:hAnsi="仿宋" w:eastAsia="仿宋" w:cs="仿宋"/>
              <w:sz w:val="28"/>
              <w:szCs w:val="28"/>
            </w:rP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5167D45">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_Toc1124 </w:instrText>
          </w:r>
          <w:r>
            <w:rPr>
              <w:rFonts w:hint="eastAsia" w:ascii="仿宋" w:hAnsi="仿宋" w:eastAsia="仿宋" w:cs="仿宋"/>
              <w:sz w:val="28"/>
              <w:szCs w:val="28"/>
            </w:rP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_Toc1124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6F13F5E">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_Toc29631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_Toc29631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367653">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_Toc1707 </w:instrText>
          </w:r>
          <w:r>
            <w:rPr>
              <w:rFonts w:hint="eastAsia" w:ascii="仿宋" w:hAnsi="仿宋" w:eastAsia="仿宋" w:cs="仿宋"/>
              <w:sz w:val="28"/>
              <w:szCs w:val="28"/>
            </w:rP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_Toc1707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3774052">
          <w:pPr>
            <w:pStyle w:val="35"/>
            <w:tabs>
              <w:tab w:val="right" w:leader="dot" w:pos="8306"/>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_Toc23998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10C38655">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_Toc21074 </w:instrText>
          </w:r>
          <w:r>
            <w:rPr>
              <w:rFonts w:hint="eastAsia" w:ascii="仿宋" w:hAnsi="仿宋" w:eastAsia="仿宋" w:cs="仿宋"/>
              <w:sz w:val="28"/>
              <w:szCs w:val="28"/>
            </w:rPr>
            <w:fldChar w:fldCharType="separate"/>
          </w:r>
          <w:r>
            <w:rPr>
              <w:rFonts w:hint="eastAsia" w:ascii="仿宋" w:hAnsi="仿宋" w:eastAsia="仿宋" w:cs="仿宋"/>
              <w:sz w:val="28"/>
              <w:szCs w:val="28"/>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_Toc21074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B329F70">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_Toc26560 </w:instrText>
          </w:r>
          <w:r>
            <w:rPr>
              <w:rFonts w:hint="eastAsia" w:ascii="仿宋" w:hAnsi="仿宋" w:eastAsia="仿宋" w:cs="仿宋"/>
              <w:sz w:val="28"/>
              <w:szCs w:val="28"/>
            </w:rP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_Toc26560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056E36">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_Toc7002 </w:instrText>
          </w:r>
          <w:r>
            <w:rPr>
              <w:rFonts w:hint="eastAsia" w:ascii="仿宋" w:hAnsi="仿宋" w:eastAsia="仿宋" w:cs="仿宋"/>
              <w:sz w:val="28"/>
              <w:szCs w:val="28"/>
            </w:rP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_Toc7002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45C3C47">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_Toc4176 </w:instrText>
          </w:r>
          <w:r>
            <w:rPr>
              <w:rFonts w:hint="eastAsia" w:ascii="仿宋" w:hAnsi="仿宋" w:eastAsia="仿宋" w:cs="仿宋"/>
              <w:sz w:val="28"/>
              <w:szCs w:val="28"/>
            </w:rPr>
            <w:fldChar w:fldCharType="separate"/>
          </w:r>
          <w:r>
            <w:rPr>
              <w:rFonts w:hint="eastAsia" w:ascii="仿宋" w:hAnsi="仿宋" w:eastAsia="仿宋" w:cs="仿宋"/>
              <w:sz w:val="28"/>
              <w:szCs w:val="28"/>
            </w:rPr>
            <w:t>十、 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_Toc4176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D53B8C1">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_Toc32723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第三部分 名词解释</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_Toc32723 </w:instrText>
          </w:r>
          <w:r>
            <w:rPr>
              <w:rFonts w:hint="eastAsia" w:ascii="仿宋" w:hAnsi="仿宋" w:eastAsia="仿宋" w:cs="仿宋"/>
              <w:b/>
              <w:sz w:val="28"/>
              <w:szCs w:val="28"/>
            </w:rPr>
            <w:fldChar w:fldCharType="separate"/>
          </w:r>
          <w:r>
            <w:rPr>
              <w:rFonts w:hint="eastAsia" w:ascii="仿宋" w:hAnsi="仿宋" w:eastAsia="仿宋" w:cs="仿宋"/>
              <w:b/>
              <w:sz w:val="28"/>
              <w:szCs w:val="28"/>
            </w:rPr>
            <w:t>14</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6A037719">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_Toc3339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第四部分 附件</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_Toc3339 </w:instrText>
          </w:r>
          <w:r>
            <w:rPr>
              <w:rFonts w:hint="eastAsia" w:ascii="仿宋" w:hAnsi="仿宋" w:eastAsia="仿宋" w:cs="仿宋"/>
              <w:b/>
              <w:sz w:val="28"/>
              <w:szCs w:val="28"/>
            </w:rPr>
            <w:fldChar w:fldCharType="separate"/>
          </w:r>
          <w:r>
            <w:rPr>
              <w:rFonts w:hint="eastAsia" w:ascii="仿宋" w:hAnsi="仿宋" w:eastAsia="仿宋" w:cs="仿宋"/>
              <w:b/>
              <w:sz w:val="28"/>
              <w:szCs w:val="28"/>
            </w:rPr>
            <w:t>17</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22D40DA4">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_Toc15696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第五部分</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附表</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_Toc15696 </w:instrText>
          </w:r>
          <w:r>
            <w:rPr>
              <w:rFonts w:hint="eastAsia" w:ascii="仿宋" w:hAnsi="仿宋" w:eastAsia="仿宋" w:cs="仿宋"/>
              <w:b/>
              <w:sz w:val="28"/>
              <w:szCs w:val="28"/>
            </w:rPr>
            <w:fldChar w:fldCharType="separate"/>
          </w:r>
          <w:r>
            <w:rPr>
              <w:rFonts w:hint="eastAsia" w:ascii="仿宋" w:hAnsi="仿宋" w:eastAsia="仿宋" w:cs="仿宋"/>
              <w:b/>
              <w:sz w:val="28"/>
              <w:szCs w:val="28"/>
            </w:rPr>
            <w:t>2</w:t>
          </w:r>
          <w:r>
            <w:rPr>
              <w:rFonts w:hint="eastAsia" w:ascii="仿宋" w:hAnsi="仿宋" w:eastAsia="仿宋" w:cs="仿宋"/>
              <w:b/>
              <w:sz w:val="28"/>
              <w:szCs w:val="28"/>
              <w:lang w:val="en-US" w:eastAsia="zh-CN"/>
            </w:rPr>
            <w:t>4</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14CCB49A">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_Toc9002 </w:instrText>
          </w:r>
          <w:r>
            <w:rPr>
              <w:rFonts w:hint="eastAsia" w:ascii="仿宋" w:hAnsi="仿宋" w:eastAsia="仿宋" w:cs="仿宋"/>
              <w:sz w:val="28"/>
              <w:szCs w:val="28"/>
            </w:rPr>
            <w:fldChar w:fldCharType="separate"/>
          </w:r>
          <w:r>
            <w:rPr>
              <w:rFonts w:hint="eastAsia" w:ascii="仿宋" w:hAnsi="仿宋" w:eastAsia="仿宋" w:cs="仿宋"/>
              <w:sz w:val="28"/>
              <w:szCs w:val="28"/>
            </w:rPr>
            <w:t>一、收</w:t>
          </w:r>
          <w:r>
            <w:rPr>
              <w:rFonts w:hint="eastAsia" w:ascii="仿宋" w:hAnsi="仿宋" w:eastAsia="仿宋" w:cs="仿宋"/>
              <w:bCs w:val="0"/>
              <w:sz w:val="28"/>
              <w:szCs w:val="28"/>
            </w:rPr>
            <w:t>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_Toc9002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E8514B7">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_Toc21070 </w:instrText>
          </w:r>
          <w:r>
            <w:rPr>
              <w:rFonts w:hint="eastAsia" w:ascii="仿宋" w:hAnsi="仿宋" w:eastAsia="仿宋" w:cs="仿宋"/>
              <w:sz w:val="28"/>
              <w:szCs w:val="28"/>
            </w:rPr>
            <w:fldChar w:fldCharType="separate"/>
          </w:r>
          <w:r>
            <w:rPr>
              <w:rFonts w:hint="eastAsia" w:ascii="仿宋" w:hAnsi="仿宋" w:eastAsia="仿宋" w:cs="仿宋"/>
              <w:sz w:val="28"/>
              <w:szCs w:val="28"/>
            </w:rPr>
            <w:t>二、收</w:t>
          </w:r>
          <w:r>
            <w:rPr>
              <w:rFonts w:hint="eastAsia" w:ascii="仿宋" w:hAnsi="仿宋" w:eastAsia="仿宋" w:cs="仿宋"/>
              <w:bCs w:val="0"/>
              <w:sz w:val="28"/>
              <w:szCs w:val="28"/>
            </w:rPr>
            <w:t>入决算表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_Toc21070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3B55D2">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_Toc5304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三、</w:t>
          </w:r>
          <w:r>
            <w:rPr>
              <w:rFonts w:hint="eastAsia" w:ascii="仿宋" w:hAnsi="仿宋" w:eastAsia="仿宋" w:cs="仿宋"/>
              <w:sz w:val="28"/>
              <w:szCs w:val="28"/>
            </w:rPr>
            <w:t>支</w:t>
          </w:r>
          <w:r>
            <w:rPr>
              <w:rFonts w:hint="eastAsia" w:ascii="仿宋" w:hAnsi="仿宋" w:eastAsia="仿宋" w:cs="仿宋"/>
              <w:bCs w:val="0"/>
              <w:sz w:val="28"/>
              <w:szCs w:val="28"/>
            </w:rPr>
            <w:t>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_Toc5304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271EC9F">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_Toc18475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四、</w:t>
          </w:r>
          <w:r>
            <w:rPr>
              <w:rFonts w:hint="eastAsia" w:ascii="仿宋" w:hAnsi="仿宋" w:eastAsia="仿宋" w:cs="仿宋"/>
              <w:sz w:val="28"/>
              <w:szCs w:val="28"/>
            </w:rPr>
            <w:t>财</w:t>
          </w:r>
          <w:r>
            <w:rPr>
              <w:rFonts w:hint="eastAsia" w:ascii="仿宋" w:hAnsi="仿宋" w:eastAsia="仿宋" w:cs="仿宋"/>
              <w:bCs w:val="0"/>
              <w:sz w:val="28"/>
              <w:szCs w:val="28"/>
            </w:rPr>
            <w:t>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_Toc18475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B332CED">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_Toc16175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五、</w:t>
          </w:r>
          <w:r>
            <w:rPr>
              <w:rFonts w:hint="eastAsia" w:ascii="仿宋" w:hAnsi="仿宋" w:eastAsia="仿宋" w:cs="仿宋"/>
              <w:sz w:val="28"/>
              <w:szCs w:val="28"/>
            </w:rPr>
            <w:t>财</w:t>
          </w:r>
          <w:r>
            <w:rPr>
              <w:rFonts w:hint="eastAsia" w:ascii="仿宋" w:hAnsi="仿宋" w:eastAsia="仿宋" w:cs="仿宋"/>
              <w:bCs w:val="0"/>
              <w:sz w:val="28"/>
              <w:szCs w:val="28"/>
            </w:rPr>
            <w:t>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_Toc16175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7016CFB">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_Toc25025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六、</w:t>
          </w:r>
          <w:r>
            <w:rPr>
              <w:rFonts w:hint="eastAsia" w:ascii="仿宋" w:hAnsi="仿宋" w:eastAsia="仿宋" w:cs="仿宋"/>
              <w:sz w:val="28"/>
              <w:szCs w:val="28"/>
            </w:rPr>
            <w:t>一</w:t>
          </w:r>
          <w:r>
            <w:rPr>
              <w:rFonts w:hint="eastAsia" w:ascii="仿宋" w:hAnsi="仿宋" w:eastAsia="仿宋" w:cs="仿宋"/>
              <w:bCs w:val="0"/>
              <w:sz w:val="28"/>
              <w:szCs w:val="28"/>
            </w:rPr>
            <w:t>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_Toc25025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B00F035">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_Toc28702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七、</w:t>
          </w:r>
          <w:r>
            <w:rPr>
              <w:rFonts w:hint="eastAsia" w:ascii="仿宋" w:hAnsi="仿宋" w:eastAsia="仿宋" w:cs="仿宋"/>
              <w:sz w:val="28"/>
              <w:szCs w:val="28"/>
            </w:rPr>
            <w:t>一</w:t>
          </w:r>
          <w:r>
            <w:rPr>
              <w:rFonts w:hint="eastAsia" w:ascii="仿宋" w:hAnsi="仿宋" w:eastAsia="仿宋" w:cs="仿宋"/>
              <w:bCs w:val="0"/>
              <w:sz w:val="28"/>
              <w:szCs w:val="28"/>
            </w:rPr>
            <w:t>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_Toc28702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D7825BD">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_Toc31737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八、</w:t>
          </w:r>
          <w:r>
            <w:rPr>
              <w:rFonts w:hint="eastAsia" w:ascii="仿宋" w:hAnsi="仿宋" w:eastAsia="仿宋" w:cs="仿宋"/>
              <w:sz w:val="28"/>
              <w:szCs w:val="28"/>
            </w:rPr>
            <w:t>一</w:t>
          </w:r>
          <w:r>
            <w:rPr>
              <w:rFonts w:hint="eastAsia" w:ascii="仿宋" w:hAnsi="仿宋" w:eastAsia="仿宋" w:cs="仿宋"/>
              <w:bCs w:val="0"/>
              <w:sz w:val="28"/>
              <w:szCs w:val="28"/>
            </w:rPr>
            <w:t>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_Toc31737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3558AC0">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_Toc10240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九、</w:t>
          </w:r>
          <w:r>
            <w:rPr>
              <w:rFonts w:hint="eastAsia" w:ascii="仿宋" w:hAnsi="仿宋" w:eastAsia="仿宋" w:cs="仿宋"/>
              <w:sz w:val="28"/>
              <w:szCs w:val="28"/>
            </w:rPr>
            <w:t>一</w:t>
          </w:r>
          <w:r>
            <w:rPr>
              <w:rFonts w:hint="eastAsia" w:ascii="仿宋" w:hAnsi="仿宋" w:eastAsia="仿宋" w:cs="仿宋"/>
              <w:bCs w:val="0"/>
              <w:sz w:val="28"/>
              <w:szCs w:val="28"/>
            </w:rPr>
            <w:t>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_Toc10240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8EFD7C1">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_Toc6097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w:t>
          </w:r>
          <w:r>
            <w:rPr>
              <w:rFonts w:hint="eastAsia" w:ascii="仿宋" w:hAnsi="仿宋" w:eastAsia="仿宋" w:cs="仿宋"/>
              <w:sz w:val="28"/>
              <w:szCs w:val="28"/>
            </w:rPr>
            <w:t>政</w:t>
          </w:r>
          <w:r>
            <w:rPr>
              <w:rFonts w:hint="eastAsia" w:ascii="仿宋" w:hAnsi="仿宋" w:eastAsia="仿宋" w:cs="仿宋"/>
              <w:bCs w:val="0"/>
              <w:sz w:val="28"/>
              <w:szCs w:val="28"/>
            </w:rPr>
            <w:t>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_Toc6097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4F49664">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_Toc1183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十一、</w:t>
          </w:r>
          <w:r>
            <w:rPr>
              <w:rFonts w:hint="eastAsia" w:ascii="仿宋" w:hAnsi="仿宋" w:eastAsia="仿宋" w:cs="仿宋"/>
              <w:sz w:val="28"/>
              <w:szCs w:val="28"/>
            </w:rPr>
            <w:t>国</w:t>
          </w:r>
          <w:r>
            <w:rPr>
              <w:rFonts w:hint="eastAsia" w:ascii="仿宋" w:hAnsi="仿宋" w:eastAsia="仿宋" w:cs="仿宋"/>
              <w:bCs w:val="0"/>
              <w:sz w:val="28"/>
              <w:szCs w:val="28"/>
            </w:rPr>
            <w:t>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_Toc1183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AD13C54">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_Toc419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十二、国有资本经营预算财政拨款支出决算表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_Toc419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3323C81">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_Toc6075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十三、财政拨款“三公”经费支出决算表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_Toc6075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0C8D495">
          <w:pPr>
            <w:rPr>
              <w:rFonts w:hint="eastAsia" w:ascii="仿宋" w:hAnsi="仿宋" w:eastAsia="仿宋" w:cs="仿宋"/>
              <w:sz w:val="28"/>
              <w:szCs w:val="28"/>
            </w:rPr>
          </w:pPr>
          <w:r>
            <w:rPr>
              <w:rFonts w:hint="eastAsia" w:ascii="仿宋" w:hAnsi="仿宋" w:eastAsia="仿宋" w:cs="仿宋"/>
              <w:b/>
              <w:sz w:val="28"/>
              <w:szCs w:val="28"/>
            </w:rPr>
            <w:fldChar w:fldCharType="end"/>
          </w:r>
        </w:p>
      </w:sdtContent>
    </w:sdt>
    <w:p w14:paraId="7EFCACF6">
      <w:pPr>
        <w:pStyle w:val="2"/>
        <w:spacing w:before="0" w:after="0" w:line="240" w:lineRule="auto"/>
        <w:jc w:val="both"/>
        <w:rPr>
          <w:rFonts w:hint="eastAsia" w:ascii="黑体" w:hAnsi="黑体" w:eastAsia="黑体"/>
          <w:b w:val="0"/>
        </w:rPr>
      </w:pPr>
      <w:bookmarkStart w:id="8" w:name="_Toc15396599"/>
      <w:bookmarkStart w:id="9" w:name="_Toc15377196"/>
      <w:bookmarkStart w:id="10" w:name="_Toc28792"/>
    </w:p>
    <w:p w14:paraId="56D60A1F">
      <w:pPr>
        <w:pStyle w:val="2"/>
        <w:spacing w:before="0" w:after="0" w:line="240" w:lineRule="auto"/>
        <w:jc w:val="center"/>
        <w:rPr>
          <w:rFonts w:hint="eastAsia" w:ascii="黑体" w:hAnsi="黑体" w:eastAsia="黑体"/>
          <w:b w:val="0"/>
        </w:rPr>
      </w:pPr>
    </w:p>
    <w:p w14:paraId="382C5A9B">
      <w:pPr>
        <w:rPr>
          <w:rFonts w:hint="eastAsia"/>
        </w:rPr>
      </w:pPr>
    </w:p>
    <w:p w14:paraId="158DFF97">
      <w:pPr>
        <w:pStyle w:val="2"/>
        <w:spacing w:before="0" w:after="0" w:line="240" w:lineRule="auto"/>
        <w:jc w:val="center"/>
        <w:rPr>
          <w:rFonts w:hint="eastAsia" w:ascii="黑体" w:hAnsi="黑体" w:eastAsia="黑体"/>
          <w:b w:val="0"/>
        </w:rPr>
      </w:pPr>
    </w:p>
    <w:p w14:paraId="31B85680">
      <w:pPr>
        <w:rPr>
          <w:rFonts w:hint="eastAsia"/>
        </w:rPr>
      </w:pPr>
    </w:p>
    <w:p w14:paraId="1C780EBA">
      <w:pPr>
        <w:pStyle w:val="2"/>
        <w:jc w:val="center"/>
        <w:rPr>
          <w:rFonts w:hint="eastAsia" w:ascii="黑体" w:hAnsi="黑体" w:eastAsia="黑体"/>
          <w:b w:val="0"/>
        </w:rPr>
      </w:pPr>
    </w:p>
    <w:p w14:paraId="35C9D695">
      <w:pPr>
        <w:rPr>
          <w:rFonts w:hint="eastAsia" w:ascii="黑体" w:hAnsi="黑体" w:eastAsia="黑体"/>
          <w:b w:val="0"/>
        </w:rPr>
      </w:pPr>
    </w:p>
    <w:p w14:paraId="5E04CCA6">
      <w:pPr>
        <w:rPr>
          <w:rFonts w:hint="eastAsia" w:ascii="黑体" w:hAnsi="黑体" w:eastAsia="黑体"/>
          <w:b w:val="0"/>
        </w:rPr>
      </w:pPr>
    </w:p>
    <w:p w14:paraId="67594A76">
      <w:pPr>
        <w:rPr>
          <w:rFonts w:hint="eastAsia" w:ascii="黑体" w:hAnsi="黑体" w:eastAsia="黑体"/>
          <w:b w:val="0"/>
        </w:rPr>
      </w:pPr>
    </w:p>
    <w:p w14:paraId="2484B68F">
      <w:pPr>
        <w:rPr>
          <w:rFonts w:hint="eastAsia"/>
        </w:rPr>
      </w:pPr>
    </w:p>
    <w:p w14:paraId="1C5D1F7F">
      <w:pPr>
        <w:pStyle w:val="2"/>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8"/>
      <w:bookmarkEnd w:id="9"/>
      <w:bookmarkEnd w:id="10"/>
    </w:p>
    <w:p w14:paraId="7A0A8AB5">
      <w:pPr>
        <w:widowControl/>
        <w:jc w:val="left"/>
        <w:rPr>
          <w:rFonts w:ascii="黑体" w:eastAsia="黑体"/>
          <w:sz w:val="32"/>
          <w:szCs w:val="32"/>
        </w:rPr>
      </w:pPr>
    </w:p>
    <w:p w14:paraId="20887526">
      <w:pPr>
        <w:pStyle w:val="3"/>
        <w:numPr>
          <w:ilvl w:val="0"/>
          <w:numId w:val="1"/>
        </w:numPr>
        <w:rPr>
          <w:rStyle w:val="28"/>
          <w:rFonts w:ascii="黑体" w:hAnsi="黑体" w:eastAsia="黑体"/>
          <w:b w:val="0"/>
          <w:bCs w:val="0"/>
          <w:highlight w:val="none"/>
        </w:rPr>
      </w:pPr>
      <w:bookmarkStart w:id="11" w:name="_Toc17832"/>
      <w:bookmarkStart w:id="12" w:name="_Toc15396600"/>
      <w:bookmarkStart w:id="13" w:name="_Toc15377197"/>
      <w:r>
        <w:rPr>
          <w:rStyle w:val="28"/>
          <w:rFonts w:hint="eastAsia" w:ascii="黑体" w:hAnsi="黑体" w:eastAsia="黑体"/>
          <w:b w:val="0"/>
          <w:bCs w:val="0"/>
          <w:highlight w:val="none"/>
        </w:rPr>
        <w:t>主要职责</w:t>
      </w:r>
      <w:bookmarkEnd w:id="11"/>
    </w:p>
    <w:p w14:paraId="16DBF087">
      <w:pPr>
        <w:ind w:firstLine="640" w:firstLineChars="200"/>
      </w:pPr>
      <w:bookmarkStart w:id="14" w:name="_Toc24780"/>
      <w:bookmarkStart w:id="15" w:name="_Toc18420"/>
      <w:r>
        <w:rPr>
          <w:rFonts w:hint="eastAsia" w:ascii="仿宋" w:hAnsi="仿宋" w:eastAsia="仿宋"/>
          <w:bCs/>
          <w:color w:val="auto"/>
          <w:kern w:val="0"/>
          <w:sz w:val="32"/>
          <w:szCs w:val="32"/>
          <w:lang w:eastAsia="zh-CN"/>
        </w:rPr>
        <w:t>大竹县童家镇第二中心小学</w:t>
      </w:r>
      <w:r>
        <w:rPr>
          <w:rFonts w:hint="eastAsia" w:ascii="仿宋" w:hAnsi="仿宋" w:eastAsia="仿宋"/>
          <w:bCs/>
          <w:color w:val="auto"/>
          <w:kern w:val="0"/>
          <w:sz w:val="32"/>
          <w:szCs w:val="32"/>
        </w:rPr>
        <w:t>是大竹县教育局举办的一所</w:t>
      </w:r>
      <w:r>
        <w:rPr>
          <w:rFonts w:hint="eastAsia" w:ascii="仿宋" w:hAnsi="仿宋" w:eastAsia="仿宋"/>
          <w:bCs/>
          <w:color w:val="auto"/>
          <w:kern w:val="0"/>
          <w:sz w:val="32"/>
          <w:szCs w:val="32"/>
          <w:lang w:val="en-US" w:eastAsia="zh-CN"/>
        </w:rPr>
        <w:t>完全小学</w:t>
      </w:r>
      <w:r>
        <w:rPr>
          <w:rFonts w:hint="eastAsia" w:ascii="仿宋" w:hAnsi="仿宋" w:eastAsia="仿宋"/>
          <w:bCs/>
          <w:color w:val="auto"/>
          <w:kern w:val="0"/>
          <w:sz w:val="32"/>
          <w:szCs w:val="32"/>
        </w:rPr>
        <w:t>，属于全额拨款事业单位，</w:t>
      </w:r>
      <w:r>
        <w:rPr>
          <w:rFonts w:hint="eastAsia" w:ascii="仿宋" w:hAnsi="仿宋" w:eastAsia="仿宋"/>
          <w:b w:val="0"/>
          <w:bCs w:val="0"/>
          <w:color w:val="000000"/>
          <w:sz w:val="32"/>
          <w:szCs w:val="32"/>
          <w:lang w:val="en-US" w:eastAsia="zh-CN"/>
        </w:rPr>
        <w:t>贯彻执行党和国家的教育方针、教育政策、教育法律和教育法规，贯彻执行上级教育行政部门的行政规章。根据县委、县政府制定的教育事业发展规划，结合实际制定并组织实施本校的教育事业发展规划。按照上级有关部门的规定，负责对学校教育的财务和基建进行管理。按照完全小学义务教育课程计划要求开齐课程开足课时，认真实施中小学的教育教学管理，全面推进素质教育，全面提高教育教学质量。</w:t>
      </w:r>
      <w:bookmarkEnd w:id="14"/>
      <w:bookmarkEnd w:id="15"/>
    </w:p>
    <w:p w14:paraId="7684CC35">
      <w:pPr>
        <w:pStyle w:val="3"/>
        <w:numPr>
          <w:ilvl w:val="0"/>
          <w:numId w:val="1"/>
        </w:numPr>
        <w:ind w:left="0" w:leftChars="0" w:firstLine="0" w:firstLineChars="0"/>
        <w:rPr>
          <w:rFonts w:hint="eastAsia" w:ascii="黑体" w:hAnsi="黑体" w:eastAsia="黑体"/>
          <w:b w:val="0"/>
          <w:highlight w:val="none"/>
        </w:rPr>
      </w:pPr>
      <w:bookmarkStart w:id="16" w:name="_Toc7884"/>
      <w:r>
        <w:rPr>
          <w:rFonts w:hint="eastAsia" w:ascii="黑体" w:hAnsi="黑体" w:eastAsia="黑体"/>
          <w:b w:val="0"/>
          <w:highlight w:val="none"/>
        </w:rPr>
        <w:t>机构设置</w:t>
      </w:r>
      <w:bookmarkEnd w:id="16"/>
    </w:p>
    <w:p w14:paraId="2DEAE861">
      <w:pPr>
        <w:pStyle w:val="5"/>
        <w:adjustRightInd w:val="0"/>
        <w:snapToGrid w:val="0"/>
        <w:spacing w:before="93" w:line="600" w:lineRule="exact"/>
        <w:ind w:firstLine="672" w:firstLineChars="210"/>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大竹县童家镇第二中心小学为一级预算单位，下属的二级预算单位0个，下设独立编制机构0个，其中行政机构0个，参照公务员法管理的事业机构0个，其它事业机构0个。</w:t>
      </w:r>
    </w:p>
    <w:p w14:paraId="35305DB5">
      <w:pPr>
        <w:pStyle w:val="5"/>
        <w:spacing w:before="93"/>
        <w:ind w:firstLine="640" w:firstLineChars="200"/>
      </w:pPr>
      <w:r>
        <w:rPr>
          <w:rFonts w:hint="eastAsia" w:ascii="仿宋" w:hAnsi="仿宋" w:eastAsia="仿宋" w:cs="仿宋_GB2312"/>
          <w:sz w:val="32"/>
          <w:szCs w:val="32"/>
        </w:rPr>
        <w:t>纳入</w:t>
      </w:r>
      <w:r>
        <w:rPr>
          <w:rFonts w:hint="eastAsia" w:ascii="仿宋" w:hAnsi="仿宋" w:eastAsia="仿宋" w:cs="仿宋_GB2312"/>
          <w:sz w:val="32"/>
          <w:szCs w:val="32"/>
          <w:lang w:eastAsia="zh-CN"/>
        </w:rPr>
        <w:t>大竹县童家镇第二中心小学</w:t>
      </w:r>
      <w:r>
        <w:rPr>
          <w:rFonts w:hint="eastAsia" w:ascii="仿宋" w:hAnsi="仿宋" w:eastAsia="仿宋" w:cs="仿宋_GB2312"/>
          <w:sz w:val="32"/>
          <w:szCs w:val="32"/>
        </w:rPr>
        <w:t>2</w:t>
      </w:r>
      <w:r>
        <w:rPr>
          <w:rFonts w:ascii="仿宋" w:hAnsi="仿宋" w:eastAsia="仿宋" w:cs="仿宋_GB2312"/>
          <w:sz w:val="32"/>
          <w:szCs w:val="32"/>
        </w:rPr>
        <w:t>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年度部门决算编制范围的二级预算单位包括：无。</w:t>
      </w:r>
    </w:p>
    <w:p w14:paraId="703941B2">
      <w:pPr>
        <w:numPr>
          <w:ilvl w:val="0"/>
          <w:numId w:val="0"/>
        </w:numPr>
        <w:ind w:leftChars="0"/>
      </w:pPr>
    </w:p>
    <w:bookmarkEnd w:id="12"/>
    <w:bookmarkEnd w:id="13"/>
    <w:p w14:paraId="773FFF78">
      <w:pPr>
        <w:widowControl/>
        <w:jc w:val="left"/>
        <w:rPr>
          <w:rFonts w:ascii="仿宋" w:hAnsi="仿宋" w:eastAsia="仿宋"/>
          <w:kern w:val="0"/>
          <w:sz w:val="32"/>
          <w:szCs w:val="32"/>
          <w:highlight w:val="yellow"/>
        </w:rPr>
      </w:pPr>
      <w:r>
        <w:rPr>
          <w:rFonts w:ascii="仿宋" w:hAnsi="仿宋" w:eastAsia="仿宋"/>
          <w:sz w:val="32"/>
          <w:szCs w:val="32"/>
          <w:highlight w:val="yellow"/>
        </w:rPr>
        <w:br w:type="page"/>
      </w:r>
    </w:p>
    <w:p w14:paraId="42C3A99C">
      <w:pPr>
        <w:pStyle w:val="2"/>
        <w:ind w:right="440"/>
        <w:jc w:val="center"/>
        <w:rPr>
          <w:rStyle w:val="27"/>
          <w:rFonts w:ascii="黑体" w:hAnsi="黑体" w:eastAsia="黑体"/>
          <w:b w:val="0"/>
          <w:bCs/>
        </w:rPr>
      </w:pPr>
      <w:bookmarkStart w:id="17" w:name="_Toc15396602"/>
      <w:bookmarkStart w:id="18" w:name="_Toc23483"/>
      <w:bookmarkStart w:id="19"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17"/>
      <w:bookmarkEnd w:id="18"/>
      <w:bookmarkEnd w:id="19"/>
    </w:p>
    <w:p w14:paraId="036D2505"/>
    <w:p w14:paraId="7DD95395">
      <w:pPr>
        <w:pStyle w:val="26"/>
        <w:numPr>
          <w:ilvl w:val="0"/>
          <w:numId w:val="2"/>
        </w:numPr>
        <w:spacing w:line="600" w:lineRule="exact"/>
        <w:ind w:firstLineChars="0"/>
        <w:outlineLvl w:val="1"/>
        <w:rPr>
          <w:rStyle w:val="28"/>
          <w:rFonts w:ascii="黑体" w:hAnsi="黑体" w:eastAsia="黑体"/>
          <w:b w:val="0"/>
        </w:rPr>
      </w:pPr>
      <w:bookmarkStart w:id="20" w:name="_Toc15377205"/>
      <w:bookmarkStart w:id="21" w:name="_Toc5261"/>
      <w:bookmarkStart w:id="22"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0"/>
      <w:bookmarkEnd w:id="21"/>
      <w:bookmarkEnd w:id="22"/>
    </w:p>
    <w:p w14:paraId="70327607">
      <w:pPr>
        <w:bidi w:val="0"/>
        <w:ind w:firstLine="640" w:firstLineChars="200"/>
        <w:rPr>
          <w:rFonts w:hint="eastAsia" w:ascii="仿宋" w:hAnsi="仿宋" w:eastAsia="仿宋"/>
          <w:sz w:val="32"/>
          <w:szCs w:val="32"/>
          <w:highlight w:val="yellow"/>
        </w:rPr>
      </w:pPr>
      <w:r>
        <w:rPr>
          <w:rFonts w:hint="eastAsia" w:ascii="仿宋" w:hAnsi="仿宋" w:eastAsia="仿宋" w:cs="仿宋_GB2312"/>
          <w:kern w:val="0"/>
          <w:sz w:val="32"/>
          <w:szCs w:val="32"/>
          <w:lang w:val="en-US" w:eastAsia="zh-CN" w:bidi="ar-SA"/>
        </w:rPr>
        <w:t>2023年度单位收支总计689.78万元,与去年对比，收入减少154.18万元，减少18.27%。主要变动原因是本年学生和教师人员减少。</w:t>
      </w:r>
    </w:p>
    <w:p w14:paraId="65389E64">
      <w:pPr>
        <w:spacing w:line="600" w:lineRule="exact"/>
        <w:ind w:firstLine="840" w:firstLineChars="400"/>
        <w:jc w:val="center"/>
        <w:rPr>
          <w:rFonts w:hint="eastAsia" w:ascii="仿宋" w:hAnsi="仿宋" w:eastAsia="仿宋"/>
          <w:sz w:val="32"/>
          <w:szCs w:val="32"/>
          <w:highlight w:val="none"/>
        </w:rPr>
      </w:pPr>
      <w:r>
        <w:rPr>
          <w:rFonts w:hint="eastAsia" w:ascii="Times New Roman" w:hAnsi="Times New Roman" w:eastAsia="宋体" w:cs="Times New Roman"/>
          <w:kern w:val="2"/>
          <w:sz w:val="21"/>
          <w:szCs w:val="24"/>
          <w:lang w:val="en-US" w:eastAsia="zh-CN" w:bidi="ar-SA"/>
        </w:rPr>
        <w:drawing>
          <wp:anchor distT="0" distB="0" distL="114300" distR="114300" simplePos="0" relativeHeight="251659264" behindDoc="0" locked="0" layoutInCell="1" allowOverlap="1">
            <wp:simplePos x="0" y="0"/>
            <wp:positionH relativeFrom="column">
              <wp:posOffset>222250</wp:posOffset>
            </wp:positionH>
            <wp:positionV relativeFrom="page">
              <wp:posOffset>3498215</wp:posOffset>
            </wp:positionV>
            <wp:extent cx="4974590" cy="2926080"/>
            <wp:effectExtent l="4445" t="4445" r="15875" b="5080"/>
            <wp:wrapTopAndBottom/>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highlight w:val="none"/>
        </w:rPr>
        <w:t>（图</w:t>
      </w:r>
      <w:r>
        <w:rPr>
          <w:rFonts w:ascii="仿宋" w:hAnsi="仿宋" w:eastAsia="仿宋"/>
          <w:sz w:val="32"/>
          <w:szCs w:val="32"/>
          <w:highlight w:val="none"/>
        </w:rPr>
        <w:t>1</w:t>
      </w:r>
      <w:r>
        <w:rPr>
          <w:rFonts w:hint="eastAsia" w:ascii="仿宋" w:hAnsi="仿宋" w:eastAsia="仿宋"/>
          <w:sz w:val="32"/>
          <w:szCs w:val="32"/>
          <w:highlight w:val="none"/>
        </w:rPr>
        <w:t>：收、支决算总计变动情况图）</w:t>
      </w:r>
    </w:p>
    <w:p w14:paraId="1AF286F1">
      <w:pPr>
        <w:spacing w:line="600" w:lineRule="exact"/>
        <w:ind w:firstLine="1280" w:firstLineChars="400"/>
        <w:jc w:val="center"/>
        <w:rPr>
          <w:rFonts w:hint="eastAsia" w:ascii="仿宋" w:hAnsi="仿宋" w:eastAsia="仿宋"/>
          <w:sz w:val="32"/>
          <w:szCs w:val="32"/>
          <w:highlight w:val="none"/>
        </w:rPr>
      </w:pPr>
    </w:p>
    <w:p w14:paraId="1C11AC06">
      <w:pPr>
        <w:pStyle w:val="26"/>
        <w:numPr>
          <w:ilvl w:val="0"/>
          <w:numId w:val="2"/>
        </w:numPr>
        <w:spacing w:line="600" w:lineRule="exact"/>
        <w:ind w:firstLineChars="0"/>
        <w:outlineLvl w:val="1"/>
        <w:rPr>
          <w:rStyle w:val="28"/>
          <w:rFonts w:ascii="黑体" w:hAnsi="黑体" w:eastAsia="黑体"/>
          <w:b w:val="0"/>
        </w:rPr>
      </w:pPr>
      <w:bookmarkStart w:id="23" w:name="_Toc293"/>
      <w:bookmarkStart w:id="24" w:name="_Toc15377206"/>
      <w:bookmarkStart w:id="25" w:name="_Toc15396604"/>
      <w:r>
        <w:rPr>
          <w:rFonts w:hint="eastAsia" w:ascii="黑体" w:hAnsi="黑体" w:eastAsia="黑体"/>
          <w:sz w:val="32"/>
          <w:szCs w:val="32"/>
        </w:rPr>
        <w:t>收</w:t>
      </w:r>
      <w:r>
        <w:rPr>
          <w:rStyle w:val="28"/>
          <w:rFonts w:hint="eastAsia" w:ascii="黑体" w:hAnsi="黑体" w:eastAsia="黑体"/>
          <w:b w:val="0"/>
        </w:rPr>
        <w:t>入决算情况说明</w:t>
      </w:r>
      <w:bookmarkEnd w:id="23"/>
      <w:bookmarkEnd w:id="24"/>
      <w:bookmarkEnd w:id="25"/>
    </w:p>
    <w:p w14:paraId="43B34C8C">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2023年本年收入合计</w:t>
      </w:r>
      <w:r>
        <w:rPr>
          <w:rFonts w:hint="eastAsia" w:ascii="仿宋" w:hAnsi="仿宋" w:eastAsia="仿宋" w:cs="仿宋_GB2312"/>
          <w:kern w:val="0"/>
          <w:sz w:val="32"/>
          <w:szCs w:val="32"/>
          <w:highlight w:val="none"/>
          <w:lang w:val="en-US" w:eastAsia="zh-CN" w:bidi="ar-SA"/>
        </w:rPr>
        <w:t>660.78</w:t>
      </w:r>
      <w:r>
        <w:rPr>
          <w:rFonts w:hint="eastAsia" w:ascii="仿宋" w:hAnsi="仿宋" w:eastAsia="仿宋"/>
          <w:sz w:val="32"/>
          <w:szCs w:val="32"/>
          <w:lang w:val="en-US" w:eastAsia="zh-CN"/>
        </w:rPr>
        <w:t>万元，其中:一般公共预算财政拨款收入</w:t>
      </w:r>
      <w:r>
        <w:rPr>
          <w:rFonts w:hint="eastAsia" w:ascii="仿宋" w:hAnsi="仿宋" w:eastAsia="仿宋" w:cs="仿宋_GB2312"/>
          <w:kern w:val="0"/>
          <w:sz w:val="32"/>
          <w:szCs w:val="32"/>
          <w:highlight w:val="none"/>
          <w:lang w:val="en-US" w:eastAsia="zh-CN" w:bidi="ar-SA"/>
        </w:rPr>
        <w:t>660.78</w:t>
      </w:r>
      <w:r>
        <w:rPr>
          <w:rFonts w:hint="eastAsia" w:ascii="仿宋" w:hAnsi="仿宋" w:eastAsia="仿宋"/>
          <w:sz w:val="32"/>
          <w:szCs w:val="32"/>
          <w:lang w:val="en-US" w:eastAsia="zh-CN"/>
        </w:rPr>
        <w:t>万元，占100.00%。</w:t>
      </w:r>
    </w:p>
    <w:p w14:paraId="40F82805">
      <w:pPr>
        <w:spacing w:line="600" w:lineRule="exact"/>
        <w:ind w:firstLine="420" w:firstLineChars="200"/>
        <w:rPr>
          <w:rFonts w:hint="default" w:ascii="仿宋" w:hAnsi="仿宋" w:eastAsia="仿宋"/>
          <w:sz w:val="32"/>
          <w:szCs w:val="32"/>
          <w:lang w:val="en-US" w:eastAsia="zh-CN"/>
        </w:rPr>
      </w:pPr>
      <w:r>
        <w:drawing>
          <wp:anchor distT="0" distB="0" distL="114300" distR="114300" simplePos="0" relativeHeight="251666432" behindDoc="0" locked="0" layoutInCell="1" allowOverlap="1">
            <wp:simplePos x="0" y="0"/>
            <wp:positionH relativeFrom="column">
              <wp:posOffset>330835</wp:posOffset>
            </wp:positionH>
            <wp:positionV relativeFrom="page">
              <wp:posOffset>1489710</wp:posOffset>
            </wp:positionV>
            <wp:extent cx="4810760" cy="2385695"/>
            <wp:effectExtent l="5080" t="4445" r="18415" b="5080"/>
            <wp:wrapTopAndBottom/>
            <wp:docPr id="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54E0C04">
      <w:pPr>
        <w:spacing w:line="60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（图2：收入决算结构图）</w:t>
      </w:r>
    </w:p>
    <w:p w14:paraId="6949F49D">
      <w:pPr>
        <w:spacing w:line="600" w:lineRule="exact"/>
        <w:ind w:firstLine="640" w:firstLineChars="200"/>
        <w:rPr>
          <w:rFonts w:ascii="仿宋_GB2312" w:eastAsia="仿宋_GB2312"/>
          <w:sz w:val="32"/>
          <w:szCs w:val="32"/>
          <w:highlight w:val="yellow"/>
        </w:rPr>
      </w:pPr>
    </w:p>
    <w:p w14:paraId="530B40A3">
      <w:pPr>
        <w:pStyle w:val="26"/>
        <w:numPr>
          <w:ilvl w:val="0"/>
          <w:numId w:val="2"/>
        </w:numPr>
        <w:spacing w:line="600" w:lineRule="exact"/>
        <w:ind w:firstLineChars="0"/>
        <w:outlineLvl w:val="1"/>
        <w:rPr>
          <w:rStyle w:val="28"/>
          <w:rFonts w:ascii="黑体" w:hAnsi="黑体" w:eastAsia="黑体"/>
          <w:b w:val="0"/>
        </w:rPr>
      </w:pPr>
      <w:bookmarkStart w:id="26" w:name="_Toc1124"/>
      <w:bookmarkStart w:id="27" w:name="_Toc15396605"/>
      <w:bookmarkStart w:id="28" w:name="_Toc15377207"/>
      <w:r>
        <w:rPr>
          <w:rFonts w:hint="eastAsia" w:ascii="黑体" w:hAnsi="黑体" w:eastAsia="黑体"/>
          <w:sz w:val="32"/>
          <w:szCs w:val="32"/>
        </w:rPr>
        <w:t>支</w:t>
      </w:r>
      <w:r>
        <w:rPr>
          <w:rStyle w:val="28"/>
          <w:rFonts w:hint="eastAsia" w:ascii="黑体" w:hAnsi="黑体" w:eastAsia="黑体"/>
          <w:b w:val="0"/>
        </w:rPr>
        <w:t>出决算情况说明</w:t>
      </w:r>
      <w:bookmarkEnd w:id="26"/>
      <w:bookmarkEnd w:id="27"/>
      <w:bookmarkEnd w:id="28"/>
    </w:p>
    <w:p w14:paraId="22B6F3F6">
      <w:pPr>
        <w:spacing w:line="600" w:lineRule="exact"/>
        <w:ind w:firstLine="420" w:firstLineChars="200"/>
        <w:outlineLvl w:val="1"/>
        <w:rPr>
          <w:rFonts w:ascii="仿宋" w:hAnsi="仿宋" w:eastAsia="仿宋"/>
          <w:sz w:val="32"/>
          <w:szCs w:val="32"/>
          <w:shd w:val="pct10" w:color="auto" w:fill="FFFFFF"/>
        </w:rPr>
      </w:pPr>
      <w:bookmarkStart w:id="29" w:name="_Toc13572"/>
      <w:r>
        <w:drawing>
          <wp:anchor distT="0" distB="0" distL="114300" distR="114300" simplePos="0" relativeHeight="251662336" behindDoc="0" locked="0" layoutInCell="1" allowOverlap="1">
            <wp:simplePos x="0" y="0"/>
            <wp:positionH relativeFrom="column">
              <wp:posOffset>216535</wp:posOffset>
            </wp:positionH>
            <wp:positionV relativeFrom="page">
              <wp:posOffset>6036945</wp:posOffset>
            </wp:positionV>
            <wp:extent cx="4853940" cy="2884170"/>
            <wp:effectExtent l="4445" t="4445" r="5080" b="1778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lang w:val="en-US" w:eastAsia="zh-CN"/>
        </w:rPr>
        <w:t>2023年度本年支出合计</w:t>
      </w:r>
      <w:r>
        <w:rPr>
          <w:rFonts w:hint="eastAsia" w:ascii="仿宋" w:hAnsi="仿宋" w:eastAsia="仿宋" w:cs="仿宋_GB2312"/>
          <w:kern w:val="0"/>
          <w:sz w:val="32"/>
          <w:szCs w:val="32"/>
          <w:lang w:val="en-US" w:eastAsia="zh-CN" w:bidi="ar-SA"/>
        </w:rPr>
        <w:t>689.78</w:t>
      </w:r>
      <w:r>
        <w:rPr>
          <w:rFonts w:hint="eastAsia" w:ascii="仿宋" w:hAnsi="仿宋" w:eastAsia="仿宋"/>
          <w:sz w:val="32"/>
          <w:szCs w:val="32"/>
          <w:lang w:val="en-US" w:eastAsia="zh-CN"/>
        </w:rPr>
        <w:t>万元，其中：基本支出654.32万元，占95%；项目支出35.46万元，占5%。</w:t>
      </w:r>
      <w:bookmarkEnd w:id="29"/>
    </w:p>
    <w:p w14:paraId="6F1733AD">
      <w:pPr>
        <w:spacing w:line="600" w:lineRule="exact"/>
        <w:ind w:firstLine="640" w:firstLineChars="200"/>
        <w:jc w:val="center"/>
        <w:rPr>
          <w:rFonts w:hint="eastAsia" w:ascii="仿宋" w:hAnsi="仿宋" w:eastAsia="仿宋"/>
          <w:sz w:val="32"/>
          <w:szCs w:val="32"/>
          <w:highlight w:val="none"/>
        </w:rPr>
      </w:pPr>
      <w:r>
        <w:rPr>
          <w:rFonts w:hint="eastAsia" w:ascii="仿宋" w:hAnsi="仿宋" w:eastAsia="仿宋"/>
          <w:sz w:val="32"/>
          <w:szCs w:val="32"/>
          <w:highlight w:val="none"/>
        </w:rPr>
        <w:t>（图3：支出决算结构图）</w:t>
      </w:r>
    </w:p>
    <w:p w14:paraId="78214921">
      <w:pPr>
        <w:spacing w:line="600" w:lineRule="exact"/>
        <w:ind w:firstLine="640" w:firstLineChars="200"/>
        <w:jc w:val="center"/>
        <w:rPr>
          <w:rFonts w:hint="eastAsia" w:ascii="仿宋" w:hAnsi="仿宋" w:eastAsia="仿宋"/>
          <w:sz w:val="32"/>
          <w:szCs w:val="32"/>
          <w:highlight w:val="none"/>
        </w:rPr>
      </w:pPr>
    </w:p>
    <w:p w14:paraId="1CCF0BA8">
      <w:pPr>
        <w:spacing w:line="600" w:lineRule="exact"/>
        <w:ind w:firstLine="640" w:firstLineChars="200"/>
        <w:outlineLvl w:val="1"/>
        <w:rPr>
          <w:rStyle w:val="28"/>
          <w:rFonts w:ascii="黑体" w:hAnsi="黑体" w:eastAsia="黑体"/>
          <w:b w:val="0"/>
        </w:rPr>
      </w:pPr>
      <w:bookmarkStart w:id="30" w:name="_Toc15377208"/>
      <w:bookmarkStart w:id="31" w:name="_Toc29631"/>
      <w:bookmarkStart w:id="32"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0"/>
      <w:bookmarkEnd w:id="31"/>
      <w:bookmarkEnd w:id="32"/>
    </w:p>
    <w:p w14:paraId="288FDF82">
      <w:pPr>
        <w:bidi w:val="0"/>
        <w:ind w:firstLine="640" w:firstLineChars="200"/>
        <w:rPr>
          <w:rFonts w:ascii="仿宋" w:hAnsi="仿宋" w:eastAsia="仿宋"/>
          <w:sz w:val="32"/>
          <w:szCs w:val="32"/>
        </w:rPr>
      </w:pPr>
      <w:r>
        <w:rPr>
          <w:rStyle w:val="16"/>
          <w:rFonts w:hint="eastAsia" w:ascii="仿宋" w:hAnsi="仿宋" w:eastAsia="仿宋"/>
          <w:b w:val="0"/>
          <w:bCs w:val="0"/>
          <w:color w:val="auto"/>
          <w:sz w:val="32"/>
          <w:szCs w:val="32"/>
        </w:rPr>
        <w:t>2023年度财政拨款收、支总计均为</w:t>
      </w:r>
      <w:r>
        <w:rPr>
          <w:rFonts w:hint="eastAsia" w:ascii="仿宋" w:hAnsi="仿宋" w:eastAsia="仿宋" w:cs="仿宋"/>
          <w:kern w:val="0"/>
          <w:sz w:val="32"/>
          <w:szCs w:val="32"/>
          <w:lang w:val="en-US" w:eastAsia="zh-CN" w:bidi="ar"/>
        </w:rPr>
        <w:t>689.78</w:t>
      </w:r>
      <w:r>
        <w:rPr>
          <w:rStyle w:val="16"/>
          <w:rFonts w:hint="eastAsia" w:ascii="仿宋" w:hAnsi="仿宋" w:eastAsia="仿宋"/>
          <w:b w:val="0"/>
          <w:bCs w:val="0"/>
          <w:color w:val="auto"/>
          <w:sz w:val="32"/>
          <w:szCs w:val="32"/>
        </w:rPr>
        <w:t>万元。与2022年度相比，财政拨款收、支总计各</w:t>
      </w:r>
      <w:r>
        <w:rPr>
          <w:rFonts w:hint="eastAsia" w:ascii="仿宋" w:hAnsi="仿宋" w:eastAsia="仿宋" w:cs="仿宋_GB2312"/>
          <w:kern w:val="0"/>
          <w:sz w:val="32"/>
          <w:szCs w:val="32"/>
          <w:lang w:val="en-US" w:eastAsia="zh-CN" w:bidi="ar-SA"/>
        </w:rPr>
        <w:t>减少154.18万元</w:t>
      </w:r>
      <w:r>
        <w:rPr>
          <w:rStyle w:val="16"/>
          <w:rFonts w:hint="eastAsia" w:ascii="仿宋" w:hAnsi="仿宋" w:eastAsia="仿宋"/>
          <w:b w:val="0"/>
          <w:bCs w:val="0"/>
          <w:color w:val="auto"/>
          <w:sz w:val="32"/>
          <w:szCs w:val="32"/>
        </w:rPr>
        <w:t>，</w:t>
      </w:r>
      <w:r>
        <w:rPr>
          <w:rFonts w:hint="eastAsia" w:ascii="仿宋" w:hAnsi="仿宋" w:eastAsia="仿宋" w:cs="仿宋_GB2312"/>
          <w:kern w:val="0"/>
          <w:sz w:val="32"/>
          <w:szCs w:val="32"/>
          <w:lang w:val="en-US" w:eastAsia="zh-CN" w:bidi="ar-SA"/>
        </w:rPr>
        <w:t>减少18.27%</w:t>
      </w:r>
      <w:r>
        <w:rPr>
          <w:rStyle w:val="16"/>
          <w:rFonts w:hint="eastAsia" w:ascii="仿宋" w:hAnsi="仿宋" w:eastAsia="仿宋"/>
          <w:b w:val="0"/>
          <w:bCs w:val="0"/>
          <w:color w:val="auto"/>
          <w:sz w:val="32"/>
          <w:szCs w:val="32"/>
        </w:rPr>
        <w:t>。</w:t>
      </w:r>
      <w:r>
        <w:rPr>
          <w:rFonts w:hint="eastAsia" w:ascii="仿宋" w:hAnsi="仿宋" w:eastAsia="仿宋" w:cs="仿宋_GB2312"/>
          <w:kern w:val="0"/>
          <w:sz w:val="32"/>
          <w:szCs w:val="32"/>
          <w:lang w:val="en-US" w:eastAsia="zh-CN" w:bidi="ar-SA"/>
        </w:rPr>
        <w:t>主要变动原因是本年学生和教师人员减少。</w:t>
      </w:r>
    </w:p>
    <w:p w14:paraId="26238234">
      <w:pPr>
        <w:spacing w:line="600" w:lineRule="exact"/>
        <w:ind w:firstLine="420" w:firstLineChars="200"/>
        <w:jc w:val="center"/>
        <w:rPr>
          <w:rFonts w:ascii="仿宋" w:hAnsi="仿宋" w:eastAsia="仿宋"/>
          <w:sz w:val="32"/>
          <w:szCs w:val="32"/>
          <w:highlight w:val="none"/>
        </w:rPr>
      </w:pPr>
      <w:r>
        <w:rPr>
          <w:rFonts w:hint="eastAsia" w:ascii="Times New Roman" w:hAnsi="Times New Roman" w:eastAsia="宋体" w:cs="Times New Roman"/>
          <w:kern w:val="2"/>
          <w:sz w:val="21"/>
          <w:szCs w:val="24"/>
          <w:lang w:val="en-US" w:eastAsia="zh-CN" w:bidi="ar-SA"/>
        </w:rPr>
        <w:drawing>
          <wp:anchor distT="0" distB="0" distL="114300" distR="114300" simplePos="0" relativeHeight="251663360" behindDoc="0" locked="0" layoutInCell="1" allowOverlap="1">
            <wp:simplePos x="0" y="0"/>
            <wp:positionH relativeFrom="column">
              <wp:posOffset>267335</wp:posOffset>
            </wp:positionH>
            <wp:positionV relativeFrom="page">
              <wp:posOffset>2623185</wp:posOffset>
            </wp:positionV>
            <wp:extent cx="4974590" cy="2926080"/>
            <wp:effectExtent l="4445" t="4445" r="15875" b="5080"/>
            <wp:wrapTopAndBottom/>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highlight w:val="none"/>
        </w:rPr>
        <w:t>（图4：财政拨款收、支决算总计变动情况）</w:t>
      </w:r>
    </w:p>
    <w:p w14:paraId="44EF4FC1">
      <w:pPr>
        <w:spacing w:line="600" w:lineRule="exact"/>
        <w:ind w:firstLine="640"/>
        <w:rPr>
          <w:rFonts w:ascii="仿宋" w:hAnsi="仿宋" w:eastAsia="仿宋"/>
          <w:b/>
          <w:sz w:val="32"/>
          <w:szCs w:val="32"/>
        </w:rPr>
      </w:pPr>
    </w:p>
    <w:p w14:paraId="1612E821">
      <w:pPr>
        <w:spacing w:line="600" w:lineRule="exact"/>
        <w:ind w:firstLine="640" w:firstLineChars="200"/>
        <w:outlineLvl w:val="1"/>
        <w:rPr>
          <w:rStyle w:val="28"/>
          <w:rFonts w:ascii="黑体" w:hAnsi="黑体" w:eastAsia="黑体"/>
          <w:b w:val="0"/>
        </w:rPr>
      </w:pPr>
      <w:bookmarkStart w:id="33" w:name="_Toc1707"/>
      <w:bookmarkStart w:id="34" w:name="_Toc15377209"/>
      <w:bookmarkStart w:id="35"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3"/>
      <w:bookmarkEnd w:id="34"/>
      <w:bookmarkEnd w:id="35"/>
    </w:p>
    <w:p w14:paraId="1A5BE125">
      <w:pPr>
        <w:spacing w:line="600" w:lineRule="exact"/>
        <w:ind w:firstLine="643" w:firstLineChars="200"/>
        <w:outlineLvl w:val="2"/>
        <w:rPr>
          <w:rFonts w:ascii="仿宋" w:hAnsi="仿宋" w:eastAsia="仿宋"/>
          <w:b/>
          <w:sz w:val="32"/>
          <w:szCs w:val="32"/>
        </w:rPr>
      </w:pPr>
      <w:bookmarkStart w:id="36" w:name="_Toc15377210"/>
      <w:r>
        <w:rPr>
          <w:rFonts w:hint="eastAsia" w:ascii="仿宋" w:hAnsi="仿宋" w:eastAsia="仿宋"/>
          <w:b/>
          <w:sz w:val="32"/>
          <w:szCs w:val="32"/>
        </w:rPr>
        <w:t>（一）一般公共预算财政拨款支出决算总体情况</w:t>
      </w:r>
      <w:bookmarkEnd w:id="36"/>
    </w:p>
    <w:p w14:paraId="6A0F8B19">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sz w:val="32"/>
          <w:szCs w:val="32"/>
        </w:rPr>
        <w:t>2023年度一般公共预算财政拨款支出</w:t>
      </w:r>
      <w:r>
        <w:rPr>
          <w:rFonts w:hint="eastAsia" w:ascii="仿宋" w:hAnsi="仿宋" w:eastAsia="仿宋" w:cs="仿宋"/>
          <w:kern w:val="0"/>
          <w:sz w:val="32"/>
          <w:szCs w:val="32"/>
          <w:lang w:val="en-US" w:eastAsia="zh-CN" w:bidi="ar"/>
        </w:rPr>
        <w:t>689.78</w:t>
      </w:r>
      <w:r>
        <w:rPr>
          <w:rFonts w:hint="eastAsia" w:ascii="仿宋" w:hAnsi="仿宋" w:eastAsia="仿宋"/>
          <w:sz w:val="32"/>
          <w:szCs w:val="32"/>
        </w:rPr>
        <w:t>万元，占本年支出合计的100%。与2</w:t>
      </w:r>
      <w:r>
        <w:rPr>
          <w:rFonts w:hint="eastAsia" w:ascii="仿宋" w:hAnsi="仿宋" w:eastAsia="仿宋"/>
          <w:sz w:val="32"/>
          <w:szCs w:val="32"/>
          <w:highlight w:val="none"/>
        </w:rPr>
        <w:t>022年度相比，一般公共预算财政拨款支出</w:t>
      </w:r>
      <w:r>
        <w:rPr>
          <w:rFonts w:hint="eastAsia" w:ascii="仿宋" w:hAnsi="仿宋" w:eastAsia="仿宋" w:cs="仿宋"/>
          <w:kern w:val="0"/>
          <w:sz w:val="32"/>
          <w:szCs w:val="32"/>
          <w:lang w:val="en-US" w:eastAsia="zh-CN" w:bidi="ar"/>
        </w:rPr>
        <w:t>减少154.18万元</w:t>
      </w:r>
      <w:r>
        <w:rPr>
          <w:rFonts w:hint="eastAsia" w:ascii="仿宋" w:hAnsi="仿宋" w:eastAsia="仿宋"/>
          <w:sz w:val="32"/>
          <w:szCs w:val="32"/>
          <w:highlight w:val="none"/>
          <w:lang w:val="en-US" w:eastAsia="zh-CN"/>
        </w:rPr>
        <w:t>，</w:t>
      </w:r>
      <w:r>
        <w:rPr>
          <w:rFonts w:hint="eastAsia" w:ascii="仿宋" w:hAnsi="仿宋" w:eastAsia="仿宋" w:cs="仿宋"/>
          <w:kern w:val="0"/>
          <w:sz w:val="32"/>
          <w:szCs w:val="32"/>
          <w:lang w:val="en-US" w:eastAsia="zh-CN" w:bidi="ar"/>
        </w:rPr>
        <w:t>减少18.27%</w:t>
      </w:r>
      <w:r>
        <w:rPr>
          <w:rFonts w:hint="eastAsia" w:ascii="仿宋" w:hAnsi="仿宋" w:eastAsia="仿宋"/>
          <w:sz w:val="32"/>
          <w:szCs w:val="32"/>
          <w:highlight w:val="none"/>
        </w:rPr>
        <w:t>。</w:t>
      </w:r>
      <w:r>
        <w:rPr>
          <w:rFonts w:hint="eastAsia" w:ascii="仿宋" w:hAnsi="仿宋" w:eastAsia="仿宋" w:cs="仿宋"/>
          <w:kern w:val="0"/>
          <w:sz w:val="32"/>
          <w:szCs w:val="32"/>
          <w:lang w:val="en-US" w:eastAsia="zh-CN" w:bidi="ar"/>
        </w:rPr>
        <w:t>主要变动原因是本年学生和教师人员减少。</w:t>
      </w:r>
    </w:p>
    <w:p w14:paraId="08E5C012">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0"/>
          <w:sz w:val="32"/>
          <w:szCs w:val="32"/>
          <w:lang w:val="en-US" w:eastAsia="zh-CN" w:bidi="ar"/>
        </w:rPr>
      </w:pPr>
    </w:p>
    <w:p w14:paraId="33BF5CA8">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0"/>
          <w:sz w:val="32"/>
          <w:szCs w:val="32"/>
          <w:lang w:val="en-US" w:eastAsia="zh-CN" w:bidi="ar"/>
        </w:rPr>
      </w:pPr>
    </w:p>
    <w:p w14:paraId="43254612">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仿宋"/>
          <w:kern w:val="0"/>
          <w:sz w:val="32"/>
          <w:szCs w:val="32"/>
          <w:lang w:val="en-US" w:eastAsia="zh-CN" w:bidi="ar"/>
        </w:rPr>
      </w:pPr>
      <w:r>
        <w:drawing>
          <wp:anchor distT="0" distB="0" distL="114300" distR="114300" simplePos="0" relativeHeight="251664384" behindDoc="0" locked="0" layoutInCell="1" allowOverlap="1">
            <wp:simplePos x="0" y="0"/>
            <wp:positionH relativeFrom="column">
              <wp:posOffset>194310</wp:posOffset>
            </wp:positionH>
            <wp:positionV relativeFrom="paragraph">
              <wp:posOffset>-318770</wp:posOffset>
            </wp:positionV>
            <wp:extent cx="5107940" cy="2582545"/>
            <wp:effectExtent l="4445" t="4445" r="13970" b="12700"/>
            <wp:wrapNone/>
            <wp:docPr id="1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41A7887">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0"/>
          <w:sz w:val="32"/>
          <w:szCs w:val="32"/>
          <w:lang w:val="en-US" w:eastAsia="zh-CN" w:bidi="ar"/>
        </w:rPr>
      </w:pPr>
    </w:p>
    <w:p w14:paraId="4F3B25E2">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0"/>
          <w:sz w:val="32"/>
          <w:szCs w:val="32"/>
          <w:lang w:val="en-US" w:eastAsia="zh-CN" w:bidi="ar"/>
        </w:rPr>
      </w:pPr>
    </w:p>
    <w:p w14:paraId="2B49CD9B">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0"/>
          <w:sz w:val="32"/>
          <w:szCs w:val="32"/>
          <w:lang w:val="en-US" w:eastAsia="zh-CN" w:bidi="ar"/>
        </w:rPr>
      </w:pPr>
    </w:p>
    <w:p w14:paraId="0D0450DC">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0"/>
          <w:sz w:val="32"/>
          <w:szCs w:val="32"/>
          <w:lang w:val="en-US" w:eastAsia="zh-CN" w:bidi="ar"/>
        </w:rPr>
      </w:pPr>
    </w:p>
    <w:p w14:paraId="44CAC7D9">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0"/>
          <w:sz w:val="32"/>
          <w:szCs w:val="32"/>
          <w:lang w:val="en-US" w:eastAsia="zh-CN" w:bidi="ar"/>
        </w:rPr>
      </w:pPr>
    </w:p>
    <w:p w14:paraId="2D7E332F">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（图5：一般公共预算财政拨款支出决算变动情况）</w:t>
      </w:r>
    </w:p>
    <w:p w14:paraId="2140BF0D">
      <w:pPr>
        <w:spacing w:line="600" w:lineRule="exact"/>
        <w:ind w:firstLine="643" w:firstLineChars="200"/>
        <w:outlineLvl w:val="9"/>
        <w:rPr>
          <w:rFonts w:hint="eastAsia" w:ascii="仿宋" w:hAnsi="仿宋" w:eastAsia="仿宋"/>
          <w:b/>
          <w:sz w:val="32"/>
          <w:szCs w:val="32"/>
        </w:rPr>
      </w:pPr>
      <w:bookmarkStart w:id="37" w:name="_Toc15377211"/>
    </w:p>
    <w:p w14:paraId="1BD306C9">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7"/>
    </w:p>
    <w:p w14:paraId="6914E696">
      <w:pPr>
        <w:keepNext w:val="0"/>
        <w:keepLines w:val="0"/>
        <w:widowControl w:val="0"/>
        <w:suppressLineNumbers w:val="0"/>
        <w:spacing w:before="0" w:beforeAutospacing="0" w:after="0" w:afterAutospacing="0"/>
        <w:ind w:left="0" w:right="0" w:firstLine="640" w:firstLineChars="200"/>
        <w:jc w:val="both"/>
        <w:rPr>
          <w:rFonts w:ascii="仿宋" w:hAnsi="仿宋" w:eastAsia="仿宋"/>
          <w:sz w:val="32"/>
          <w:szCs w:val="32"/>
        </w:rPr>
      </w:pPr>
      <w:r>
        <w:rPr>
          <w:rFonts w:hint="eastAsia" w:ascii="仿宋" w:hAnsi="仿宋" w:eastAsia="仿宋"/>
          <w:sz w:val="32"/>
          <w:szCs w:val="32"/>
        </w:rPr>
        <w:t>2023年度一般公共预算财政拨</w:t>
      </w:r>
      <w:r>
        <w:rPr>
          <w:rFonts w:hint="eastAsia" w:ascii="仿宋" w:hAnsi="仿宋" w:eastAsia="仿宋"/>
          <w:sz w:val="32"/>
          <w:szCs w:val="32"/>
          <w:lang w:val="en-US" w:eastAsia="zh-CN"/>
        </w:rPr>
        <w:t>款支出</w:t>
      </w:r>
      <w:r>
        <w:rPr>
          <w:rFonts w:hint="eastAsia" w:ascii="仿宋" w:hAnsi="仿宋" w:eastAsia="仿宋" w:cs="仿宋"/>
          <w:kern w:val="0"/>
          <w:sz w:val="32"/>
          <w:szCs w:val="32"/>
          <w:lang w:val="en-US" w:eastAsia="zh-CN" w:bidi="ar"/>
        </w:rPr>
        <w:t>689.78</w:t>
      </w:r>
      <w:r>
        <w:rPr>
          <w:rFonts w:hint="eastAsia" w:ascii="仿宋" w:hAnsi="仿宋" w:eastAsia="仿宋"/>
          <w:sz w:val="32"/>
          <w:szCs w:val="32"/>
          <w:lang w:val="en-US" w:eastAsia="zh-CN"/>
        </w:rPr>
        <w:t>万元，主要用于以下方面:教育支出545.91万元，占79%；社会保障和就业支出89.64万元，占13%；卫生健康支出21.95万元，占3%；住房保障支出32.29万元，占5%。</w:t>
      </w:r>
    </w:p>
    <w:p w14:paraId="4C95F2C2">
      <w:pPr>
        <w:spacing w:line="600" w:lineRule="exact"/>
        <w:ind w:firstLine="420" w:firstLineChars="200"/>
        <w:jc w:val="center"/>
        <w:rPr>
          <w:rFonts w:hint="eastAsia" w:ascii="仿宋" w:hAnsi="仿宋" w:eastAsia="仿宋"/>
          <w:sz w:val="32"/>
          <w:szCs w:val="32"/>
          <w:highlight w:val="none"/>
        </w:rPr>
      </w:pPr>
      <w:r>
        <w:drawing>
          <wp:anchor distT="0" distB="0" distL="114300" distR="114300" simplePos="0" relativeHeight="251665408" behindDoc="0" locked="0" layoutInCell="1" allowOverlap="1">
            <wp:simplePos x="0" y="0"/>
            <wp:positionH relativeFrom="column">
              <wp:posOffset>522605</wp:posOffset>
            </wp:positionH>
            <wp:positionV relativeFrom="page">
              <wp:posOffset>6028690</wp:posOffset>
            </wp:positionV>
            <wp:extent cx="4408805" cy="2926080"/>
            <wp:effectExtent l="4445" t="5080" r="12065" b="4445"/>
            <wp:wrapTopAndBottom/>
            <wp:docPr id="1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highlight w:val="none"/>
        </w:rPr>
        <w:t>（图6：一般公共预算财政拨款支出决算结构）</w:t>
      </w:r>
    </w:p>
    <w:p w14:paraId="5E755685">
      <w:pPr>
        <w:spacing w:line="600" w:lineRule="exact"/>
        <w:ind w:firstLine="640" w:firstLineChars="200"/>
        <w:rPr>
          <w:rFonts w:hint="eastAsia" w:ascii="仿宋" w:hAnsi="仿宋" w:eastAsia="仿宋"/>
          <w:sz w:val="32"/>
          <w:szCs w:val="32"/>
          <w:highlight w:val="none"/>
        </w:rPr>
      </w:pPr>
    </w:p>
    <w:p w14:paraId="326DDD11">
      <w:pPr>
        <w:spacing w:line="600" w:lineRule="exact"/>
        <w:ind w:firstLine="643" w:firstLineChars="200"/>
        <w:outlineLvl w:val="2"/>
        <w:rPr>
          <w:rFonts w:ascii="仿宋" w:hAnsi="仿宋" w:eastAsia="仿宋"/>
          <w:b/>
          <w:sz w:val="32"/>
          <w:szCs w:val="32"/>
        </w:rPr>
      </w:pPr>
      <w:bookmarkStart w:id="38" w:name="_Toc15377212"/>
      <w:r>
        <w:rPr>
          <w:rFonts w:hint="eastAsia" w:ascii="仿宋" w:hAnsi="仿宋" w:eastAsia="仿宋"/>
          <w:b/>
          <w:sz w:val="32"/>
          <w:szCs w:val="32"/>
        </w:rPr>
        <w:t>（三）一般公共预算财政拨款支出决算具体情况</w:t>
      </w:r>
      <w:bookmarkEnd w:id="38"/>
    </w:p>
    <w:p w14:paraId="4A8506CF">
      <w:pPr>
        <w:spacing w:line="600" w:lineRule="exact"/>
        <w:ind w:firstLine="640"/>
        <w:rPr>
          <w:rFonts w:hint="eastAsia" w:ascii="仿宋" w:hAnsi="仿宋" w:eastAsia="仿宋"/>
          <w:sz w:val="32"/>
          <w:szCs w:val="32"/>
          <w:lang w:val="en-US" w:eastAsia="zh-CN"/>
        </w:rPr>
      </w:pPr>
      <w:bookmarkStart w:id="39" w:name="_Toc15377444"/>
      <w:bookmarkStart w:id="40" w:name="_Toc15378460"/>
      <w:bookmarkStart w:id="41" w:name="_Toc15377213"/>
      <w:r>
        <w:rPr>
          <w:rFonts w:hint="eastAsia" w:ascii="仿宋" w:hAnsi="仿宋" w:eastAsia="仿宋"/>
          <w:sz w:val="32"/>
          <w:szCs w:val="32"/>
          <w:lang w:val="en-US" w:eastAsia="zh-CN"/>
        </w:rPr>
        <w:t>2023年度一般公共预算支出决算数为689.78万元，完成预算100%。其中：</w:t>
      </w:r>
      <w:bookmarkEnd w:id="39"/>
      <w:bookmarkEnd w:id="40"/>
      <w:bookmarkEnd w:id="41"/>
    </w:p>
    <w:p w14:paraId="47B9D43D">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1.教育（205）普通教育（02）学前教育（01）: 支出决算为9.50万元，完成预算100%。</w:t>
      </w:r>
    </w:p>
    <w:p w14:paraId="61142A80">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 教育（205）普通教育（02）小学教育（02）: 支出决算为306.27万元，完成预算100%。</w:t>
      </w:r>
    </w:p>
    <w:p w14:paraId="1CEF2C73">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 教育（205）普通教育（02）初中教育（03）: 支出决算为230.14万元，完成预算100%。</w:t>
      </w:r>
    </w:p>
    <w:p w14:paraId="1092B4C3">
      <w:pPr>
        <w:spacing w:line="600" w:lineRule="exact"/>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4. 社会保障和就业（208）行政事业单位养老支出（05） 事业单位离退休（02）支出决算为0.12万元，完成预算100%。</w:t>
      </w:r>
    </w:p>
    <w:p w14:paraId="1B87C3D0">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5. 社会保障和就业（208）行政事业单位养老支出（05） 机关事业单位基本养老保险缴费支出（05）支出决算为12.91万元，完成预算100%。</w:t>
      </w:r>
    </w:p>
    <w:p w14:paraId="229961FE">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6. 社会保障和就业（208）行政事业单位养老支出（05） 机关事业单位职业年金缴费支出（06）支出决算为12.46万元，完成预算100%。</w:t>
      </w:r>
    </w:p>
    <w:p w14:paraId="2436C369">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7、 社会保障和就业（208）行政事业单位养老支出（05） 其他行政事业单位养老支出（99）支出决算为58.86万元，完成预算100%。</w:t>
      </w:r>
    </w:p>
    <w:p w14:paraId="48A458A7">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8、 社会保障和就业（208）抚恤（08）死亡抚恤（01）支出决算为5.29万元，完成预算100%。</w:t>
      </w:r>
    </w:p>
    <w:p w14:paraId="5C6C2908">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9.卫生健康（210）行政事业单位医疗（11）事业单位医疗（02）:支出决算为21.95万元，完成预算100%。</w:t>
      </w:r>
    </w:p>
    <w:p w14:paraId="6A0243B0">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10.住房保障支出（221）住房改革支出（02）住房公积金（01）:支出决算为32.29万元，完成预算100%。</w:t>
      </w:r>
    </w:p>
    <w:p w14:paraId="54677A5A">
      <w:pPr>
        <w:spacing w:line="600" w:lineRule="exact"/>
        <w:ind w:firstLine="640"/>
        <w:rPr>
          <w:rFonts w:hint="eastAsia" w:ascii="仿宋" w:hAnsi="仿宋" w:eastAsia="仿宋"/>
          <w:sz w:val="32"/>
          <w:szCs w:val="32"/>
          <w:lang w:val="en-US" w:eastAsia="zh-CN"/>
        </w:rPr>
      </w:pPr>
    </w:p>
    <w:p w14:paraId="7C4D7E2B">
      <w:pPr>
        <w:tabs>
          <w:tab w:val="right" w:pos="8306"/>
        </w:tabs>
        <w:spacing w:line="600" w:lineRule="exact"/>
        <w:ind w:firstLine="640"/>
        <w:outlineLvl w:val="1"/>
        <w:rPr>
          <w:rStyle w:val="28"/>
        </w:rPr>
      </w:pPr>
      <w:bookmarkStart w:id="42" w:name="_Toc15377214"/>
      <w:bookmarkStart w:id="43" w:name="_Toc15396608"/>
      <w:bookmarkStart w:id="44" w:name="_Toc2399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2"/>
      <w:bookmarkEnd w:id="43"/>
      <w:bookmarkEnd w:id="44"/>
      <w:r>
        <w:rPr>
          <w:rStyle w:val="28"/>
          <w:rFonts w:ascii="黑体" w:hAnsi="黑体" w:eastAsia="黑体"/>
          <w:b w:val="0"/>
        </w:rPr>
        <w:tab/>
      </w:r>
    </w:p>
    <w:p w14:paraId="65C622A4">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2023年度一般公共预算财政拨款基本支出</w:t>
      </w:r>
      <w:r>
        <w:rPr>
          <w:rFonts w:hint="eastAsia" w:ascii="仿宋" w:hAnsi="仿宋" w:eastAsia="仿宋"/>
          <w:sz w:val="32"/>
          <w:szCs w:val="32"/>
          <w:highlight w:val="none"/>
          <w:lang w:val="en-US" w:eastAsia="zh-CN"/>
        </w:rPr>
        <w:t>654.32</w:t>
      </w:r>
      <w:r>
        <w:rPr>
          <w:rFonts w:hint="eastAsia" w:ascii="仿宋" w:hAnsi="仿宋" w:eastAsia="仿宋"/>
          <w:sz w:val="32"/>
          <w:szCs w:val="32"/>
          <w:lang w:val="en-US" w:eastAsia="zh-CN"/>
        </w:rPr>
        <w:t>万元，其中：</w:t>
      </w:r>
    </w:p>
    <w:p w14:paraId="084D465D">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sz w:val="32"/>
          <w:szCs w:val="32"/>
          <w:lang w:val="en-US" w:eastAsia="zh-CN"/>
        </w:rPr>
        <w:t>人员经费591.73万元，主要包括：基本工资161.97万元、津贴补贴35.17万元、绩效工资114.28万元、机关事业单位基本养老保险缴费12.91万元、职业年金缴费12.46万元、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32.29万元、职工基本医疗保险缴费21.95万元、</w:t>
      </w:r>
      <w:r>
        <w:rPr>
          <w:rFonts w:hint="eastAsia" w:ascii="仿宋" w:hAnsi="仿宋" w:eastAsia="仿宋"/>
          <w:sz w:val="32"/>
          <w:szCs w:val="32"/>
          <w:lang w:val="en-US" w:eastAsia="zh-CN"/>
        </w:rPr>
        <w:t>其他工资福利</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136.27万元</w:t>
      </w:r>
      <w:r>
        <w:rPr>
          <w:rFonts w:hint="eastAsia" w:ascii="仿宋" w:hAnsi="仿宋" w:eastAsia="仿宋"/>
          <w:color w:val="auto"/>
          <w:sz w:val="32"/>
          <w:szCs w:val="32"/>
          <w:highlight w:val="none"/>
        </w:rPr>
        <w:t>、抚恤金</w:t>
      </w:r>
      <w:r>
        <w:rPr>
          <w:rFonts w:hint="eastAsia" w:ascii="仿宋" w:hAnsi="仿宋" w:eastAsia="仿宋"/>
          <w:color w:val="auto"/>
          <w:sz w:val="32"/>
          <w:szCs w:val="32"/>
          <w:highlight w:val="none"/>
          <w:lang w:val="en-US" w:eastAsia="zh-CN"/>
        </w:rPr>
        <w:t>5.29万元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退休费0.12万元、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59.03万元</w:t>
      </w:r>
      <w:r>
        <w:rPr>
          <w:rFonts w:hint="eastAsia" w:ascii="仿宋" w:hAnsi="仿宋" w:eastAsia="仿宋"/>
          <w:color w:val="auto"/>
          <w:sz w:val="32"/>
          <w:szCs w:val="32"/>
          <w:highlight w:val="none"/>
        </w:rPr>
        <w:t>。</w:t>
      </w:r>
    </w:p>
    <w:p w14:paraId="77DB4C83">
      <w:pPr>
        <w:spacing w:line="600" w:lineRule="exact"/>
        <w:ind w:firstLine="640"/>
        <w:outlineLvl w:val="1"/>
        <w:rPr>
          <w:rFonts w:hint="default" w:ascii="仿宋" w:hAnsi="仿宋" w:eastAsia="仿宋"/>
          <w:color w:val="auto"/>
          <w:sz w:val="32"/>
          <w:szCs w:val="32"/>
          <w:highlight w:val="none"/>
          <w:lang w:val="en-US" w:eastAsia="zh-CN"/>
        </w:rPr>
      </w:pPr>
      <w:bookmarkStart w:id="45" w:name="_Toc29038"/>
      <w:bookmarkStart w:id="46" w:name="_Toc15389"/>
      <w:bookmarkStart w:id="47" w:name="_Toc30650"/>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62.59</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25.23万元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2.13万元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0.89万元</w:t>
      </w:r>
      <w:r>
        <w:rPr>
          <w:rFonts w:hint="eastAsia" w:ascii="仿宋" w:hAnsi="仿宋" w:eastAsia="仿宋"/>
          <w:color w:val="auto"/>
          <w:sz w:val="32"/>
          <w:szCs w:val="32"/>
          <w:highlight w:val="none"/>
        </w:rPr>
        <w:t>、物业管理费</w:t>
      </w:r>
      <w:r>
        <w:rPr>
          <w:rFonts w:hint="eastAsia" w:ascii="仿宋" w:hAnsi="仿宋" w:eastAsia="仿宋"/>
          <w:color w:val="auto"/>
          <w:sz w:val="32"/>
          <w:szCs w:val="32"/>
          <w:highlight w:val="none"/>
          <w:lang w:val="en-US" w:eastAsia="zh-CN"/>
        </w:rPr>
        <w:t>0.60万元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2.68万元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2.49万元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会议会</w:t>
      </w:r>
      <w:r>
        <w:rPr>
          <w:rFonts w:hint="eastAsia" w:ascii="仿宋" w:hAnsi="仿宋" w:eastAsia="仿宋"/>
          <w:color w:val="auto"/>
          <w:sz w:val="32"/>
          <w:szCs w:val="32"/>
          <w:highlight w:val="none"/>
        </w:rPr>
        <w:t>0.98</w:t>
      </w:r>
      <w:r>
        <w:rPr>
          <w:rFonts w:hint="eastAsia" w:ascii="仿宋" w:hAnsi="仿宋" w:eastAsia="仿宋"/>
          <w:color w:val="auto"/>
          <w:sz w:val="32"/>
          <w:szCs w:val="32"/>
          <w:highlight w:val="none"/>
          <w:lang w:val="en-US" w:eastAsia="zh-CN"/>
        </w:rPr>
        <w:t>万元、</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val="en-US" w:eastAsia="zh-CN"/>
        </w:rPr>
        <w:t>0.23万元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0.71万元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7.63万元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8.58万元、其他交通费用0.04万元、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10.41万元</w:t>
      </w:r>
      <w:r>
        <w:rPr>
          <w:rFonts w:hint="eastAsia" w:ascii="仿宋" w:hAnsi="仿宋" w:eastAsia="仿宋"/>
          <w:color w:val="auto"/>
          <w:sz w:val="32"/>
          <w:szCs w:val="32"/>
          <w:highlight w:val="none"/>
        </w:rPr>
        <w:t>。</w:t>
      </w:r>
      <w:bookmarkEnd w:id="45"/>
      <w:bookmarkEnd w:id="46"/>
      <w:bookmarkEnd w:id="47"/>
    </w:p>
    <w:p w14:paraId="4394B6DD">
      <w:pPr>
        <w:spacing w:line="600" w:lineRule="exact"/>
        <w:ind w:firstLine="640"/>
        <w:outlineLvl w:val="9"/>
        <w:rPr>
          <w:rFonts w:hint="eastAsia" w:ascii="仿宋" w:hAnsi="仿宋" w:eastAsia="仿宋"/>
          <w:color w:val="auto"/>
          <w:sz w:val="32"/>
          <w:szCs w:val="32"/>
          <w:highlight w:val="none"/>
        </w:rPr>
      </w:pPr>
    </w:p>
    <w:p w14:paraId="0B2A8166">
      <w:pPr>
        <w:spacing w:line="600" w:lineRule="exact"/>
        <w:ind w:firstLine="640"/>
        <w:outlineLvl w:val="1"/>
        <w:rPr>
          <w:rStyle w:val="28"/>
          <w:rFonts w:ascii="黑体" w:hAnsi="黑体" w:eastAsia="黑体"/>
          <w:b w:val="0"/>
        </w:rPr>
      </w:pPr>
      <w:bookmarkStart w:id="48" w:name="_Toc15396609"/>
      <w:bookmarkStart w:id="49" w:name="_Toc15377215"/>
      <w:bookmarkStart w:id="50" w:name="_Toc21074"/>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48"/>
      <w:bookmarkEnd w:id="49"/>
      <w:bookmarkEnd w:id="50"/>
    </w:p>
    <w:p w14:paraId="29753CFF">
      <w:pPr>
        <w:spacing w:line="600" w:lineRule="exact"/>
        <w:ind w:firstLine="640"/>
        <w:outlineLvl w:val="2"/>
        <w:rPr>
          <w:rFonts w:ascii="仿宋" w:hAnsi="仿宋" w:eastAsia="仿宋"/>
          <w:b/>
          <w:sz w:val="32"/>
          <w:szCs w:val="32"/>
        </w:rPr>
      </w:pPr>
      <w:bookmarkStart w:id="51" w:name="_Toc15377216"/>
      <w:r>
        <w:rPr>
          <w:rFonts w:hint="eastAsia" w:ascii="仿宋" w:hAnsi="仿宋" w:eastAsia="仿宋"/>
          <w:b/>
          <w:sz w:val="32"/>
          <w:szCs w:val="32"/>
        </w:rPr>
        <w:t>（一）“三公”经费财政拨款支出决算总体情况说明</w:t>
      </w:r>
      <w:bookmarkEnd w:id="51"/>
    </w:p>
    <w:p w14:paraId="292DEEA3">
      <w:pPr>
        <w:spacing w:line="600" w:lineRule="exact"/>
        <w:ind w:firstLine="640"/>
        <w:rPr>
          <w:rFonts w:hint="default" w:ascii="仿宋" w:hAnsi="仿宋" w:eastAsia="仿宋"/>
          <w:sz w:val="32"/>
          <w:szCs w:val="32"/>
          <w:lang w:val="en-US" w:eastAsia="zh-CN"/>
        </w:rPr>
      </w:pPr>
      <w:r>
        <w:rPr>
          <w:rFonts w:hint="eastAsia" w:ascii="仿宋" w:hAnsi="仿宋" w:eastAsia="仿宋"/>
          <w:sz w:val="32"/>
          <w:szCs w:val="32"/>
        </w:rPr>
        <w:t>2023年度“三公”经费财政拨款支出决</w:t>
      </w:r>
      <w:r>
        <w:rPr>
          <w:rFonts w:hint="eastAsia" w:ascii="仿宋" w:hAnsi="仿宋" w:eastAsia="仿宋"/>
          <w:sz w:val="32"/>
          <w:szCs w:val="32"/>
          <w:lang w:val="en-US" w:eastAsia="zh-CN"/>
        </w:rPr>
        <w:t>算为0万元，完成预算0%，与上年一致，决算与预算一致。</w:t>
      </w:r>
    </w:p>
    <w:p w14:paraId="28ED7481">
      <w:pPr>
        <w:spacing w:line="600" w:lineRule="exact"/>
        <w:ind w:firstLine="640"/>
        <w:outlineLvl w:val="9"/>
        <w:rPr>
          <w:rFonts w:hint="eastAsia" w:ascii="仿宋" w:hAnsi="仿宋" w:eastAsia="仿宋"/>
          <w:b/>
          <w:sz w:val="32"/>
          <w:szCs w:val="32"/>
        </w:rPr>
      </w:pPr>
      <w:bookmarkStart w:id="52" w:name="_Toc15377217"/>
    </w:p>
    <w:p w14:paraId="0CD6A5F4">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52"/>
    </w:p>
    <w:p w14:paraId="2FC8A355">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2023年度“三公”经费财政拨款支出决算中</w:t>
      </w:r>
      <w:r>
        <w:rPr>
          <w:rFonts w:hint="eastAsia" w:ascii="仿宋" w:hAnsi="仿宋" w:eastAsia="仿宋"/>
          <w:sz w:val="32"/>
          <w:szCs w:val="32"/>
          <w:highlight w:val="none"/>
        </w:rPr>
        <w:t>，因公出国（境）费支出</w:t>
      </w:r>
      <w:r>
        <w:rPr>
          <w:rFonts w:hint="eastAsia" w:ascii="仿宋" w:hAnsi="仿宋" w:eastAsia="仿宋"/>
          <w:sz w:val="32"/>
          <w:szCs w:val="32"/>
          <w:lang w:val="en-US" w:eastAsia="zh-CN"/>
        </w:rPr>
        <w:t>决算0万元，占0%；公务用车购置及运行维护费支出决算0万元，占0%；公务接待费支出决算0万元，占0%。具体情况如下：</w:t>
      </w:r>
    </w:p>
    <w:p w14:paraId="1934D1A3">
      <w:pPr>
        <w:spacing w:line="600" w:lineRule="exact"/>
        <w:ind w:firstLine="640"/>
        <w:rPr>
          <w:rFonts w:hint="eastAsia" w:ascii="仿宋" w:hAnsi="仿宋" w:eastAsia="仿宋"/>
          <w:sz w:val="32"/>
          <w:szCs w:val="32"/>
          <w:highlight w:val="none"/>
        </w:rPr>
      </w:pPr>
    </w:p>
    <w:p w14:paraId="4260F857">
      <w:pPr>
        <w:spacing w:line="240" w:lineRule="auto"/>
        <w:ind w:firstLine="0"/>
        <w:rPr>
          <w:rFonts w:hint="eastAsia" w:ascii="仿宋" w:hAnsi="仿宋" w:eastAsia="仿宋"/>
          <w:sz w:val="32"/>
          <w:szCs w:val="32"/>
          <w:highlight w:val="yellow"/>
        </w:rPr>
      </w:pPr>
      <w:r>
        <w:drawing>
          <wp:inline distT="0" distB="0" distL="114300" distR="114300">
            <wp:extent cx="5238115" cy="2828925"/>
            <wp:effectExtent l="4445" t="4445" r="15240"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188DB6">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（图7：“三公”经费财政拨款支出结构）</w:t>
      </w:r>
    </w:p>
    <w:p w14:paraId="7349F9C9">
      <w:pPr>
        <w:spacing w:line="600" w:lineRule="exact"/>
        <w:ind w:firstLine="640"/>
        <w:rPr>
          <w:rFonts w:ascii="仿宋_GB2312" w:eastAsia="仿宋_GB2312"/>
          <w:color w:val="auto"/>
          <w:sz w:val="32"/>
          <w:szCs w:val="32"/>
          <w:highlight w:val="none"/>
        </w:rPr>
      </w:pPr>
      <w:bookmarkStart w:id="53" w:name="_Toc15377218"/>
      <w:bookmarkStart w:id="54" w:name="_Toc15396610"/>
      <w:r>
        <w:rPr>
          <w:rFonts w:ascii="仿宋_GB2312" w:eastAsia="仿宋_GB2312"/>
          <w:color w:val="auto"/>
          <w:sz w:val="32"/>
          <w:szCs w:val="32"/>
          <w:highlight w:val="none"/>
        </w:rPr>
        <w:t>1.</w:t>
      </w:r>
      <w:r>
        <w:rPr>
          <w:rFonts w:hint="eastAsia" w:ascii="仿宋_GB2312" w:eastAsia="仿宋_GB2312"/>
          <w:color w:val="auto"/>
          <w:sz w:val="32"/>
          <w:szCs w:val="32"/>
          <w:highlight w:val="none"/>
        </w:rPr>
        <w:t>因公出国（境）经费支出</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万元，完成预算</w:t>
      </w:r>
      <w:r>
        <w:rPr>
          <w:rFonts w:ascii="仿宋_GB2312" w:eastAsia="仿宋_GB2312"/>
          <w:color w:val="auto"/>
          <w:sz w:val="32"/>
          <w:szCs w:val="32"/>
          <w:highlight w:val="none"/>
        </w:rPr>
        <w:t>0%</w:t>
      </w:r>
      <w:r>
        <w:rPr>
          <w:rFonts w:hint="eastAsia" w:ascii="仿宋_GB2312" w:eastAsia="仿宋_GB2312"/>
          <w:color w:val="auto"/>
          <w:sz w:val="32"/>
          <w:szCs w:val="32"/>
          <w:highlight w:val="none"/>
        </w:rPr>
        <w:t>。全年安排因公出国（境）团组</w:t>
      </w:r>
      <w:r>
        <w:rPr>
          <w:rFonts w:ascii="仿宋_GB2312" w:eastAsia="仿宋_GB2312"/>
          <w:color w:val="auto"/>
          <w:sz w:val="32"/>
          <w:szCs w:val="32"/>
          <w:highlight w:val="none"/>
        </w:rPr>
        <w:t>0</w:t>
      </w:r>
      <w:r>
        <w:rPr>
          <w:rFonts w:hint="eastAsia" w:ascii="仿宋_GB2312" w:eastAsia="仿宋_GB2312"/>
          <w:color w:val="auto"/>
          <w:sz w:val="32"/>
          <w:szCs w:val="32"/>
          <w:highlight w:val="none"/>
        </w:rPr>
        <w:t>次，出国（境）</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一致</w:t>
      </w:r>
      <w:r>
        <w:rPr>
          <w:rFonts w:hint="eastAsia" w:ascii="仿宋_GB2312" w:eastAsia="仿宋_GB2312"/>
          <w:color w:val="auto"/>
          <w:sz w:val="32"/>
          <w:szCs w:val="32"/>
          <w:highlight w:val="none"/>
        </w:rPr>
        <w:t>。</w:t>
      </w:r>
    </w:p>
    <w:p w14:paraId="4A895FB5">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公务用车购置及运行维护费支出</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万元,完成预算</w:t>
      </w:r>
      <w:r>
        <w:rPr>
          <w:rFonts w:ascii="仿宋_GB2312" w:eastAsia="仿宋_GB2312"/>
          <w:color w:val="auto"/>
          <w:sz w:val="32"/>
          <w:szCs w:val="32"/>
          <w:highlight w:val="none"/>
        </w:rPr>
        <w:t>0%</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与2022年一致</w:t>
      </w:r>
      <w:r>
        <w:rPr>
          <w:rFonts w:hint="eastAsia" w:ascii="仿宋_GB2312" w:eastAsia="仿宋_GB2312"/>
          <w:color w:val="auto"/>
          <w:sz w:val="32"/>
          <w:szCs w:val="32"/>
          <w:highlight w:val="none"/>
        </w:rPr>
        <w:t>。</w:t>
      </w:r>
    </w:p>
    <w:p w14:paraId="472234CB">
      <w:pPr>
        <w:spacing w:line="600" w:lineRule="exact"/>
        <w:ind w:firstLine="640"/>
        <w:rPr>
          <w:rFonts w:ascii="仿宋_GB2312" w:eastAsia="仿宋_GB2312"/>
          <w:b/>
          <w:sz w:val="32"/>
          <w:szCs w:val="32"/>
          <w:highlight w:val="yellow"/>
        </w:rPr>
      </w:pPr>
      <w:r>
        <w:rPr>
          <w:rFonts w:hint="eastAsia" w:ascii="仿宋_GB2312" w:eastAsia="仿宋_GB2312"/>
          <w:color w:val="auto"/>
          <w:sz w:val="32"/>
          <w:szCs w:val="32"/>
          <w:highlight w:val="none"/>
        </w:rPr>
        <w:t>其中：公务用车购置支出</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。截至2023年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月31日，单位共有公务用车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56292A6">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公务用车运行维护费支出0万元。</w:t>
      </w:r>
    </w:p>
    <w:p w14:paraId="0E0C3C96">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万元，完成预算100%。公务接待费支出决算</w:t>
      </w:r>
      <w:r>
        <w:rPr>
          <w:rFonts w:hint="eastAsia" w:ascii="仿宋_GB2312" w:eastAsia="仿宋_GB2312"/>
          <w:color w:val="auto"/>
          <w:sz w:val="32"/>
          <w:szCs w:val="32"/>
          <w:highlight w:val="none"/>
          <w:lang w:val="en-US" w:eastAsia="zh-CN"/>
        </w:rPr>
        <w:t>与</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22一致</w:t>
      </w:r>
      <w:r>
        <w:rPr>
          <w:rFonts w:hint="eastAsia" w:ascii="仿宋_GB2312" w:eastAsia="仿宋_GB2312"/>
          <w:color w:val="auto"/>
          <w:sz w:val="32"/>
          <w:szCs w:val="32"/>
          <w:highlight w:val="none"/>
        </w:rPr>
        <w:t>。其中：</w:t>
      </w:r>
    </w:p>
    <w:p w14:paraId="35FDE283">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国内公务接待支出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6067B0E">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外事接待支出0万元。外事接待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5A7D6FF">
      <w:pPr>
        <w:spacing w:line="600" w:lineRule="exact"/>
        <w:ind w:firstLine="640"/>
        <w:outlineLvl w:val="1"/>
        <w:rPr>
          <w:rFonts w:hint="eastAsia" w:ascii="黑体" w:eastAsia="黑体"/>
          <w:sz w:val="32"/>
          <w:szCs w:val="32"/>
        </w:rPr>
      </w:pPr>
      <w:bookmarkStart w:id="55" w:name="_Toc26560"/>
    </w:p>
    <w:p w14:paraId="1159E131">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53"/>
      <w:bookmarkEnd w:id="54"/>
      <w:bookmarkEnd w:id="55"/>
    </w:p>
    <w:p w14:paraId="70743175">
      <w:pPr>
        <w:spacing w:line="600" w:lineRule="exact"/>
        <w:ind w:firstLine="640"/>
        <w:rPr>
          <w:rFonts w:hint="eastAsia" w:ascii="仿宋_GB2312" w:eastAsia="仿宋_GB2312"/>
          <w:sz w:val="32"/>
          <w:szCs w:val="32"/>
        </w:rPr>
      </w:pPr>
      <w:r>
        <w:rPr>
          <w:rFonts w:hint="eastAsia" w:ascii="仿宋_GB2312" w:eastAsia="仿宋_GB2312"/>
          <w:sz w:val="32"/>
          <w:szCs w:val="32"/>
        </w:rPr>
        <w:t>2023年度政府性基金预算财政拨款支出</w:t>
      </w:r>
      <w:r>
        <w:rPr>
          <w:rFonts w:hint="eastAsia" w:ascii="仿宋" w:hAnsi="仿宋" w:eastAsia="仿宋"/>
          <w:sz w:val="32"/>
          <w:szCs w:val="32"/>
          <w:lang w:val="en-US" w:eastAsia="zh-CN"/>
        </w:rPr>
        <w:t>0万</w:t>
      </w:r>
      <w:r>
        <w:rPr>
          <w:rFonts w:hint="eastAsia" w:ascii="仿宋_GB2312" w:eastAsia="仿宋_GB2312"/>
          <w:sz w:val="32"/>
          <w:szCs w:val="32"/>
        </w:rPr>
        <w:t>元。</w:t>
      </w:r>
    </w:p>
    <w:p w14:paraId="03030319">
      <w:pPr>
        <w:spacing w:line="600" w:lineRule="exact"/>
        <w:ind w:firstLine="640"/>
        <w:rPr>
          <w:rFonts w:hint="eastAsia" w:ascii="仿宋_GB2312" w:eastAsia="仿宋_GB2312"/>
          <w:sz w:val="32"/>
          <w:szCs w:val="32"/>
        </w:rPr>
      </w:pPr>
    </w:p>
    <w:p w14:paraId="6C1A76BC">
      <w:pPr>
        <w:numPr>
          <w:ilvl w:val="0"/>
          <w:numId w:val="3"/>
        </w:numPr>
        <w:spacing w:line="600" w:lineRule="exact"/>
        <w:ind w:firstLine="640"/>
        <w:outlineLvl w:val="1"/>
        <w:rPr>
          <w:rStyle w:val="28"/>
          <w:rFonts w:ascii="黑体" w:hAnsi="黑体" w:eastAsia="黑体"/>
          <w:b w:val="0"/>
        </w:rPr>
      </w:pPr>
      <w:bookmarkStart w:id="56" w:name="_Toc7002"/>
      <w:bookmarkStart w:id="57" w:name="_Toc15377219"/>
      <w:bookmarkStart w:id="58" w:name="_Toc15396611"/>
      <w:r>
        <w:rPr>
          <w:rStyle w:val="28"/>
          <w:rFonts w:hint="eastAsia" w:ascii="黑体" w:hAnsi="黑体" w:eastAsia="黑体"/>
          <w:b w:val="0"/>
        </w:rPr>
        <w:t>国有资本经营预算支出决算情况说明</w:t>
      </w:r>
      <w:bookmarkEnd w:id="56"/>
      <w:bookmarkEnd w:id="57"/>
      <w:bookmarkEnd w:id="58"/>
    </w:p>
    <w:p w14:paraId="021B4A09">
      <w:pPr>
        <w:spacing w:line="600" w:lineRule="exact"/>
        <w:ind w:firstLine="640"/>
        <w:rPr>
          <w:rFonts w:hint="eastAsia" w:ascii="仿宋_GB2312" w:eastAsia="仿宋_GB2312"/>
          <w:sz w:val="32"/>
          <w:szCs w:val="32"/>
        </w:rPr>
      </w:pPr>
      <w:r>
        <w:rPr>
          <w:rFonts w:hint="eastAsia" w:ascii="仿宋_GB2312" w:eastAsia="仿宋_GB2312"/>
          <w:sz w:val="32"/>
          <w:szCs w:val="32"/>
        </w:rPr>
        <w:t>2023年度国有资本经营预算财政拨款支出</w:t>
      </w:r>
      <w:r>
        <w:rPr>
          <w:rFonts w:hint="eastAsia" w:ascii="仿宋" w:hAnsi="仿宋" w:eastAsia="仿宋"/>
          <w:sz w:val="32"/>
          <w:szCs w:val="32"/>
          <w:lang w:val="en-US" w:eastAsia="zh-CN"/>
        </w:rPr>
        <w:t>0</w:t>
      </w:r>
      <w:r>
        <w:rPr>
          <w:rFonts w:hint="eastAsia" w:ascii="仿宋_GB2312" w:eastAsia="仿宋_GB2312"/>
          <w:sz w:val="32"/>
          <w:szCs w:val="32"/>
        </w:rPr>
        <w:t>万元。</w:t>
      </w:r>
    </w:p>
    <w:p w14:paraId="0C1D70C2">
      <w:pPr>
        <w:spacing w:line="600" w:lineRule="exact"/>
        <w:ind w:firstLine="640"/>
        <w:rPr>
          <w:rFonts w:hint="eastAsia" w:ascii="仿宋_GB2312" w:eastAsia="仿宋_GB2312"/>
          <w:sz w:val="32"/>
          <w:szCs w:val="32"/>
        </w:rPr>
      </w:pPr>
    </w:p>
    <w:p w14:paraId="5342E10A">
      <w:pPr>
        <w:numPr>
          <w:ilvl w:val="0"/>
          <w:numId w:val="3"/>
        </w:numPr>
        <w:spacing w:line="600" w:lineRule="exact"/>
        <w:ind w:firstLine="640"/>
        <w:outlineLvl w:val="1"/>
        <w:rPr>
          <w:rStyle w:val="28"/>
          <w:rFonts w:ascii="黑体" w:hAnsi="黑体" w:eastAsia="黑体"/>
          <w:b w:val="0"/>
        </w:rPr>
      </w:pPr>
      <w:bookmarkStart w:id="59" w:name="_Toc15377221"/>
      <w:bookmarkStart w:id="60" w:name="_Toc4176"/>
      <w:bookmarkStart w:id="61" w:name="_Toc15396612"/>
      <w:r>
        <w:rPr>
          <w:rStyle w:val="28"/>
          <w:rFonts w:hint="eastAsia" w:ascii="黑体" w:hAnsi="黑体" w:eastAsia="黑体"/>
          <w:b w:val="0"/>
        </w:rPr>
        <w:t>其他重要事项的情况说明</w:t>
      </w:r>
      <w:bookmarkEnd w:id="59"/>
      <w:bookmarkEnd w:id="60"/>
      <w:bookmarkEnd w:id="61"/>
    </w:p>
    <w:p w14:paraId="1AD77CEF">
      <w:pPr>
        <w:spacing w:line="600" w:lineRule="exact"/>
        <w:ind w:firstLine="643" w:firstLineChars="200"/>
        <w:outlineLvl w:val="2"/>
        <w:rPr>
          <w:rFonts w:ascii="仿宋" w:hAnsi="仿宋" w:eastAsia="仿宋"/>
          <w:sz w:val="32"/>
          <w:szCs w:val="32"/>
        </w:rPr>
      </w:pPr>
      <w:bookmarkStart w:id="62" w:name="_Toc15377222"/>
      <w:r>
        <w:rPr>
          <w:rFonts w:hint="eastAsia" w:ascii="仿宋" w:hAnsi="仿宋" w:eastAsia="仿宋"/>
          <w:b/>
          <w:sz w:val="32"/>
          <w:szCs w:val="32"/>
        </w:rPr>
        <w:t>（一）机关运行经费支出情况</w:t>
      </w:r>
      <w:bookmarkEnd w:id="62"/>
    </w:p>
    <w:p w14:paraId="3AC477D4">
      <w:pPr>
        <w:spacing w:line="600" w:lineRule="exact"/>
        <w:ind w:firstLine="640" w:firstLineChars="200"/>
        <w:rPr>
          <w:rFonts w:ascii="仿宋" w:hAnsi="仿宋" w:eastAsia="仿宋"/>
          <w:b/>
          <w:sz w:val="32"/>
          <w:szCs w:val="32"/>
        </w:rPr>
      </w:pPr>
      <w:r>
        <w:rPr>
          <w:rFonts w:hint="eastAsia" w:ascii="仿宋_GB2312" w:eastAsia="仿宋_GB2312"/>
          <w:color w:val="auto"/>
          <w:sz w:val="32"/>
          <w:szCs w:val="32"/>
        </w:rPr>
        <w:t>我单位为事业单位（学校），执行政府会计制度，无机关运行经费。</w:t>
      </w:r>
    </w:p>
    <w:p w14:paraId="205560A3">
      <w:pPr>
        <w:autoSpaceDE w:val="0"/>
        <w:autoSpaceDN w:val="0"/>
        <w:adjustRightInd w:val="0"/>
        <w:spacing w:line="600" w:lineRule="exact"/>
        <w:ind w:firstLine="643" w:firstLineChars="200"/>
        <w:jc w:val="left"/>
        <w:outlineLvl w:val="2"/>
        <w:rPr>
          <w:rFonts w:ascii="仿宋" w:hAnsi="仿宋" w:eastAsia="仿宋"/>
          <w:b/>
          <w:sz w:val="32"/>
          <w:szCs w:val="32"/>
        </w:rPr>
      </w:pPr>
      <w:bookmarkStart w:id="63" w:name="_Toc15377223"/>
      <w:r>
        <w:rPr>
          <w:rFonts w:hint="eastAsia" w:ascii="仿宋" w:hAnsi="仿宋" w:eastAsia="仿宋"/>
          <w:b/>
          <w:sz w:val="32"/>
          <w:szCs w:val="32"/>
        </w:rPr>
        <w:t>（二）政府采购支出情况</w:t>
      </w:r>
      <w:bookmarkEnd w:id="63"/>
    </w:p>
    <w:p w14:paraId="481903F1">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2023年度，</w:t>
      </w:r>
      <w:r>
        <w:rPr>
          <w:rFonts w:hint="eastAsia" w:ascii="仿宋_GB2312" w:eastAsia="仿宋_GB2312"/>
          <w:color w:val="auto"/>
          <w:sz w:val="32"/>
          <w:szCs w:val="32"/>
          <w:lang w:val="en-US" w:eastAsia="zh-CN"/>
        </w:rPr>
        <w:t>大竹县童家镇第二中心小学</w:t>
      </w:r>
      <w:r>
        <w:rPr>
          <w:rFonts w:hint="eastAsia" w:ascii="仿宋_GB2312" w:eastAsia="仿宋_GB2312"/>
          <w:color w:val="auto"/>
          <w:sz w:val="32"/>
          <w:szCs w:val="32"/>
        </w:rPr>
        <w:t>政府采购支出总额0万元，其中：政府采购货物支出0万元、政府采购工程支出0万元、政府采购服务支出0万元。</w:t>
      </w:r>
    </w:p>
    <w:p w14:paraId="74C9C42C">
      <w:pPr>
        <w:autoSpaceDE w:val="0"/>
        <w:autoSpaceDN w:val="0"/>
        <w:adjustRightInd w:val="0"/>
        <w:spacing w:line="600" w:lineRule="exact"/>
        <w:ind w:firstLine="643" w:firstLineChars="200"/>
        <w:jc w:val="left"/>
        <w:outlineLvl w:val="2"/>
        <w:rPr>
          <w:rFonts w:ascii="仿宋" w:hAnsi="仿宋" w:eastAsia="仿宋"/>
          <w:b/>
          <w:sz w:val="32"/>
          <w:szCs w:val="32"/>
        </w:rPr>
      </w:pPr>
      <w:bookmarkStart w:id="64" w:name="_Toc15377224"/>
      <w:r>
        <w:rPr>
          <w:rFonts w:hint="eastAsia" w:ascii="仿宋" w:hAnsi="仿宋" w:eastAsia="仿宋"/>
          <w:b/>
          <w:sz w:val="32"/>
          <w:szCs w:val="32"/>
        </w:rPr>
        <w:t>（三）国有资产占有使用情况</w:t>
      </w:r>
      <w:bookmarkEnd w:id="64"/>
    </w:p>
    <w:p w14:paraId="21DB92EA">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sz w:val="32"/>
          <w:szCs w:val="32"/>
          <w:lang w:eastAsia="zh-CN"/>
        </w:rPr>
        <w:t>大竹县童家镇第二中心小学</w:t>
      </w:r>
      <w:r>
        <w:rPr>
          <w:rFonts w:hint="eastAsia" w:ascii="仿宋_GB2312" w:eastAsia="仿宋_GB2312"/>
          <w:color w:val="000000"/>
          <w:sz w:val="32"/>
          <w:szCs w:val="32"/>
        </w:rPr>
        <w:t>共有车辆0辆，其中：主要领导干部用车0辆、机要通信用车0辆、应急保障用车0辆、其他用车0辆、其他用车0辆。单价50万元以上通用设备0台（套），单价100万元以上专用设备0台（套）。</w:t>
      </w:r>
    </w:p>
    <w:p w14:paraId="048B175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552A72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营养餐和校舍维修</w:t>
      </w:r>
      <w:r>
        <w:rPr>
          <w:rFonts w:hint="eastAsia" w:ascii="仿宋_GB2312" w:eastAsia="仿宋_GB2312"/>
          <w:sz w:val="32"/>
          <w:szCs w:val="32"/>
        </w:rPr>
        <w:t>项目等</w:t>
      </w:r>
      <w:r>
        <w:rPr>
          <w:rFonts w:hint="eastAsia" w:ascii="仿宋_GB2312" w:eastAsia="仿宋_GB2312"/>
          <w:sz w:val="32"/>
          <w:szCs w:val="32"/>
          <w:lang w:val="en-US" w:eastAsia="zh-CN"/>
        </w:rPr>
        <w:t>4</w:t>
      </w:r>
      <w:r>
        <w:rPr>
          <w:rFonts w:hint="eastAsia" w:ascii="仿宋_GB2312" w:eastAsia="仿宋_GB2312"/>
          <w:sz w:val="32"/>
          <w:szCs w:val="32"/>
        </w:rPr>
        <w:t>个项目编制了绩效目标</w:t>
      </w:r>
      <w:r>
        <w:rPr>
          <w:rFonts w:hint="eastAsia" w:ascii="仿宋_GB2312" w:eastAsia="仿宋_GB2312"/>
          <w:sz w:val="32"/>
          <w:szCs w:val="32"/>
          <w:lang w:val="en-US" w:eastAsia="zh-CN"/>
        </w:rPr>
        <w:t>对</w:t>
      </w:r>
      <w:r>
        <w:rPr>
          <w:rFonts w:hint="eastAsia" w:ascii="仿宋_GB2312" w:eastAsia="仿宋_GB2312"/>
          <w:sz w:val="32"/>
          <w:szCs w:val="32"/>
        </w:rPr>
        <w:t>开展绩效监控，</w:t>
      </w:r>
      <w:r>
        <w:rPr>
          <w:rFonts w:hint="eastAsia" w:ascii="仿宋_GB2312" w:eastAsia="仿宋_GB2312"/>
          <w:sz w:val="32"/>
          <w:szCs w:val="32"/>
          <w:lang w:val="en-US" w:eastAsia="zh-CN"/>
        </w:rPr>
        <w:t>和</w:t>
      </w:r>
      <w:r>
        <w:rPr>
          <w:rFonts w:hint="eastAsia" w:ascii="仿宋_GB2312" w:eastAsia="仿宋_GB2312"/>
          <w:sz w:val="32"/>
          <w:szCs w:val="32"/>
        </w:rPr>
        <w:t>绩效自评，绩效自评表详见第四部分附件。</w:t>
      </w:r>
    </w:p>
    <w:p w14:paraId="2A3CC61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br w:type="page"/>
      </w:r>
    </w:p>
    <w:p w14:paraId="220C1178">
      <w:pPr>
        <w:numPr>
          <w:ilvl w:val="0"/>
          <w:numId w:val="4"/>
        </w:numPr>
        <w:spacing w:line="600" w:lineRule="exact"/>
        <w:ind w:firstLine="660" w:firstLineChars="150"/>
        <w:jc w:val="center"/>
        <w:outlineLvl w:val="0"/>
        <w:rPr>
          <w:rStyle w:val="27"/>
          <w:rFonts w:ascii="黑体" w:hAnsi="黑体" w:eastAsia="黑体"/>
          <w:b w:val="0"/>
        </w:rPr>
      </w:pPr>
      <w:bookmarkStart w:id="65" w:name="_Toc15377225"/>
      <w:bookmarkStart w:id="66" w:name="_Toc15396613"/>
      <w:bookmarkStart w:id="67" w:name="_Toc32723"/>
      <w:r>
        <w:rPr>
          <w:rFonts w:hint="eastAsia" w:ascii="黑体" w:hAnsi="黑体" w:eastAsia="黑体"/>
          <w:sz w:val="44"/>
          <w:szCs w:val="44"/>
        </w:rPr>
        <w:t>名</w:t>
      </w:r>
      <w:r>
        <w:rPr>
          <w:rStyle w:val="27"/>
          <w:rFonts w:hint="eastAsia" w:ascii="黑体" w:hAnsi="黑体" w:eastAsia="黑体"/>
          <w:b w:val="0"/>
        </w:rPr>
        <w:t>词解释</w:t>
      </w:r>
      <w:bookmarkEnd w:id="65"/>
      <w:bookmarkEnd w:id="66"/>
      <w:bookmarkEnd w:id="67"/>
    </w:p>
    <w:p w14:paraId="5617A432">
      <w:pPr>
        <w:spacing w:line="600" w:lineRule="exact"/>
        <w:jc w:val="left"/>
        <w:rPr>
          <w:rFonts w:ascii="宋体"/>
          <w:b/>
          <w:sz w:val="44"/>
          <w:szCs w:val="44"/>
        </w:rPr>
      </w:pPr>
    </w:p>
    <w:p w14:paraId="6F6E6C1E">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1.财政拨款收入：指单位从同级财政部门取得的财政预算资金。</w:t>
      </w:r>
    </w:p>
    <w:p w14:paraId="446C54FD">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2.事业收入：指事业单位开展专业业务活动及辅助活动取得的收入。</w:t>
      </w:r>
    </w:p>
    <w:p w14:paraId="641ACE67">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 xml:space="preserve">3.年初结转和结余：指以前年度尚未完成、结转到本年按有关规定继续使用的资金。 </w:t>
      </w:r>
    </w:p>
    <w:p w14:paraId="08453CA5">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4.结余分配：指事业单位按照事业单位会计制度的规定从非财政补助结余中分配的事业基金和职工福利基金等。</w:t>
      </w:r>
    </w:p>
    <w:p w14:paraId="5D8C72F2">
      <w:pPr>
        <w:ind w:firstLine="640" w:firstLineChars="200"/>
        <w:rPr>
          <w:rFonts w:hint="eastAsia"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5、年末结转和结余：指单位按有关规定结转到下年或以后年度继续使用的资金。</w:t>
      </w:r>
    </w:p>
    <w:p w14:paraId="286AECF8">
      <w:pPr>
        <w:ind w:firstLine="640" w:firstLineChars="200"/>
      </w:pPr>
      <w:r>
        <w:rPr>
          <w:rFonts w:hint="eastAsia" w:ascii="仿宋_GB2312" w:hAnsi="Calibri" w:eastAsia="仿宋_GB2312" w:cs="仿宋"/>
          <w:color w:val="auto"/>
          <w:kern w:val="0"/>
          <w:sz w:val="32"/>
          <w:szCs w:val="32"/>
        </w:rPr>
        <w:t>6.教育（205）基础教育（02）</w:t>
      </w:r>
      <w:r>
        <w:rPr>
          <w:rFonts w:hint="eastAsia" w:ascii="仿宋_GB2312" w:hAnsi="Calibri" w:eastAsia="仿宋_GB2312" w:cs="仿宋"/>
          <w:color w:val="auto"/>
          <w:kern w:val="0"/>
          <w:sz w:val="32"/>
          <w:szCs w:val="32"/>
          <w:lang w:val="en-US" w:eastAsia="zh-CN"/>
        </w:rPr>
        <w:t>学前</w:t>
      </w:r>
      <w:r>
        <w:rPr>
          <w:rFonts w:hint="eastAsia" w:ascii="仿宋_GB2312" w:hAnsi="Calibri" w:eastAsia="仿宋_GB2312" w:cs="仿宋"/>
          <w:color w:val="auto"/>
          <w:kern w:val="0"/>
          <w:sz w:val="32"/>
          <w:szCs w:val="32"/>
        </w:rPr>
        <w:t>教育（0</w:t>
      </w:r>
      <w:r>
        <w:rPr>
          <w:rFonts w:hint="eastAsia" w:ascii="仿宋_GB2312" w:hAnsi="Calibri" w:eastAsia="仿宋_GB2312" w:cs="仿宋"/>
          <w:color w:val="auto"/>
          <w:kern w:val="0"/>
          <w:sz w:val="32"/>
          <w:szCs w:val="32"/>
          <w:lang w:val="en-US" w:eastAsia="zh-CN"/>
        </w:rPr>
        <w:t>1</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反映各部门举办的学前教育支出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政府各部门对社会组织等举办的幼儿园的资助，如捐赠、补贴等，也在本科目中反映。</w:t>
      </w:r>
    </w:p>
    <w:p w14:paraId="6181951C">
      <w:pPr>
        <w:ind w:firstLine="640" w:firstLineChars="200"/>
        <w:rPr>
          <w:rFonts w:hint="eastAsia" w:ascii="仿宋_GB2312" w:hAnsi="Calibri" w:eastAsia="仿宋_GB2312" w:cs="仿宋"/>
          <w:color w:val="auto"/>
          <w:kern w:val="0"/>
          <w:sz w:val="32"/>
          <w:szCs w:val="32"/>
          <w:lang w:val="en-US" w:eastAsia="zh-CN"/>
        </w:rPr>
      </w:pPr>
      <w:r>
        <w:rPr>
          <w:rFonts w:hint="eastAsia" w:ascii="仿宋_GB2312" w:hAnsi="Calibri" w:eastAsia="仿宋_GB2312" w:cs="仿宋"/>
          <w:color w:val="auto"/>
          <w:kern w:val="0"/>
          <w:sz w:val="32"/>
          <w:szCs w:val="32"/>
          <w:lang w:val="en-US" w:eastAsia="zh-CN"/>
        </w:rPr>
        <w:t>7</w:t>
      </w:r>
      <w:r>
        <w:rPr>
          <w:rFonts w:hint="eastAsia" w:ascii="仿宋_GB2312" w:hAnsi="Calibri" w:eastAsia="仿宋_GB2312" w:cs="仿宋"/>
          <w:color w:val="auto"/>
          <w:kern w:val="0"/>
          <w:sz w:val="32"/>
          <w:szCs w:val="32"/>
        </w:rPr>
        <w:t>.教育（205）基础教育（02）小学教育（02）：</w:t>
      </w:r>
      <w:r>
        <w:rPr>
          <w:rFonts w:hint="eastAsia" w:ascii="仿宋_GB2312" w:hAnsi="Calibri" w:eastAsia="仿宋_GB2312" w:cs="仿宋"/>
          <w:color w:val="auto"/>
          <w:kern w:val="0"/>
          <w:sz w:val="32"/>
          <w:szCs w:val="32"/>
          <w:lang w:val="en-US" w:eastAsia="zh-CN"/>
        </w:rPr>
        <w:t>反映各部门举办的小学教育支出。政府各部门对社会组织等举办的小学的资助，如捐赠、补贴等，也在本科目中反映。</w:t>
      </w:r>
    </w:p>
    <w:p w14:paraId="468909E0">
      <w:pPr>
        <w:ind w:firstLine="640" w:firstLineChars="200"/>
        <w:rPr>
          <w:rFonts w:hint="default" w:ascii="仿宋_GB2312" w:hAnsi="Calibri" w:eastAsia="仿宋_GB2312" w:cs="仿宋"/>
          <w:color w:val="auto"/>
          <w:kern w:val="0"/>
          <w:sz w:val="32"/>
          <w:szCs w:val="32"/>
          <w:lang w:val="en-US" w:eastAsia="zh-CN"/>
        </w:rPr>
      </w:pP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w:t>
      </w:r>
      <w:r>
        <w:rPr>
          <w:rFonts w:hint="eastAsia" w:ascii="仿宋_GB2312" w:hAnsi="Calibri" w:eastAsia="仿宋_GB2312" w:cs="仿宋"/>
          <w:color w:val="auto"/>
          <w:kern w:val="0"/>
          <w:sz w:val="32"/>
          <w:szCs w:val="32"/>
          <w:lang w:val="en-US" w:eastAsia="zh-CN"/>
        </w:rPr>
        <w:t>事业单位离退休</w:t>
      </w:r>
      <w:r>
        <w:rPr>
          <w:rFonts w:hint="eastAsia" w:ascii="仿宋_GB2312" w:hAnsi="Calibri" w:eastAsia="仿宋_GB2312" w:cs="仿宋"/>
          <w:color w:val="auto"/>
          <w:kern w:val="0"/>
          <w:sz w:val="32"/>
          <w:szCs w:val="32"/>
        </w:rPr>
        <w:t>（0</w:t>
      </w:r>
      <w:r>
        <w:rPr>
          <w:rFonts w:hint="eastAsia" w:ascii="仿宋_GB2312" w:hAnsi="Calibri" w:eastAsia="仿宋_GB2312" w:cs="仿宋"/>
          <w:color w:val="auto"/>
          <w:kern w:val="0"/>
          <w:sz w:val="32"/>
          <w:szCs w:val="32"/>
          <w:lang w:val="en-US" w:eastAsia="zh-CN"/>
        </w:rPr>
        <w:t>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反映事业单位的离退休经费。</w:t>
      </w:r>
    </w:p>
    <w:p w14:paraId="3050480D">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9</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（05）机关事业单位基本养老保险缴费支出（05）：</w:t>
      </w:r>
      <w:r>
        <w:rPr>
          <w:rFonts w:hint="eastAsia" w:ascii="仿宋_GB2312" w:hAnsi="Calibri" w:eastAsia="仿宋_GB2312" w:cs="仿宋"/>
          <w:color w:val="auto"/>
          <w:kern w:val="0"/>
          <w:sz w:val="32"/>
          <w:szCs w:val="32"/>
          <w:lang w:val="en-US" w:eastAsia="zh-CN"/>
        </w:rPr>
        <w:t>反映机关事业单位实施养老保险制度由单位缴纳的基本养老保险费</w:t>
      </w:r>
      <w:r>
        <w:rPr>
          <w:rFonts w:hint="eastAsia" w:ascii="仿宋_GB2312" w:hAnsi="Calibri" w:eastAsia="仿宋_GB2312" w:cs="仿宋"/>
          <w:color w:val="auto"/>
          <w:kern w:val="0"/>
          <w:sz w:val="32"/>
          <w:szCs w:val="32"/>
        </w:rPr>
        <w:t>支出</w:t>
      </w:r>
      <w:r>
        <w:rPr>
          <w:rFonts w:hint="eastAsia" w:ascii="仿宋_GB2312" w:hAnsi="Calibri" w:eastAsia="仿宋_GB2312" w:cs="仿宋"/>
          <w:color w:val="auto"/>
          <w:kern w:val="0"/>
          <w:sz w:val="32"/>
          <w:szCs w:val="32"/>
          <w:lang w:eastAsia="zh-CN"/>
        </w:rPr>
        <w:t>。</w:t>
      </w:r>
    </w:p>
    <w:p w14:paraId="40945C73">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10</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（05）机关事业单位</w:t>
      </w:r>
      <w:r>
        <w:rPr>
          <w:rFonts w:hint="eastAsia" w:ascii="仿宋_GB2312" w:hAnsi="Calibri" w:eastAsia="仿宋_GB2312" w:cs="仿宋"/>
          <w:color w:val="auto"/>
          <w:kern w:val="0"/>
          <w:sz w:val="32"/>
          <w:szCs w:val="32"/>
          <w:lang w:val="en-US" w:eastAsia="zh-CN"/>
        </w:rPr>
        <w:t>职业年金缴费</w:t>
      </w:r>
      <w:r>
        <w:rPr>
          <w:rFonts w:hint="eastAsia" w:ascii="仿宋_GB2312" w:hAnsi="Calibri" w:eastAsia="仿宋_GB2312" w:cs="仿宋"/>
          <w:color w:val="auto"/>
          <w:kern w:val="0"/>
          <w:sz w:val="32"/>
          <w:szCs w:val="32"/>
        </w:rPr>
        <w:t>支出（0</w:t>
      </w:r>
      <w:r>
        <w:rPr>
          <w:rFonts w:hint="eastAsia" w:ascii="仿宋_GB2312" w:hAnsi="Calibri" w:eastAsia="仿宋_GB2312" w:cs="仿宋"/>
          <w:color w:val="auto"/>
          <w:kern w:val="0"/>
          <w:sz w:val="32"/>
          <w:szCs w:val="32"/>
          <w:lang w:val="en-US" w:eastAsia="zh-CN"/>
        </w:rPr>
        <w:t>6</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反映机关事业单位实施养老保险制度由单位缴纳的职业年金</w:t>
      </w:r>
      <w:r>
        <w:rPr>
          <w:rFonts w:hint="eastAsia" w:ascii="仿宋_GB2312" w:hAnsi="Calibri" w:eastAsia="仿宋_GB2312" w:cs="仿宋"/>
          <w:color w:val="auto"/>
          <w:kern w:val="0"/>
          <w:sz w:val="32"/>
          <w:szCs w:val="32"/>
        </w:rPr>
        <w:t>支出</w:t>
      </w:r>
      <w:r>
        <w:rPr>
          <w:rFonts w:hint="eastAsia" w:ascii="仿宋_GB2312" w:hAnsi="Calibri" w:eastAsia="仿宋_GB2312" w:cs="仿宋"/>
          <w:color w:val="auto"/>
          <w:kern w:val="0"/>
          <w:sz w:val="32"/>
          <w:szCs w:val="32"/>
          <w:lang w:eastAsia="zh-CN"/>
        </w:rPr>
        <w:t>。</w:t>
      </w:r>
    </w:p>
    <w:p w14:paraId="2E873567">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11</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w:t>
      </w:r>
      <w:r>
        <w:rPr>
          <w:rFonts w:hint="eastAsia" w:ascii="仿宋_GB2312" w:hAnsi="Calibri" w:eastAsia="仿宋_GB2312" w:cs="仿宋"/>
          <w:color w:val="auto"/>
          <w:kern w:val="0"/>
          <w:sz w:val="32"/>
          <w:szCs w:val="32"/>
          <w:lang w:val="en-US" w:eastAsia="zh-CN"/>
        </w:rPr>
        <w:t>其他</w:t>
      </w:r>
      <w:r>
        <w:rPr>
          <w:rFonts w:hint="eastAsia" w:ascii="仿宋_GB2312" w:hAnsi="Calibri" w:eastAsia="仿宋_GB2312" w:cs="仿宋"/>
          <w:color w:val="auto"/>
          <w:kern w:val="0"/>
          <w:sz w:val="32"/>
          <w:szCs w:val="32"/>
        </w:rPr>
        <w:t>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99</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反映除上述项目以外其他用于行政事业单位养老方面的支出</w:t>
      </w:r>
      <w:r>
        <w:rPr>
          <w:rFonts w:hint="eastAsia" w:ascii="仿宋_GB2312" w:hAnsi="Calibri" w:eastAsia="仿宋_GB2312" w:cs="仿宋"/>
          <w:color w:val="auto"/>
          <w:kern w:val="0"/>
          <w:sz w:val="32"/>
          <w:szCs w:val="32"/>
          <w:lang w:eastAsia="zh-CN"/>
        </w:rPr>
        <w:t>。</w:t>
      </w:r>
    </w:p>
    <w:p w14:paraId="329BF342">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12</w:t>
      </w:r>
      <w:r>
        <w:rPr>
          <w:rFonts w:hint="eastAsia" w:ascii="仿宋_GB2312" w:hAnsi="Calibri" w:eastAsia="仿宋_GB2312" w:cs="仿宋"/>
          <w:color w:val="auto"/>
          <w:kern w:val="0"/>
          <w:sz w:val="32"/>
          <w:szCs w:val="32"/>
        </w:rPr>
        <w:t>. 社会保障和就业（208）</w:t>
      </w:r>
      <w:r>
        <w:rPr>
          <w:rFonts w:hint="eastAsia" w:ascii="仿宋_GB2312" w:hAnsi="Calibri" w:eastAsia="仿宋_GB2312" w:cs="仿宋"/>
          <w:color w:val="auto"/>
          <w:kern w:val="0"/>
          <w:sz w:val="32"/>
          <w:szCs w:val="32"/>
          <w:lang w:val="en-US" w:eastAsia="zh-CN"/>
        </w:rPr>
        <w:t>抚恤</w:t>
      </w:r>
      <w:r>
        <w:rPr>
          <w:rFonts w:hint="eastAsia" w:ascii="仿宋_GB2312" w:hAnsi="Calibri" w:eastAsia="仿宋_GB2312" w:cs="仿宋"/>
          <w:color w:val="auto"/>
          <w:kern w:val="0"/>
          <w:sz w:val="32"/>
          <w:szCs w:val="32"/>
        </w:rPr>
        <w:t>（0</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死亡抚恤</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01</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反映按规定用于烈士和牺牲、病故人员家属的一次性和定期抚恤金以及丧葬补助费</w:t>
      </w:r>
      <w:r>
        <w:rPr>
          <w:rFonts w:hint="eastAsia" w:ascii="仿宋_GB2312" w:hAnsi="Calibri" w:eastAsia="仿宋_GB2312" w:cs="仿宋"/>
          <w:color w:val="auto"/>
          <w:kern w:val="0"/>
          <w:sz w:val="32"/>
          <w:szCs w:val="32"/>
          <w:lang w:eastAsia="zh-CN"/>
        </w:rPr>
        <w:t>。</w:t>
      </w:r>
    </w:p>
    <w:p w14:paraId="797EBA52">
      <w:pPr>
        <w:ind w:firstLine="640" w:firstLineChars="200"/>
        <w:rPr>
          <w:rFonts w:hint="eastAsia"/>
          <w:lang w:val="en-US" w:eastAsia="zh-CN"/>
        </w:rPr>
      </w:pPr>
      <w:r>
        <w:rPr>
          <w:rFonts w:hint="eastAsia" w:ascii="仿宋_GB2312" w:hAnsi="Calibri" w:eastAsia="仿宋_GB2312" w:cs="仿宋"/>
          <w:color w:val="auto"/>
          <w:kern w:val="0"/>
          <w:sz w:val="32"/>
          <w:szCs w:val="32"/>
          <w:lang w:val="en-US" w:eastAsia="zh-CN"/>
        </w:rPr>
        <w:t>13</w:t>
      </w:r>
      <w:r>
        <w:rPr>
          <w:rFonts w:hint="eastAsia" w:ascii="仿宋_GB2312" w:hAnsi="Calibri" w:eastAsia="仿宋_GB2312" w:cs="仿宋"/>
          <w:color w:val="auto"/>
          <w:kern w:val="0"/>
          <w:sz w:val="32"/>
          <w:szCs w:val="32"/>
        </w:rPr>
        <w:t xml:space="preserve">. </w:t>
      </w:r>
      <w:r>
        <w:rPr>
          <w:rFonts w:hint="eastAsia" w:ascii="仿宋" w:hAnsi="仿宋" w:eastAsia="仿宋"/>
          <w:b w:val="0"/>
          <w:bCs w:val="0"/>
          <w:color w:val="auto"/>
          <w:sz w:val="32"/>
          <w:szCs w:val="32"/>
        </w:rPr>
        <w:t>卫生健康支出（210）行政事业单位医疗（11）事业单位医疗（02）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反映财政部门安排的事业单位基本医疗保险缴费经费，未参加医疗保险的事业单位的公费医疗经费，按国家规定享受离休人员待遇的医疗经费</w:t>
      </w:r>
      <w:r>
        <w:rPr>
          <w:rFonts w:hint="eastAsia" w:ascii="仿宋_GB2312" w:hAnsi="Calibri" w:eastAsia="仿宋_GB2312" w:cs="仿宋"/>
          <w:color w:val="auto"/>
          <w:kern w:val="0"/>
          <w:sz w:val="32"/>
          <w:szCs w:val="32"/>
          <w:lang w:eastAsia="zh-CN"/>
        </w:rPr>
        <w:t>。</w:t>
      </w:r>
    </w:p>
    <w:p w14:paraId="6DCDEAC9">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14</w:t>
      </w:r>
      <w:r>
        <w:rPr>
          <w:rFonts w:hint="eastAsia" w:ascii="仿宋_GB2312" w:hAnsi="Calibri" w:eastAsia="仿宋_GB2312" w:cs="仿宋"/>
          <w:color w:val="auto"/>
          <w:kern w:val="0"/>
          <w:sz w:val="32"/>
          <w:szCs w:val="32"/>
        </w:rPr>
        <w:t>. 住房保障支出（221）住房改革支出（02）住房公积金（01）：</w:t>
      </w:r>
      <w:r>
        <w:rPr>
          <w:rFonts w:hint="eastAsia" w:ascii="仿宋_GB2312" w:hAnsi="Calibri" w:eastAsia="仿宋_GB2312" w:cs="仿宋"/>
          <w:color w:val="auto"/>
          <w:kern w:val="0"/>
          <w:sz w:val="32"/>
          <w:szCs w:val="32"/>
          <w:lang w:val="en-US" w:eastAsia="zh-CN"/>
        </w:rPr>
        <w:t>反正行政事业单位按人力资源和社会保障部、财政部规定的基本工资和津贴补贴以及规定比例为职工缴纳的住房公积金</w:t>
      </w:r>
      <w:r>
        <w:rPr>
          <w:rFonts w:hint="eastAsia" w:ascii="仿宋_GB2312" w:hAnsi="Calibri" w:eastAsia="仿宋_GB2312" w:cs="仿宋"/>
          <w:color w:val="auto"/>
          <w:kern w:val="0"/>
          <w:sz w:val="32"/>
          <w:szCs w:val="32"/>
        </w:rPr>
        <w:t>。</w:t>
      </w:r>
    </w:p>
    <w:p w14:paraId="213522F5">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15</w:t>
      </w:r>
      <w:r>
        <w:rPr>
          <w:rFonts w:hint="eastAsia" w:ascii="仿宋_GB2312" w:hAnsi="Calibri" w:eastAsia="仿宋_GB2312" w:cs="仿宋"/>
          <w:color w:val="auto"/>
          <w:kern w:val="0"/>
          <w:sz w:val="32"/>
          <w:szCs w:val="32"/>
        </w:rPr>
        <w:t>.基本支出：指为保障机构正常运转、完成日常工作任务而发生的人员支出和公用支出。</w:t>
      </w:r>
    </w:p>
    <w:p w14:paraId="71964F7E">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6</w:t>
      </w:r>
      <w:r>
        <w:rPr>
          <w:rFonts w:hint="eastAsia" w:ascii="仿宋_GB2312" w:hAnsi="Calibri" w:eastAsia="仿宋_GB2312" w:cs="仿宋"/>
          <w:color w:val="auto"/>
          <w:kern w:val="0"/>
          <w:sz w:val="32"/>
          <w:szCs w:val="32"/>
        </w:rPr>
        <w:t xml:space="preserve">.项目支出：指在基本支出之外为完成特定行政任务和事业发展目标所发生的支出。 </w:t>
      </w:r>
    </w:p>
    <w:p w14:paraId="6705F634">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7</w:t>
      </w:r>
      <w:r>
        <w:rPr>
          <w:rFonts w:hint="eastAsia" w:ascii="仿宋_GB2312" w:hAnsi="Calibri" w:eastAsia="仿宋_GB2312" w:cs="仿宋"/>
          <w:color w:val="auto"/>
          <w:kern w:val="0"/>
          <w:sz w:val="32"/>
          <w:szCs w:val="32"/>
        </w:rPr>
        <w:t>.经营支出：指事业单位在专业业务活动及其辅助活动之外开展非独立核算经营活动发生的支出。</w:t>
      </w:r>
    </w:p>
    <w:p w14:paraId="7F7A8ADC">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726A8C">
      <w:pPr>
        <w:spacing w:line="600" w:lineRule="exact"/>
        <w:ind w:firstLine="64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9</w:t>
      </w:r>
      <w:r>
        <w:rPr>
          <w:rFonts w:hint="eastAsia" w:ascii="仿宋_GB2312" w:hAnsi="Calibri" w:eastAsia="仿宋_GB2312" w:cs="仿宋"/>
          <w:color w:val="auto"/>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Calibri" w:eastAsia="仿宋_GB2312" w:cs="仿宋"/>
          <w:color w:val="auto"/>
          <w:kern w:val="0"/>
          <w:sz w:val="32"/>
          <w:szCs w:val="32"/>
          <w:lang w:eastAsia="zh-CN"/>
        </w:rPr>
        <w:t>。</w:t>
      </w:r>
    </w:p>
    <w:p w14:paraId="72FA50DE">
      <w:pPr>
        <w:spacing w:line="600" w:lineRule="exact"/>
        <w:ind w:firstLine="640"/>
        <w:rPr>
          <w:rFonts w:hint="eastAsia" w:ascii="仿宋_GB2312" w:hAnsi="Calibri" w:eastAsia="仿宋_GB2312" w:cs="仿宋"/>
          <w:color w:val="auto"/>
          <w:kern w:val="0"/>
          <w:sz w:val="32"/>
          <w:szCs w:val="32"/>
          <w:lang w:eastAsia="zh-CN"/>
        </w:rPr>
      </w:pPr>
    </w:p>
    <w:p w14:paraId="2136C0CE">
      <w:pPr>
        <w:spacing w:line="600" w:lineRule="exact"/>
        <w:ind w:firstLine="640"/>
        <w:rPr>
          <w:rFonts w:hint="eastAsia" w:ascii="仿宋_GB2312" w:hAnsi="Calibri" w:eastAsia="仿宋_GB2312" w:cs="仿宋"/>
          <w:color w:val="auto"/>
          <w:kern w:val="0"/>
          <w:sz w:val="32"/>
          <w:szCs w:val="32"/>
          <w:lang w:eastAsia="zh-CN"/>
        </w:rPr>
      </w:pPr>
    </w:p>
    <w:p w14:paraId="08FECBAA">
      <w:pPr>
        <w:spacing w:line="600" w:lineRule="exact"/>
        <w:ind w:firstLine="640"/>
        <w:rPr>
          <w:rFonts w:hint="eastAsia" w:ascii="仿宋_GB2312" w:hAnsi="Calibri" w:eastAsia="仿宋_GB2312" w:cs="仿宋"/>
          <w:color w:val="auto"/>
          <w:kern w:val="0"/>
          <w:sz w:val="32"/>
          <w:szCs w:val="32"/>
          <w:lang w:eastAsia="zh-CN"/>
        </w:rPr>
      </w:pPr>
    </w:p>
    <w:p w14:paraId="7F409DCB">
      <w:pPr>
        <w:spacing w:line="600" w:lineRule="exact"/>
        <w:ind w:firstLine="640"/>
        <w:rPr>
          <w:rFonts w:hint="eastAsia" w:ascii="仿宋_GB2312" w:hAnsi="Calibri" w:eastAsia="仿宋_GB2312" w:cs="仿宋"/>
          <w:color w:val="auto"/>
          <w:kern w:val="0"/>
          <w:sz w:val="32"/>
          <w:szCs w:val="32"/>
          <w:lang w:eastAsia="zh-CN"/>
        </w:rPr>
      </w:pPr>
    </w:p>
    <w:p w14:paraId="5181F05C">
      <w:pPr>
        <w:spacing w:line="600" w:lineRule="exact"/>
        <w:ind w:firstLine="640"/>
        <w:rPr>
          <w:rFonts w:hint="eastAsia" w:ascii="仿宋_GB2312" w:hAnsi="Calibri" w:eastAsia="仿宋_GB2312" w:cs="仿宋"/>
          <w:color w:val="auto"/>
          <w:kern w:val="0"/>
          <w:sz w:val="32"/>
          <w:szCs w:val="32"/>
          <w:lang w:eastAsia="zh-CN"/>
        </w:rPr>
      </w:pPr>
    </w:p>
    <w:p w14:paraId="7268E1A3">
      <w:pPr>
        <w:spacing w:line="600" w:lineRule="exact"/>
        <w:ind w:firstLine="640"/>
        <w:rPr>
          <w:rFonts w:hint="eastAsia" w:ascii="仿宋_GB2312" w:hAnsi="Calibri" w:eastAsia="仿宋_GB2312" w:cs="仿宋"/>
          <w:color w:val="auto"/>
          <w:kern w:val="0"/>
          <w:sz w:val="32"/>
          <w:szCs w:val="32"/>
          <w:lang w:eastAsia="zh-CN"/>
        </w:rPr>
      </w:pPr>
    </w:p>
    <w:p w14:paraId="2B06B69C">
      <w:pPr>
        <w:spacing w:line="600" w:lineRule="exact"/>
        <w:ind w:firstLine="640"/>
        <w:rPr>
          <w:rFonts w:hint="eastAsia" w:ascii="仿宋_GB2312" w:hAnsi="Calibri" w:eastAsia="仿宋_GB2312" w:cs="仿宋"/>
          <w:color w:val="auto"/>
          <w:kern w:val="0"/>
          <w:sz w:val="32"/>
          <w:szCs w:val="32"/>
          <w:lang w:eastAsia="zh-CN"/>
        </w:rPr>
        <w:sectPr>
          <w:footerReference r:id="rId5" w:type="default"/>
          <w:pgSz w:w="11906" w:h="16838"/>
          <w:pgMar w:top="1440" w:right="1800" w:bottom="1440" w:left="1800" w:header="851" w:footer="992" w:gutter="0"/>
          <w:pgNumType w:fmt="decimal" w:start="2"/>
          <w:cols w:space="425" w:num="1"/>
          <w:docGrid w:type="lines" w:linePitch="312" w:charSpace="0"/>
        </w:sectPr>
      </w:pPr>
    </w:p>
    <w:p w14:paraId="40429FE4">
      <w:pPr>
        <w:spacing w:line="600" w:lineRule="exact"/>
        <w:jc w:val="center"/>
        <w:outlineLvl w:val="0"/>
        <w:rPr>
          <w:rStyle w:val="27"/>
          <w:rFonts w:ascii="黑体" w:hAnsi="黑体" w:eastAsia="黑体"/>
          <w:b w:val="0"/>
        </w:rPr>
      </w:pPr>
      <w:bookmarkStart w:id="68" w:name="_Toc3339"/>
      <w:bookmarkStart w:id="69" w:name="_Toc15396614"/>
      <w:bookmarkStart w:id="70" w:name="_Toc15377226"/>
      <w:r>
        <w:rPr>
          <w:rFonts w:hint="eastAsia" w:ascii="黑体" w:hAnsi="黑体" w:eastAsia="黑体"/>
          <w:sz w:val="44"/>
          <w:szCs w:val="44"/>
        </w:rPr>
        <w:t>第</w:t>
      </w:r>
      <w:r>
        <w:rPr>
          <w:rStyle w:val="27"/>
          <w:rFonts w:hint="eastAsia" w:ascii="黑体" w:hAnsi="黑体" w:eastAsia="黑体"/>
          <w:b w:val="0"/>
        </w:rPr>
        <w:t>四部分 附件</w:t>
      </w:r>
      <w:bookmarkEnd w:id="68"/>
      <w:bookmarkEnd w:id="69"/>
    </w:p>
    <w:tbl>
      <w:tblPr>
        <w:tblStyle w:val="14"/>
        <w:tblW w:w="126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3"/>
        <w:gridCol w:w="1768"/>
        <w:gridCol w:w="1768"/>
        <w:gridCol w:w="1778"/>
        <w:gridCol w:w="1383"/>
        <w:gridCol w:w="1359"/>
        <w:gridCol w:w="1337"/>
        <w:gridCol w:w="633"/>
        <w:gridCol w:w="1174"/>
      </w:tblGrid>
      <w:tr w14:paraId="2970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03" w:type="dxa"/>
            <w:gridSpan w:val="9"/>
            <w:tcBorders>
              <w:top w:val="nil"/>
              <w:left w:val="nil"/>
              <w:bottom w:val="nil"/>
              <w:right w:val="nil"/>
            </w:tcBorders>
            <w:shd w:val="clear" w:color="auto" w:fill="auto"/>
            <w:vAlign w:val="center"/>
          </w:tcPr>
          <w:p w14:paraId="2D707D94">
            <w:pPr>
              <w:keepNext w:val="0"/>
              <w:keepLines w:val="0"/>
              <w:widowControl/>
              <w:suppressLineNumbers w:val="0"/>
              <w:jc w:val="center"/>
              <w:textAlignment w:val="center"/>
              <w:rPr>
                <w:rFonts w:hint="default" w:ascii="黑体" w:hAnsi="宋体" w:eastAsia="黑体" w:cs="黑体"/>
                <w:i w:val="0"/>
                <w:iCs w:val="0"/>
                <w:color w:val="000000"/>
                <w:sz w:val="30"/>
                <w:szCs w:val="30"/>
                <w:u w:val="none"/>
                <w:lang w:val="en-US"/>
              </w:rPr>
            </w:pPr>
            <w:bookmarkStart w:id="71" w:name="_Toc15396618"/>
            <w:r>
              <w:rPr>
                <w:rFonts w:hint="eastAsia" w:ascii="黑体" w:hAnsi="宋体" w:eastAsia="黑体" w:cs="黑体"/>
                <w:i w:val="0"/>
                <w:iCs w:val="0"/>
                <w:color w:val="000000"/>
                <w:kern w:val="0"/>
                <w:sz w:val="30"/>
                <w:szCs w:val="30"/>
                <w:u w:val="none"/>
                <w:lang w:val="en-US" w:eastAsia="zh-CN" w:bidi="ar"/>
              </w:rPr>
              <w:t xml:space="preserve">部门整体支出绩效目标完成情况自评表 </w:t>
            </w:r>
          </w:p>
        </w:tc>
      </w:tr>
      <w:tr w14:paraId="4D62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2603" w:type="dxa"/>
            <w:gridSpan w:val="9"/>
            <w:tcBorders>
              <w:top w:val="nil"/>
              <w:left w:val="nil"/>
              <w:bottom w:val="nil"/>
              <w:right w:val="nil"/>
            </w:tcBorders>
            <w:shd w:val="clear" w:color="auto" w:fill="auto"/>
            <w:vAlign w:val="center"/>
          </w:tcPr>
          <w:p w14:paraId="2AE88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4843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603" w:type="dxa"/>
            <w:gridSpan w:val="9"/>
            <w:tcBorders>
              <w:top w:val="nil"/>
              <w:left w:val="nil"/>
              <w:bottom w:val="single" w:color="000000" w:sz="4" w:space="0"/>
              <w:right w:val="nil"/>
            </w:tcBorders>
            <w:shd w:val="clear" w:color="auto" w:fill="auto"/>
            <w:vAlign w:val="center"/>
          </w:tcPr>
          <w:p w14:paraId="68576F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829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B9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76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19C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大竹县童家镇第二中心小学部门</w:t>
            </w:r>
          </w:p>
        </w:tc>
      </w:tr>
      <w:tr w14:paraId="362D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3B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9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5B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4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B92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1F21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D6AAA">
            <w:pPr>
              <w:jc w:val="center"/>
              <w:rPr>
                <w:rFonts w:hint="eastAsia" w:ascii="宋体" w:hAnsi="宋体" w:eastAsia="宋体" w:cs="宋体"/>
                <w:i w:val="0"/>
                <w:iCs w:val="0"/>
                <w:color w:val="000000"/>
                <w:sz w:val="18"/>
                <w:szCs w:val="18"/>
                <w:u w:val="none"/>
              </w:rPr>
            </w:pP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66AA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689.78</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A9E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689.78</w:t>
            </w:r>
          </w:p>
        </w:tc>
        <w:tc>
          <w:tcPr>
            <w:tcW w:w="4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15248A">
            <w:pPr>
              <w:keepNext w:val="0"/>
              <w:keepLines w:val="0"/>
              <w:widowControl/>
              <w:suppressLineNumbers w:val="0"/>
              <w:jc w:val="right"/>
              <w:textAlignment w:val="center"/>
              <w:rPr>
                <w:rFonts w:ascii="宋体" w:hAnsi="宋体" w:eastAsia="宋体" w:cs="宋体"/>
                <w:i w:val="0"/>
                <w:iCs w:val="0"/>
                <w:color w:val="000000"/>
                <w:sz w:val="18"/>
                <w:szCs w:val="18"/>
                <w:u w:val="none"/>
              </w:rPr>
            </w:pPr>
            <w:bookmarkStart w:id="99" w:name="_GoBack"/>
            <w:bookmarkEnd w:id="99"/>
            <w:r>
              <w:rPr>
                <w:rFonts w:ascii="宋体" w:hAnsi="宋体" w:eastAsia="宋体" w:cs="宋体"/>
                <w:i w:val="0"/>
                <w:iCs w:val="0"/>
                <w:color w:val="000000"/>
                <w:kern w:val="0"/>
                <w:sz w:val="18"/>
                <w:szCs w:val="18"/>
                <w:u w:val="none"/>
                <w:lang w:val="en-US" w:eastAsia="zh-CN" w:bidi="ar"/>
              </w:rPr>
              <w:t>0.00</w:t>
            </w:r>
          </w:p>
        </w:tc>
      </w:tr>
      <w:tr w14:paraId="074D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D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12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7519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按时,按质.,按量完成教学工作</w:t>
            </w:r>
          </w:p>
        </w:tc>
      </w:tr>
      <w:tr w14:paraId="5ACD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1C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87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76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5D3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398F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222C">
            <w:pPr>
              <w:jc w:val="center"/>
              <w:rPr>
                <w:rFonts w:hint="eastAsia" w:ascii="宋体" w:hAnsi="宋体" w:eastAsia="宋体" w:cs="宋体"/>
                <w:i w:val="0"/>
                <w:iCs w:val="0"/>
                <w:color w:val="000000"/>
                <w:sz w:val="18"/>
                <w:szCs w:val="18"/>
                <w:u w:val="none"/>
              </w:rPr>
            </w:pP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1D93">
            <w:pPr>
              <w:jc w:val="left"/>
              <w:rPr>
                <w:rFonts w:hint="eastAsia" w:ascii="宋体" w:hAnsi="宋体" w:eastAsia="宋体" w:cs="宋体"/>
                <w:i w:val="0"/>
                <w:iCs w:val="0"/>
                <w:color w:val="000000"/>
                <w:sz w:val="18"/>
                <w:szCs w:val="18"/>
                <w:u w:val="none"/>
              </w:rPr>
            </w:pPr>
          </w:p>
        </w:tc>
        <w:tc>
          <w:tcPr>
            <w:tcW w:w="76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259207">
            <w:pPr>
              <w:jc w:val="left"/>
              <w:rPr>
                <w:rFonts w:hint="eastAsia" w:ascii="宋体" w:hAnsi="宋体" w:eastAsia="宋体" w:cs="宋体"/>
                <w:i w:val="0"/>
                <w:iCs w:val="0"/>
                <w:color w:val="000000"/>
                <w:sz w:val="18"/>
                <w:szCs w:val="18"/>
                <w:u w:val="none"/>
              </w:rPr>
            </w:pPr>
          </w:p>
        </w:tc>
      </w:tr>
      <w:tr w14:paraId="08AB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1A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C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1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6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2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E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C4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实际完成值</w:t>
            </w:r>
          </w:p>
        </w:tc>
      </w:tr>
      <w:tr w14:paraId="7C33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85AC">
            <w:pPr>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BE1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68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57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教师工作量</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31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BA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BB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EF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31C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r>
      <w:tr w14:paraId="2D52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C591">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BBD7">
            <w:pPr>
              <w:jc w:val="left"/>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A3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5F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教师工作质量</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24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D9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96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4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4D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r>
      <w:tr w14:paraId="7359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EF38F">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C105">
            <w:pPr>
              <w:jc w:val="left"/>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49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37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教师按期完成工作</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07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B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6E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A5C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r>
      <w:tr w14:paraId="18D9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5278">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F0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D9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D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学生学习情况</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7E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C4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66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A2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9C8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优</w:t>
            </w:r>
          </w:p>
        </w:tc>
      </w:tr>
      <w:tr w14:paraId="1FF3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DB0D">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67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BE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0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50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78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12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2E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797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98</w:t>
            </w:r>
          </w:p>
        </w:tc>
      </w:tr>
      <w:tr w14:paraId="2DBC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6AAC">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4D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6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6C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教师完成工作的奖励</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7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25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21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86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5B8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r>
    </w:tbl>
    <w:p w14:paraId="06D55582">
      <w:pPr>
        <w:pStyle w:val="5"/>
        <w:spacing w:before="93"/>
        <w:rPr>
          <w:rFonts w:hAnsi="Calibri" w:cs="仿宋"/>
          <w:sz w:val="32"/>
          <w:szCs w:val="32"/>
        </w:rPr>
      </w:pPr>
    </w:p>
    <w:tbl>
      <w:tblPr>
        <w:tblStyle w:val="14"/>
        <w:tblW w:w="135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904"/>
        <w:gridCol w:w="1651"/>
        <w:gridCol w:w="2102"/>
        <w:gridCol w:w="444"/>
        <w:gridCol w:w="50"/>
        <w:gridCol w:w="1557"/>
        <w:gridCol w:w="756"/>
        <w:gridCol w:w="1037"/>
        <w:gridCol w:w="486"/>
        <w:gridCol w:w="486"/>
        <w:gridCol w:w="2379"/>
      </w:tblGrid>
      <w:tr w14:paraId="5C6C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135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5E752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5C9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9B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E67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51172422T000005661642-幼儿活动用房维修及厕所改造（存量）</w:t>
            </w:r>
          </w:p>
        </w:tc>
      </w:tr>
      <w:tr w14:paraId="20CB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961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E6BC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大竹县童家镇第二中心小学部门</w:t>
            </w:r>
          </w:p>
        </w:tc>
        <w:tc>
          <w:tcPr>
            <w:tcW w:w="1037" w:type="dxa"/>
            <w:tcBorders>
              <w:top w:val="nil"/>
              <w:left w:val="nil"/>
              <w:bottom w:val="nil"/>
              <w:right w:val="nil"/>
            </w:tcBorders>
            <w:shd w:val="clear" w:color="auto" w:fill="auto"/>
            <w:vAlign w:val="center"/>
          </w:tcPr>
          <w:p w14:paraId="3B7171E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D2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w:t>
            </w:r>
          </w:p>
        </w:tc>
      </w:tr>
      <w:tr w14:paraId="3589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01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AFF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209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02AA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63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07E5">
            <w:pP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119A6">
            <w:pPr>
              <w:rPr>
                <w:rFonts w:hint="eastAsia" w:ascii="宋体" w:hAnsi="宋体" w:eastAsia="宋体" w:cs="宋体"/>
                <w:i w:val="0"/>
                <w:iCs w:val="0"/>
                <w:color w:val="000000"/>
                <w:sz w:val="18"/>
                <w:szCs w:val="18"/>
                <w:u w:val="none"/>
              </w:rPr>
            </w:pP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68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幼儿活动用房维修及厕所改造</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4B3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严格执行相关政策，保障幼儿活动用房维修顺利实施。</w:t>
            </w:r>
          </w:p>
        </w:tc>
      </w:tr>
      <w:tr w14:paraId="6447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9F52">
            <w:pP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6F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091525">
            <w:pPr>
              <w:rPr>
                <w:rFonts w:hint="default" w:ascii="宋体" w:hAnsi="宋体" w:eastAsia="宋体" w:cs="宋体"/>
                <w:i w:val="0"/>
                <w:iCs w:val="0"/>
                <w:color w:val="000000"/>
                <w:sz w:val="18"/>
                <w:szCs w:val="18"/>
                <w:highlight w:val="yellow"/>
                <w:u w:val="none"/>
                <w:lang w:val="en-US" w:eastAsia="zh-CN"/>
              </w:rPr>
            </w:pPr>
            <w:r>
              <w:rPr>
                <w:rFonts w:ascii="宋体" w:hAnsi="宋体" w:eastAsia="宋体" w:cs="宋体"/>
                <w:i w:val="0"/>
                <w:iCs w:val="0"/>
                <w:color w:val="000000"/>
                <w:kern w:val="0"/>
                <w:sz w:val="18"/>
                <w:szCs w:val="18"/>
                <w:u w:val="none"/>
                <w:lang w:val="en-US" w:eastAsia="zh-CN" w:bidi="ar"/>
              </w:rPr>
              <w:t>该资金全部用于幼儿活动用房维修及厕所改造，验收合格，并支付完成。</w:t>
            </w:r>
          </w:p>
        </w:tc>
      </w:tr>
      <w:tr w14:paraId="5991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EE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D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8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A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D5D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0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E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2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89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8E2B">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4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8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5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91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D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1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BD4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B2E2C">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预算执行率100%</w:t>
            </w:r>
          </w:p>
        </w:tc>
      </w:tr>
      <w:tr w14:paraId="33FB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BF20">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3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02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5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E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3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08A8">
            <w:pPr>
              <w:rPr>
                <w:rFonts w:hint="eastAsia" w:ascii="黑体" w:hAnsi="黑体" w:eastAsia="黑体" w:cs="黑体"/>
                <w:i/>
                <w:iCs/>
                <w:color w:val="000000"/>
                <w:sz w:val="18"/>
                <w:szCs w:val="18"/>
                <w:u w:val="none"/>
              </w:rPr>
            </w:pPr>
          </w:p>
        </w:tc>
      </w:tr>
      <w:tr w14:paraId="2D5B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854F">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E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5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B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4B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3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1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E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666F">
            <w:pPr>
              <w:rPr>
                <w:rFonts w:hint="eastAsia" w:ascii="黑体" w:hAnsi="黑体" w:eastAsia="黑体" w:cs="黑体"/>
                <w:i/>
                <w:iCs/>
                <w:color w:val="000000"/>
                <w:sz w:val="18"/>
                <w:szCs w:val="18"/>
                <w:u w:val="none"/>
              </w:rPr>
            </w:pPr>
          </w:p>
        </w:tc>
      </w:tr>
      <w:tr w14:paraId="388E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D4D9">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F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6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80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9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C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2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E34D">
            <w:pPr>
              <w:rPr>
                <w:rFonts w:hint="eastAsia" w:ascii="黑体" w:hAnsi="黑体" w:eastAsia="黑体" w:cs="黑体"/>
                <w:i/>
                <w:iCs/>
                <w:color w:val="000000"/>
                <w:sz w:val="18"/>
                <w:szCs w:val="18"/>
                <w:u w:val="none"/>
              </w:rPr>
            </w:pPr>
          </w:p>
        </w:tc>
      </w:tr>
      <w:tr w14:paraId="504C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E65B">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F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74F">
            <w:pPr>
              <w:jc w:val="center"/>
              <w:rPr>
                <w:rFonts w:hint="eastAsia" w:ascii="微软雅黑" w:hAnsi="微软雅黑" w:eastAsia="微软雅黑" w:cs="微软雅黑"/>
                <w:i/>
                <w:iCs/>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11CF">
            <w:pPr>
              <w:jc w:val="center"/>
              <w:rPr>
                <w:rFonts w:hint="eastAsia" w:ascii="微软雅黑" w:hAnsi="微软雅黑" w:eastAsia="微软雅黑" w:cs="微软雅黑"/>
                <w:i/>
                <w:iCs/>
                <w:color w:val="000000"/>
                <w:sz w:val="16"/>
                <w:szCs w:val="16"/>
                <w:u w:val="none"/>
              </w:rPr>
            </w:pP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39502">
            <w:pPr>
              <w:jc w:val="center"/>
              <w:rPr>
                <w:rFonts w:hint="eastAsia" w:ascii="微软雅黑" w:hAnsi="微软雅黑" w:eastAsia="微软雅黑" w:cs="微软雅黑"/>
                <w:i/>
                <w:iCs/>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29F">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0FB1F">
            <w:pPr>
              <w:rPr>
                <w:rFonts w:hint="eastAsia" w:ascii="黑体" w:hAnsi="黑体" w:eastAsia="黑体" w:cs="黑体"/>
                <w:i/>
                <w:iCs/>
                <w:color w:val="000000"/>
                <w:sz w:val="18"/>
                <w:szCs w:val="18"/>
                <w:u w:val="none"/>
              </w:rPr>
            </w:pPr>
          </w:p>
        </w:tc>
      </w:tr>
      <w:tr w14:paraId="3443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69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5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4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0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12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0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1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B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B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A6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0C7A">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C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5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幼儿活动用房维修及厕所改造</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00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0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A402">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B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380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563E">
            <w:pPr>
              <w:jc w:val="center"/>
              <w:rPr>
                <w:rFonts w:hint="eastAsia" w:ascii="微软雅黑" w:hAnsi="微软雅黑" w:eastAsia="微软雅黑" w:cs="微软雅黑"/>
                <w:i/>
                <w:iCs/>
                <w:color w:val="000000"/>
                <w:sz w:val="16"/>
                <w:szCs w:val="16"/>
                <w:u w:val="none"/>
              </w:rPr>
            </w:pPr>
          </w:p>
        </w:tc>
      </w:tr>
      <w:tr w14:paraId="7200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DC3B">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7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5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幼儿活动用房维修及厕所改造</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16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A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7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B58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629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A23F">
            <w:pPr>
              <w:jc w:val="center"/>
              <w:rPr>
                <w:rFonts w:hint="eastAsia" w:ascii="微软雅黑" w:hAnsi="微软雅黑" w:eastAsia="微软雅黑" w:cs="微软雅黑"/>
                <w:i/>
                <w:iCs/>
                <w:color w:val="000000"/>
                <w:sz w:val="16"/>
                <w:szCs w:val="16"/>
                <w:u w:val="none"/>
              </w:rPr>
            </w:pPr>
          </w:p>
        </w:tc>
      </w:tr>
      <w:tr w14:paraId="2A24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1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023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B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E72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4BAE">
            <w:pPr>
              <w:rPr>
                <w:rFonts w:hint="eastAsia" w:ascii="宋体" w:hAnsi="宋体" w:eastAsia="宋体" w:cs="宋体"/>
                <w:i w:val="0"/>
                <w:iCs w:val="0"/>
                <w:color w:val="000000"/>
                <w:sz w:val="18"/>
                <w:szCs w:val="18"/>
                <w:u w:val="none"/>
              </w:rPr>
            </w:pPr>
          </w:p>
        </w:tc>
      </w:tr>
      <w:tr w14:paraId="0505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3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BDEEFF">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yellow"/>
                <w:u w:val="none"/>
              </w:rPr>
            </w:pPr>
            <w:r>
              <w:rPr>
                <w:rFonts w:hint="eastAsia" w:ascii="微软雅黑" w:hAnsi="微软雅黑" w:eastAsia="微软雅黑" w:cs="微软雅黑"/>
                <w:i/>
                <w:iCs/>
                <w:color w:val="000000"/>
                <w:kern w:val="0"/>
                <w:sz w:val="16"/>
                <w:szCs w:val="16"/>
                <w:u w:val="none"/>
                <w:lang w:val="en-US" w:eastAsia="zh-CN" w:bidi="ar"/>
              </w:rPr>
              <w:t>项目自评总分达到100分，表明项目实施取得了良好的成效。通过实施，项目达到了预期目标，解决了实际问题，取得了显著成果。</w:t>
            </w:r>
          </w:p>
        </w:tc>
      </w:tr>
      <w:tr w14:paraId="7E76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2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7CF911">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yellow"/>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52F2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B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95B02A">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yellow"/>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1436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B2523">
            <w:pPr>
              <w:keepNext w:val="0"/>
              <w:keepLines w:val="0"/>
              <w:widowControl/>
              <w:suppressLineNumbers w:val="0"/>
              <w:jc w:val="left"/>
              <w:textAlignment w:val="center"/>
              <w:rPr>
                <w:rFonts w:hint="default"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项目负责人：袁国春</w:t>
            </w:r>
          </w:p>
        </w:tc>
        <w:tc>
          <w:tcPr>
            <w:tcW w:w="6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105C81">
            <w:pPr>
              <w:keepNext w:val="0"/>
              <w:keepLines w:val="0"/>
              <w:widowControl/>
              <w:suppressLineNumbers w:val="0"/>
              <w:jc w:val="left"/>
              <w:textAlignment w:val="center"/>
              <w:rPr>
                <w:rFonts w:hint="default"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财务负责人：李金萤</w:t>
            </w:r>
          </w:p>
        </w:tc>
      </w:tr>
      <w:tr w14:paraId="45ED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 w:type="dxa"/>
            <w:tcBorders>
              <w:top w:val="nil"/>
              <w:left w:val="nil"/>
              <w:bottom w:val="nil"/>
              <w:right w:val="nil"/>
            </w:tcBorders>
            <w:shd w:val="clear" w:color="auto" w:fill="auto"/>
            <w:vAlign w:val="center"/>
          </w:tcPr>
          <w:p w14:paraId="678C5488">
            <w:pPr>
              <w:rPr>
                <w:rFonts w:hint="eastAsia" w:ascii="宋体" w:hAnsi="宋体" w:eastAsia="宋体" w:cs="宋体"/>
                <w:i w:val="0"/>
                <w:iCs w:val="0"/>
                <w:color w:val="000000"/>
                <w:sz w:val="18"/>
                <w:szCs w:val="18"/>
                <w:u w:val="none"/>
              </w:rPr>
            </w:pPr>
          </w:p>
        </w:tc>
        <w:tc>
          <w:tcPr>
            <w:tcW w:w="1904" w:type="dxa"/>
            <w:tcBorders>
              <w:top w:val="nil"/>
              <w:left w:val="nil"/>
              <w:bottom w:val="nil"/>
              <w:right w:val="nil"/>
            </w:tcBorders>
            <w:shd w:val="clear" w:color="auto" w:fill="auto"/>
            <w:vAlign w:val="center"/>
          </w:tcPr>
          <w:p w14:paraId="657290F8">
            <w:pPr>
              <w:rPr>
                <w:rFonts w:hint="eastAsia" w:ascii="宋体" w:hAnsi="宋体" w:eastAsia="宋体" w:cs="宋体"/>
                <w:i w:val="0"/>
                <w:iCs w:val="0"/>
                <w:color w:val="000000"/>
                <w:sz w:val="18"/>
                <w:szCs w:val="18"/>
                <w:u w:val="none"/>
              </w:rPr>
            </w:pPr>
          </w:p>
        </w:tc>
        <w:tc>
          <w:tcPr>
            <w:tcW w:w="1651" w:type="dxa"/>
            <w:tcBorders>
              <w:top w:val="nil"/>
              <w:left w:val="nil"/>
              <w:bottom w:val="nil"/>
              <w:right w:val="nil"/>
            </w:tcBorders>
            <w:shd w:val="clear" w:color="auto" w:fill="auto"/>
            <w:vAlign w:val="center"/>
          </w:tcPr>
          <w:p w14:paraId="21A51660">
            <w:pPr>
              <w:rPr>
                <w:rFonts w:hint="eastAsia" w:ascii="宋体" w:hAnsi="宋体" w:eastAsia="宋体" w:cs="宋体"/>
                <w:i w:val="0"/>
                <w:iCs w:val="0"/>
                <w:color w:val="000000"/>
                <w:sz w:val="18"/>
                <w:szCs w:val="18"/>
                <w:u w:val="none"/>
              </w:rPr>
            </w:pPr>
          </w:p>
        </w:tc>
        <w:tc>
          <w:tcPr>
            <w:tcW w:w="2102" w:type="dxa"/>
            <w:tcBorders>
              <w:top w:val="nil"/>
              <w:left w:val="nil"/>
              <w:bottom w:val="nil"/>
              <w:right w:val="nil"/>
            </w:tcBorders>
            <w:shd w:val="clear" w:color="auto" w:fill="auto"/>
            <w:vAlign w:val="center"/>
          </w:tcPr>
          <w:p w14:paraId="3B7C1FA0">
            <w:pPr>
              <w:rPr>
                <w:rFonts w:hint="eastAsia" w:ascii="宋体" w:hAnsi="宋体" w:eastAsia="宋体" w:cs="宋体"/>
                <w:i w:val="0"/>
                <w:iCs w:val="0"/>
                <w:color w:val="000000"/>
                <w:sz w:val="18"/>
                <w:szCs w:val="18"/>
                <w:u w:val="none"/>
              </w:rPr>
            </w:pPr>
          </w:p>
        </w:tc>
        <w:tc>
          <w:tcPr>
            <w:tcW w:w="494" w:type="dxa"/>
            <w:gridSpan w:val="2"/>
            <w:tcBorders>
              <w:top w:val="nil"/>
              <w:left w:val="nil"/>
              <w:bottom w:val="nil"/>
              <w:right w:val="nil"/>
            </w:tcBorders>
            <w:shd w:val="clear" w:color="auto" w:fill="auto"/>
            <w:vAlign w:val="center"/>
          </w:tcPr>
          <w:p w14:paraId="3AA6A231">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14:paraId="0678916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919EA61">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shd w:val="clear" w:color="auto" w:fill="auto"/>
            <w:vAlign w:val="center"/>
          </w:tcPr>
          <w:p w14:paraId="30A9517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A784AE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B96327A">
            <w:pPr>
              <w:rPr>
                <w:rFonts w:hint="eastAsia" w:ascii="宋体" w:hAnsi="宋体" w:eastAsia="宋体" w:cs="宋体"/>
                <w:i w:val="0"/>
                <w:iCs w:val="0"/>
                <w:color w:val="000000"/>
                <w:sz w:val="18"/>
                <w:szCs w:val="18"/>
                <w:u w:val="none"/>
              </w:rPr>
            </w:pPr>
          </w:p>
        </w:tc>
        <w:tc>
          <w:tcPr>
            <w:tcW w:w="2379" w:type="dxa"/>
            <w:tcBorders>
              <w:top w:val="nil"/>
              <w:left w:val="nil"/>
              <w:bottom w:val="nil"/>
              <w:right w:val="nil"/>
            </w:tcBorders>
            <w:shd w:val="clear" w:color="auto" w:fill="auto"/>
            <w:vAlign w:val="center"/>
          </w:tcPr>
          <w:p w14:paraId="181B17F5">
            <w:pPr>
              <w:rPr>
                <w:rFonts w:hint="eastAsia" w:ascii="宋体" w:hAnsi="宋体" w:eastAsia="宋体" w:cs="宋体"/>
                <w:i w:val="0"/>
                <w:iCs w:val="0"/>
                <w:color w:val="000000"/>
                <w:sz w:val="18"/>
                <w:szCs w:val="18"/>
                <w:u w:val="none"/>
              </w:rPr>
            </w:pPr>
          </w:p>
        </w:tc>
      </w:tr>
      <w:tr w14:paraId="306F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5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91E29C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21B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232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373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51172422T000005662124-教学楼及学生宿舍楼维修改造项目（存量）</w:t>
            </w:r>
          </w:p>
        </w:tc>
      </w:tr>
      <w:tr w14:paraId="4613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8E2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96C9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大竹县童家镇第二中心小学部门</w:t>
            </w:r>
          </w:p>
        </w:tc>
        <w:tc>
          <w:tcPr>
            <w:tcW w:w="1037" w:type="dxa"/>
            <w:tcBorders>
              <w:top w:val="nil"/>
              <w:left w:val="nil"/>
              <w:bottom w:val="nil"/>
              <w:right w:val="nil"/>
            </w:tcBorders>
            <w:shd w:val="clear" w:color="auto" w:fill="auto"/>
            <w:vAlign w:val="center"/>
          </w:tcPr>
          <w:p w14:paraId="7D1CB1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86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w:t>
            </w:r>
          </w:p>
        </w:tc>
      </w:tr>
      <w:tr w14:paraId="0854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1B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3EB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2E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0D2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49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4F13">
            <w:pP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8F63">
            <w:pPr>
              <w:rPr>
                <w:rFonts w:hint="eastAsia" w:ascii="宋体" w:hAnsi="宋体" w:eastAsia="宋体" w:cs="宋体"/>
                <w:i w:val="0"/>
                <w:iCs w:val="0"/>
                <w:color w:val="000000"/>
                <w:sz w:val="18"/>
                <w:szCs w:val="18"/>
                <w:u w:val="none"/>
              </w:rPr>
            </w:pP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D8B4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教学楼及学生宿舍楼维修改造项目</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52E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严格执行相关政策，保障教学楼及学生宿舍楼维修改造顺利实施。</w:t>
            </w:r>
          </w:p>
        </w:tc>
      </w:tr>
      <w:tr w14:paraId="797D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9A156">
            <w:pP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3114C3">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该资金全部用于教学楼及学生宿舍楼维修改造，验收合格，并支付完成。</w:t>
            </w:r>
          </w:p>
        </w:tc>
      </w:tr>
      <w:tr w14:paraId="20C4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00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A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3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A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35D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5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3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7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D6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1A24">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5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6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B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62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B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B9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E2D1A">
            <w:pPr>
              <w:keepNext w:val="0"/>
              <w:keepLines w:val="0"/>
              <w:widowControl/>
              <w:suppressLineNumbers w:val="0"/>
              <w:jc w:val="left"/>
              <w:textAlignment w:val="center"/>
              <w:rPr>
                <w:rFonts w:hint="default" w:ascii="黑体" w:hAnsi="黑体" w:eastAsia="黑体" w:cs="黑体"/>
                <w:i/>
                <w:iCs/>
                <w:color w:val="000000"/>
                <w:sz w:val="18"/>
                <w:szCs w:val="18"/>
                <w:u w:val="none"/>
                <w:lang w:val="en-US" w:eastAsia="zh-CN"/>
              </w:rPr>
            </w:pPr>
            <w:r>
              <w:rPr>
                <w:rFonts w:hint="eastAsia" w:ascii="黑体" w:hAnsi="黑体" w:eastAsia="黑体" w:cs="黑体"/>
                <w:i/>
                <w:iCs/>
                <w:color w:val="000000"/>
                <w:sz w:val="18"/>
                <w:szCs w:val="18"/>
                <w:highlight w:val="yellow"/>
                <w:u w:val="none"/>
                <w:lang w:val="en-US" w:eastAsia="zh-CN"/>
              </w:rPr>
              <w:t>存量指标</w:t>
            </w:r>
          </w:p>
        </w:tc>
      </w:tr>
      <w:tr w14:paraId="556F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6B159">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D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4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B3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0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5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3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1534">
            <w:pPr>
              <w:rPr>
                <w:rFonts w:hint="eastAsia" w:ascii="黑体" w:hAnsi="黑体" w:eastAsia="黑体" w:cs="黑体"/>
                <w:i/>
                <w:iCs/>
                <w:color w:val="000000"/>
                <w:sz w:val="18"/>
                <w:szCs w:val="18"/>
                <w:u w:val="none"/>
              </w:rPr>
            </w:pPr>
          </w:p>
        </w:tc>
      </w:tr>
      <w:tr w14:paraId="3719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47F6">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1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A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64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5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2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7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DA84">
            <w:pPr>
              <w:rPr>
                <w:rFonts w:hint="eastAsia" w:ascii="黑体" w:hAnsi="黑体" w:eastAsia="黑体" w:cs="黑体"/>
                <w:i/>
                <w:iCs/>
                <w:color w:val="000000"/>
                <w:sz w:val="18"/>
                <w:szCs w:val="18"/>
                <w:u w:val="none"/>
              </w:rPr>
            </w:pPr>
          </w:p>
        </w:tc>
      </w:tr>
      <w:tr w14:paraId="6F6C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1DC2">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7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3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9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2C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1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D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D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EE7D">
            <w:pPr>
              <w:rPr>
                <w:rFonts w:hint="eastAsia" w:ascii="黑体" w:hAnsi="黑体" w:eastAsia="黑体" w:cs="黑体"/>
                <w:i/>
                <w:iCs/>
                <w:color w:val="000000"/>
                <w:sz w:val="18"/>
                <w:szCs w:val="18"/>
                <w:u w:val="none"/>
              </w:rPr>
            </w:pPr>
          </w:p>
        </w:tc>
      </w:tr>
      <w:tr w14:paraId="1491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9F73">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0C71">
            <w:pPr>
              <w:jc w:val="center"/>
              <w:rPr>
                <w:rFonts w:hint="eastAsia" w:ascii="微软雅黑" w:hAnsi="微软雅黑" w:eastAsia="微软雅黑" w:cs="微软雅黑"/>
                <w:i/>
                <w:iCs/>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B5E9">
            <w:pPr>
              <w:jc w:val="center"/>
              <w:rPr>
                <w:rFonts w:hint="eastAsia" w:ascii="微软雅黑" w:hAnsi="微软雅黑" w:eastAsia="微软雅黑" w:cs="微软雅黑"/>
                <w:i/>
                <w:iCs/>
                <w:color w:val="000000"/>
                <w:sz w:val="16"/>
                <w:szCs w:val="16"/>
                <w:u w:val="none"/>
              </w:rPr>
            </w:pP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A5E22">
            <w:pPr>
              <w:jc w:val="center"/>
              <w:rPr>
                <w:rFonts w:hint="eastAsia" w:ascii="微软雅黑" w:hAnsi="微软雅黑" w:eastAsia="微软雅黑" w:cs="微软雅黑"/>
                <w:i/>
                <w:iCs/>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A718">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2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493E">
            <w:pPr>
              <w:rPr>
                <w:rFonts w:hint="eastAsia" w:ascii="黑体" w:hAnsi="黑体" w:eastAsia="黑体" w:cs="黑体"/>
                <w:i/>
                <w:iCs/>
                <w:color w:val="000000"/>
                <w:sz w:val="18"/>
                <w:szCs w:val="18"/>
                <w:u w:val="none"/>
              </w:rPr>
            </w:pPr>
          </w:p>
        </w:tc>
      </w:tr>
      <w:tr w14:paraId="627B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D3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2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5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6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2C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B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8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1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9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74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BFA1">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E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5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D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教学楼及学生宿舍楼维修改造项目</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E7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3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4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7851">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0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EFF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A117">
            <w:pPr>
              <w:jc w:val="center"/>
              <w:rPr>
                <w:rFonts w:hint="eastAsia" w:ascii="微软雅黑" w:hAnsi="微软雅黑" w:eastAsia="微软雅黑" w:cs="微软雅黑"/>
                <w:i/>
                <w:iCs/>
                <w:color w:val="000000"/>
                <w:sz w:val="16"/>
                <w:szCs w:val="16"/>
                <w:u w:val="none"/>
              </w:rPr>
            </w:pPr>
          </w:p>
        </w:tc>
      </w:tr>
      <w:tr w14:paraId="171A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DE9C1">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E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7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教学楼及学生宿舍楼维修改造项目</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20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5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41D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B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9EE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BB9A">
            <w:pPr>
              <w:jc w:val="center"/>
              <w:rPr>
                <w:rFonts w:hint="eastAsia" w:ascii="微软雅黑" w:hAnsi="微软雅黑" w:eastAsia="微软雅黑" w:cs="微软雅黑"/>
                <w:i/>
                <w:iCs/>
                <w:color w:val="000000"/>
                <w:sz w:val="16"/>
                <w:szCs w:val="16"/>
                <w:u w:val="none"/>
              </w:rPr>
            </w:pPr>
          </w:p>
        </w:tc>
      </w:tr>
      <w:tr w14:paraId="2C89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1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5CE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5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64C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7660">
            <w:pPr>
              <w:rPr>
                <w:rFonts w:hint="eastAsia" w:ascii="宋体" w:hAnsi="宋体" w:eastAsia="宋体" w:cs="宋体"/>
                <w:i w:val="0"/>
                <w:iCs w:val="0"/>
                <w:color w:val="000000"/>
                <w:sz w:val="18"/>
                <w:szCs w:val="18"/>
                <w:u w:val="none"/>
              </w:rPr>
            </w:pPr>
          </w:p>
        </w:tc>
      </w:tr>
      <w:tr w14:paraId="6E83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E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FD6C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项目自评总分达到100分，表明项目实施取得了良好的成效。通过实施，项目达到了预期目标，解决了实际问题，取得了显著成果。</w:t>
            </w:r>
          </w:p>
        </w:tc>
      </w:tr>
      <w:tr w14:paraId="4B89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E541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160D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2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49E7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6B2B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2D84F">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项目负责人：袁国春</w:t>
            </w:r>
          </w:p>
        </w:tc>
        <w:tc>
          <w:tcPr>
            <w:tcW w:w="6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45B5A3">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财务负责人：李金萤</w:t>
            </w:r>
          </w:p>
        </w:tc>
      </w:tr>
      <w:tr w14:paraId="3E4C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0" w:type="dxa"/>
            <w:tcBorders>
              <w:top w:val="nil"/>
              <w:left w:val="nil"/>
              <w:bottom w:val="nil"/>
              <w:right w:val="nil"/>
            </w:tcBorders>
            <w:shd w:val="clear" w:color="auto" w:fill="auto"/>
            <w:vAlign w:val="center"/>
          </w:tcPr>
          <w:p w14:paraId="75A2E817">
            <w:pPr>
              <w:rPr>
                <w:rFonts w:hint="eastAsia" w:ascii="宋体" w:hAnsi="宋体" w:eastAsia="宋体" w:cs="宋体"/>
                <w:i w:val="0"/>
                <w:iCs w:val="0"/>
                <w:color w:val="000000"/>
                <w:sz w:val="18"/>
                <w:szCs w:val="18"/>
                <w:u w:val="none"/>
              </w:rPr>
            </w:pPr>
          </w:p>
        </w:tc>
        <w:tc>
          <w:tcPr>
            <w:tcW w:w="1904" w:type="dxa"/>
            <w:tcBorders>
              <w:top w:val="nil"/>
              <w:left w:val="nil"/>
              <w:bottom w:val="nil"/>
              <w:right w:val="nil"/>
            </w:tcBorders>
            <w:shd w:val="clear" w:color="auto" w:fill="auto"/>
            <w:vAlign w:val="center"/>
          </w:tcPr>
          <w:p w14:paraId="4C989E30">
            <w:pPr>
              <w:rPr>
                <w:rFonts w:hint="eastAsia" w:ascii="宋体" w:hAnsi="宋体" w:eastAsia="宋体" w:cs="宋体"/>
                <w:i w:val="0"/>
                <w:iCs w:val="0"/>
                <w:color w:val="000000"/>
                <w:sz w:val="18"/>
                <w:szCs w:val="18"/>
                <w:u w:val="none"/>
              </w:rPr>
            </w:pPr>
          </w:p>
        </w:tc>
        <w:tc>
          <w:tcPr>
            <w:tcW w:w="1651" w:type="dxa"/>
            <w:tcBorders>
              <w:top w:val="nil"/>
              <w:left w:val="nil"/>
              <w:bottom w:val="nil"/>
              <w:right w:val="nil"/>
            </w:tcBorders>
            <w:shd w:val="clear" w:color="auto" w:fill="auto"/>
            <w:vAlign w:val="center"/>
          </w:tcPr>
          <w:p w14:paraId="43F028D9">
            <w:pPr>
              <w:rPr>
                <w:rFonts w:hint="eastAsia" w:ascii="宋体" w:hAnsi="宋体" w:eastAsia="宋体" w:cs="宋体"/>
                <w:i w:val="0"/>
                <w:iCs w:val="0"/>
                <w:color w:val="000000"/>
                <w:sz w:val="18"/>
                <w:szCs w:val="18"/>
                <w:u w:val="none"/>
              </w:rPr>
            </w:pPr>
          </w:p>
        </w:tc>
        <w:tc>
          <w:tcPr>
            <w:tcW w:w="2102" w:type="dxa"/>
            <w:tcBorders>
              <w:top w:val="nil"/>
              <w:left w:val="nil"/>
              <w:bottom w:val="nil"/>
              <w:right w:val="nil"/>
            </w:tcBorders>
            <w:shd w:val="clear" w:color="auto" w:fill="auto"/>
            <w:vAlign w:val="center"/>
          </w:tcPr>
          <w:p w14:paraId="61CD8880">
            <w:pPr>
              <w:rPr>
                <w:rFonts w:hint="eastAsia" w:ascii="宋体" w:hAnsi="宋体" w:eastAsia="宋体" w:cs="宋体"/>
                <w:i w:val="0"/>
                <w:iCs w:val="0"/>
                <w:color w:val="000000"/>
                <w:sz w:val="18"/>
                <w:szCs w:val="18"/>
                <w:u w:val="none"/>
              </w:rPr>
            </w:pPr>
          </w:p>
        </w:tc>
        <w:tc>
          <w:tcPr>
            <w:tcW w:w="494" w:type="dxa"/>
            <w:gridSpan w:val="2"/>
            <w:tcBorders>
              <w:top w:val="nil"/>
              <w:left w:val="nil"/>
              <w:bottom w:val="nil"/>
              <w:right w:val="nil"/>
            </w:tcBorders>
            <w:shd w:val="clear" w:color="auto" w:fill="auto"/>
            <w:vAlign w:val="center"/>
          </w:tcPr>
          <w:p w14:paraId="6D9586DB">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14:paraId="1BB2D27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4B204E5">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shd w:val="clear" w:color="auto" w:fill="auto"/>
            <w:vAlign w:val="center"/>
          </w:tcPr>
          <w:p w14:paraId="256C4D5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8A01FB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C7E1CD9">
            <w:pPr>
              <w:rPr>
                <w:rFonts w:hint="eastAsia" w:ascii="宋体" w:hAnsi="宋体" w:eastAsia="宋体" w:cs="宋体"/>
                <w:i w:val="0"/>
                <w:iCs w:val="0"/>
                <w:color w:val="000000"/>
                <w:sz w:val="18"/>
                <w:szCs w:val="18"/>
                <w:u w:val="none"/>
              </w:rPr>
            </w:pPr>
          </w:p>
        </w:tc>
        <w:tc>
          <w:tcPr>
            <w:tcW w:w="2379" w:type="dxa"/>
            <w:tcBorders>
              <w:top w:val="nil"/>
              <w:left w:val="nil"/>
              <w:bottom w:val="nil"/>
              <w:right w:val="nil"/>
            </w:tcBorders>
            <w:shd w:val="clear" w:color="auto" w:fill="auto"/>
            <w:vAlign w:val="center"/>
          </w:tcPr>
          <w:p w14:paraId="351BF0D3">
            <w:pPr>
              <w:rPr>
                <w:rFonts w:hint="eastAsia" w:ascii="宋体" w:hAnsi="宋体" w:eastAsia="宋体" w:cs="宋体"/>
                <w:i w:val="0"/>
                <w:iCs w:val="0"/>
                <w:color w:val="000000"/>
                <w:sz w:val="18"/>
                <w:szCs w:val="18"/>
                <w:u w:val="none"/>
              </w:rPr>
            </w:pPr>
          </w:p>
        </w:tc>
      </w:tr>
      <w:tr w14:paraId="7050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5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C1635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8AC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152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8C06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51172422T000005699041-营养餐</w:t>
            </w:r>
          </w:p>
        </w:tc>
      </w:tr>
      <w:tr w14:paraId="7A37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D4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24F8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大竹县童家镇第二中心小学部门</w:t>
            </w:r>
          </w:p>
        </w:tc>
        <w:tc>
          <w:tcPr>
            <w:tcW w:w="1037" w:type="dxa"/>
            <w:tcBorders>
              <w:top w:val="nil"/>
              <w:left w:val="nil"/>
              <w:bottom w:val="nil"/>
              <w:right w:val="nil"/>
            </w:tcBorders>
            <w:shd w:val="clear" w:color="auto" w:fill="auto"/>
            <w:vAlign w:val="center"/>
          </w:tcPr>
          <w:p w14:paraId="6C3EC8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ED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w:t>
            </w:r>
          </w:p>
        </w:tc>
      </w:tr>
      <w:tr w14:paraId="1D8E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8AE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186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A5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0F7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B9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80A4">
            <w:pP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8677">
            <w:pPr>
              <w:rPr>
                <w:rFonts w:hint="eastAsia" w:ascii="宋体" w:hAnsi="宋体" w:eastAsia="宋体" w:cs="宋体"/>
                <w:i w:val="0"/>
                <w:iCs w:val="0"/>
                <w:color w:val="000000"/>
                <w:sz w:val="18"/>
                <w:szCs w:val="18"/>
                <w:u w:val="none"/>
              </w:rPr>
            </w:pP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6958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营养餐</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8F6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严格执行相关政策，及时申请营养餐资金，并及时拨付到位。</w:t>
            </w:r>
          </w:p>
        </w:tc>
      </w:tr>
      <w:tr w14:paraId="56F7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DBBA">
            <w:pP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4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B13491">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该资金全部用于学生营养餐支出，由单位向上级单位上报实际学生人数，财政按学生人数拨款，再由学校申请资金，拨付到食材供应商。</w:t>
            </w:r>
          </w:p>
        </w:tc>
      </w:tr>
      <w:tr w14:paraId="5A46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72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B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8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3A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B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D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1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05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B8C5">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B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0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C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17.43</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5A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C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5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4C8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582EF">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年</w:t>
            </w:r>
            <w:r>
              <w:rPr>
                <w:rFonts w:hint="eastAsia" w:ascii="黑体" w:hAnsi="黑体" w:eastAsia="黑体" w:cs="黑体"/>
                <w:i/>
                <w:iCs/>
                <w:color w:val="000000"/>
                <w:kern w:val="0"/>
                <w:sz w:val="18"/>
                <w:szCs w:val="18"/>
                <w:highlight w:val="yellow"/>
                <w:u w:val="none"/>
                <w:lang w:val="en-US" w:eastAsia="zh-CN" w:bidi="ar"/>
              </w:rPr>
              <w:t>初未预算，后期追加指标</w:t>
            </w:r>
          </w:p>
        </w:tc>
      </w:tr>
      <w:tr w14:paraId="5458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DDFA">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A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5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9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17.43</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22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B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4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4B20">
            <w:pPr>
              <w:rPr>
                <w:rFonts w:hint="eastAsia" w:ascii="黑体" w:hAnsi="黑体" w:eastAsia="黑体" w:cs="黑体"/>
                <w:i/>
                <w:iCs/>
                <w:color w:val="000000"/>
                <w:sz w:val="18"/>
                <w:szCs w:val="18"/>
                <w:u w:val="none"/>
              </w:rPr>
            </w:pPr>
          </w:p>
        </w:tc>
      </w:tr>
      <w:tr w14:paraId="72D5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142A">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0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F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64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9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9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F26B">
            <w:pPr>
              <w:rPr>
                <w:rFonts w:hint="eastAsia" w:ascii="黑体" w:hAnsi="黑体" w:eastAsia="黑体" w:cs="黑体"/>
                <w:i/>
                <w:iCs/>
                <w:color w:val="000000"/>
                <w:sz w:val="18"/>
                <w:szCs w:val="18"/>
                <w:u w:val="none"/>
              </w:rPr>
            </w:pPr>
          </w:p>
        </w:tc>
      </w:tr>
      <w:tr w14:paraId="6F85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4393">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B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5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C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C2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C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7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C13C">
            <w:pPr>
              <w:rPr>
                <w:rFonts w:hint="eastAsia" w:ascii="黑体" w:hAnsi="黑体" w:eastAsia="黑体" w:cs="黑体"/>
                <w:i/>
                <w:iCs/>
                <w:color w:val="000000"/>
                <w:sz w:val="18"/>
                <w:szCs w:val="18"/>
                <w:u w:val="none"/>
              </w:rPr>
            </w:pPr>
          </w:p>
        </w:tc>
      </w:tr>
      <w:tr w14:paraId="5E1B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AD5B">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7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E07E">
            <w:pPr>
              <w:jc w:val="center"/>
              <w:rPr>
                <w:rFonts w:hint="eastAsia" w:ascii="微软雅黑" w:hAnsi="微软雅黑" w:eastAsia="微软雅黑" w:cs="微软雅黑"/>
                <w:i/>
                <w:iCs/>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8DA0">
            <w:pPr>
              <w:jc w:val="center"/>
              <w:rPr>
                <w:rFonts w:hint="eastAsia" w:ascii="微软雅黑" w:hAnsi="微软雅黑" w:eastAsia="微软雅黑" w:cs="微软雅黑"/>
                <w:i/>
                <w:iCs/>
                <w:color w:val="000000"/>
                <w:sz w:val="16"/>
                <w:szCs w:val="16"/>
                <w:u w:val="none"/>
              </w:rPr>
            </w:pP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AB1CD">
            <w:pPr>
              <w:jc w:val="center"/>
              <w:rPr>
                <w:rFonts w:hint="eastAsia" w:ascii="微软雅黑" w:hAnsi="微软雅黑" w:eastAsia="微软雅黑" w:cs="微软雅黑"/>
                <w:i/>
                <w:iCs/>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0E1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4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ADFE">
            <w:pPr>
              <w:rPr>
                <w:rFonts w:hint="eastAsia" w:ascii="黑体" w:hAnsi="黑体" w:eastAsia="黑体" w:cs="黑体"/>
                <w:i/>
                <w:iCs/>
                <w:color w:val="000000"/>
                <w:sz w:val="18"/>
                <w:szCs w:val="18"/>
                <w:u w:val="none"/>
              </w:rPr>
            </w:pPr>
          </w:p>
        </w:tc>
      </w:tr>
      <w:tr w14:paraId="3E4C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2B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D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4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A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38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A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0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A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D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5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A0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AB4C">
            <w:pPr>
              <w:jc w:val="center"/>
              <w:rPr>
                <w:rFonts w:hint="eastAsia" w:ascii="宋体" w:hAnsi="宋体" w:eastAsia="宋体" w:cs="宋体"/>
                <w:i w:val="0"/>
                <w:iCs w:val="0"/>
                <w:color w:val="000000"/>
                <w:sz w:val="18"/>
                <w:szCs w:val="18"/>
                <w:u w:val="none"/>
              </w:rPr>
            </w:pP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31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90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9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人均补助标准</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11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8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6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9D35">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9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6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8D0C">
            <w:pPr>
              <w:jc w:val="center"/>
              <w:rPr>
                <w:rFonts w:hint="eastAsia" w:ascii="微软雅黑" w:hAnsi="微软雅黑" w:eastAsia="微软雅黑" w:cs="微软雅黑"/>
                <w:i/>
                <w:iCs/>
                <w:color w:val="000000"/>
                <w:sz w:val="16"/>
                <w:szCs w:val="16"/>
                <w:u w:val="none"/>
              </w:rPr>
            </w:pPr>
          </w:p>
        </w:tc>
      </w:tr>
      <w:tr w14:paraId="471A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48AC">
            <w:pPr>
              <w:jc w:val="cente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3433">
            <w:pPr>
              <w:jc w:val="center"/>
              <w:rPr>
                <w:rFonts w:hint="eastAsia" w:ascii="宋体" w:hAnsi="宋体" w:eastAsia="宋体" w:cs="宋体"/>
                <w:i w:val="0"/>
                <w:iCs w:val="0"/>
                <w:color w:val="000000"/>
                <w:sz w:val="18"/>
                <w:szCs w:val="18"/>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DC21D">
            <w:pPr>
              <w:jc w:val="center"/>
              <w:rPr>
                <w:rFonts w:hint="eastAsia" w:ascii="宋体" w:hAnsi="宋体" w:eastAsia="宋体" w:cs="宋体"/>
                <w:i w:val="0"/>
                <w:iCs w:val="0"/>
                <w:color w:val="000000"/>
                <w:sz w:val="18"/>
                <w:szCs w:val="1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F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营养成本满足率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38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F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3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A4C2">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E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34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69DD">
            <w:pPr>
              <w:jc w:val="center"/>
              <w:rPr>
                <w:rFonts w:hint="eastAsia" w:ascii="微软雅黑" w:hAnsi="微软雅黑" w:eastAsia="微软雅黑" w:cs="微软雅黑"/>
                <w:i/>
                <w:iCs/>
                <w:color w:val="000000"/>
                <w:sz w:val="16"/>
                <w:szCs w:val="16"/>
                <w:u w:val="none"/>
              </w:rPr>
            </w:pPr>
          </w:p>
        </w:tc>
      </w:tr>
      <w:tr w14:paraId="2A53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14C2">
            <w:pPr>
              <w:jc w:val="cente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4129">
            <w:pPr>
              <w:jc w:val="center"/>
              <w:rPr>
                <w:rFonts w:hint="eastAsia" w:ascii="宋体" w:hAnsi="宋体" w:eastAsia="宋体" w:cs="宋体"/>
                <w:i w:val="0"/>
                <w:iCs w:val="0"/>
                <w:color w:val="000000"/>
                <w:sz w:val="18"/>
                <w:szCs w:val="18"/>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AEC4">
            <w:pPr>
              <w:jc w:val="center"/>
              <w:rPr>
                <w:rFonts w:hint="eastAsia" w:ascii="宋体" w:hAnsi="宋体" w:eastAsia="宋体" w:cs="宋体"/>
                <w:i w:val="0"/>
                <w:iCs w:val="0"/>
                <w:color w:val="000000"/>
                <w:sz w:val="18"/>
                <w:szCs w:val="1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6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膳食结构的合理度</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84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D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4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BFF">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9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3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B1DA">
            <w:pPr>
              <w:jc w:val="center"/>
              <w:rPr>
                <w:rFonts w:hint="eastAsia" w:ascii="微软雅黑" w:hAnsi="微软雅黑" w:eastAsia="微软雅黑" w:cs="微软雅黑"/>
                <w:i/>
                <w:iCs/>
                <w:color w:val="000000"/>
                <w:sz w:val="16"/>
                <w:szCs w:val="16"/>
                <w:u w:val="none"/>
              </w:rPr>
            </w:pPr>
          </w:p>
        </w:tc>
      </w:tr>
      <w:tr w14:paraId="68A8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0E1E">
            <w:pPr>
              <w:jc w:val="cente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22C5">
            <w:pPr>
              <w:jc w:val="center"/>
              <w:rPr>
                <w:rFonts w:hint="eastAsia" w:ascii="宋体" w:hAnsi="宋体" w:eastAsia="宋体" w:cs="宋体"/>
                <w:i w:val="0"/>
                <w:iCs w:val="0"/>
                <w:color w:val="000000"/>
                <w:sz w:val="18"/>
                <w:szCs w:val="18"/>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846E">
            <w:pPr>
              <w:jc w:val="center"/>
              <w:rPr>
                <w:rFonts w:hint="eastAsia" w:ascii="宋体" w:hAnsi="宋体" w:eastAsia="宋体" w:cs="宋体"/>
                <w:i w:val="0"/>
                <w:iCs w:val="0"/>
                <w:color w:val="000000"/>
                <w:sz w:val="18"/>
                <w:szCs w:val="1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农村义务教育学生覆盖率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A8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0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1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93C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5B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20E7">
            <w:pPr>
              <w:jc w:val="center"/>
              <w:rPr>
                <w:rFonts w:hint="eastAsia" w:ascii="微软雅黑" w:hAnsi="微软雅黑" w:eastAsia="微软雅黑" w:cs="微软雅黑"/>
                <w:i/>
                <w:iCs/>
                <w:color w:val="000000"/>
                <w:sz w:val="16"/>
                <w:szCs w:val="16"/>
                <w:u w:val="none"/>
              </w:rPr>
            </w:pPr>
          </w:p>
        </w:tc>
      </w:tr>
      <w:tr w14:paraId="1FDA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0DF1">
            <w:pPr>
              <w:jc w:val="cente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9B16">
            <w:pPr>
              <w:jc w:val="center"/>
              <w:rPr>
                <w:rFonts w:hint="eastAsia" w:ascii="宋体" w:hAnsi="宋体" w:eastAsia="宋体" w:cs="宋体"/>
                <w:i w:val="0"/>
                <w:iCs w:val="0"/>
                <w:color w:val="000000"/>
                <w:sz w:val="18"/>
                <w:szCs w:val="18"/>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1D68">
            <w:pPr>
              <w:jc w:val="center"/>
              <w:rPr>
                <w:rFonts w:hint="eastAsia" w:ascii="宋体" w:hAnsi="宋体" w:eastAsia="宋体" w:cs="宋体"/>
                <w:i w:val="0"/>
                <w:iCs w:val="0"/>
                <w:color w:val="000000"/>
                <w:sz w:val="18"/>
                <w:szCs w:val="1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F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食品安全达标率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38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9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20D2">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2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C6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4497">
            <w:pPr>
              <w:jc w:val="center"/>
              <w:rPr>
                <w:rFonts w:hint="eastAsia" w:ascii="微软雅黑" w:hAnsi="微软雅黑" w:eastAsia="微软雅黑" w:cs="微软雅黑"/>
                <w:i/>
                <w:iCs/>
                <w:color w:val="000000"/>
                <w:sz w:val="16"/>
                <w:szCs w:val="16"/>
                <w:u w:val="none"/>
              </w:rPr>
            </w:pPr>
          </w:p>
        </w:tc>
      </w:tr>
      <w:tr w14:paraId="1437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CCE3">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9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E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A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学生身体素质</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E4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4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1703">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A4AB">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E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7A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709">
            <w:pPr>
              <w:jc w:val="center"/>
              <w:rPr>
                <w:rFonts w:hint="eastAsia" w:ascii="微软雅黑" w:hAnsi="微软雅黑" w:eastAsia="微软雅黑" w:cs="微软雅黑"/>
                <w:i/>
                <w:iCs/>
                <w:color w:val="000000"/>
                <w:sz w:val="16"/>
                <w:szCs w:val="16"/>
                <w:u w:val="none"/>
              </w:rPr>
            </w:pPr>
          </w:p>
        </w:tc>
      </w:tr>
      <w:tr w14:paraId="024C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B590">
            <w:pPr>
              <w:jc w:val="center"/>
              <w:rPr>
                <w:rFonts w:hint="eastAsia" w:ascii="宋体" w:hAnsi="宋体" w:eastAsia="宋体" w:cs="宋体"/>
                <w:i w:val="0"/>
                <w:iCs w:val="0"/>
                <w:color w:val="000000"/>
                <w:sz w:val="18"/>
                <w:szCs w:val="18"/>
                <w:u w:val="none"/>
              </w:rPr>
            </w:pP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71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E5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4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95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8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A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25E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1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3D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302F">
            <w:pPr>
              <w:jc w:val="center"/>
              <w:rPr>
                <w:rFonts w:hint="eastAsia" w:ascii="微软雅黑" w:hAnsi="微软雅黑" w:eastAsia="微软雅黑" w:cs="微软雅黑"/>
                <w:i/>
                <w:iCs/>
                <w:color w:val="000000"/>
                <w:sz w:val="16"/>
                <w:szCs w:val="16"/>
                <w:u w:val="none"/>
              </w:rPr>
            </w:pPr>
          </w:p>
        </w:tc>
      </w:tr>
      <w:tr w14:paraId="6FAB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F50B">
            <w:pPr>
              <w:jc w:val="cente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2FAD">
            <w:pPr>
              <w:jc w:val="center"/>
              <w:rPr>
                <w:rFonts w:hint="eastAsia" w:ascii="宋体" w:hAnsi="宋体" w:eastAsia="宋体" w:cs="宋体"/>
                <w:i w:val="0"/>
                <w:iCs w:val="0"/>
                <w:color w:val="000000"/>
                <w:sz w:val="18"/>
                <w:szCs w:val="18"/>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C98F3">
            <w:pPr>
              <w:jc w:val="center"/>
              <w:rPr>
                <w:rFonts w:hint="eastAsia" w:ascii="宋体" w:hAnsi="宋体" w:eastAsia="宋体" w:cs="宋体"/>
                <w:i w:val="0"/>
                <w:iCs w:val="0"/>
                <w:color w:val="000000"/>
                <w:sz w:val="18"/>
                <w:szCs w:val="1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DE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9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64F9">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4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30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5E6">
            <w:pPr>
              <w:jc w:val="center"/>
              <w:rPr>
                <w:rFonts w:hint="eastAsia" w:ascii="微软雅黑" w:hAnsi="微软雅黑" w:eastAsia="微软雅黑" w:cs="微软雅黑"/>
                <w:i/>
                <w:iCs/>
                <w:color w:val="000000"/>
                <w:sz w:val="16"/>
                <w:szCs w:val="16"/>
                <w:u w:val="none"/>
              </w:rPr>
            </w:pPr>
          </w:p>
        </w:tc>
      </w:tr>
      <w:tr w14:paraId="4E49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1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68C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698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E2E8">
            <w:pPr>
              <w:rPr>
                <w:rFonts w:hint="eastAsia" w:ascii="宋体" w:hAnsi="宋体" w:eastAsia="宋体" w:cs="宋体"/>
                <w:i w:val="0"/>
                <w:iCs w:val="0"/>
                <w:color w:val="000000"/>
                <w:sz w:val="18"/>
                <w:szCs w:val="18"/>
                <w:u w:val="none"/>
              </w:rPr>
            </w:pPr>
          </w:p>
        </w:tc>
      </w:tr>
      <w:tr w14:paraId="48D3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C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55ED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项目自评总分达到100分，表明项目实施取得了良好的成效。通过实施，项目达到了预期目标，解决了实际问题，取得了显著成果。</w:t>
            </w:r>
          </w:p>
        </w:tc>
      </w:tr>
      <w:tr w14:paraId="67C6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B88B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128E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1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850E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077B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E4680">
            <w:pPr>
              <w:keepNext w:val="0"/>
              <w:keepLines w:val="0"/>
              <w:widowControl/>
              <w:suppressLineNumbers w:val="0"/>
              <w:jc w:val="left"/>
              <w:textAlignment w:val="center"/>
              <w:rPr>
                <w:rFonts w:hint="default" w:ascii="微软雅黑" w:hAnsi="微软雅黑" w:eastAsia="微软雅黑" w:cs="微软雅黑"/>
                <w:i/>
                <w:iCs/>
                <w:color w:val="000000"/>
                <w:kern w:val="0"/>
                <w:sz w:val="16"/>
                <w:szCs w:val="16"/>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项目负责人：袁国春、朱勇</w:t>
            </w:r>
          </w:p>
        </w:tc>
        <w:tc>
          <w:tcPr>
            <w:tcW w:w="6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547658">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财务负责人：李金萤</w:t>
            </w:r>
          </w:p>
        </w:tc>
      </w:tr>
      <w:tr w14:paraId="6E22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0" w:type="dxa"/>
            <w:tcBorders>
              <w:top w:val="nil"/>
              <w:left w:val="nil"/>
              <w:bottom w:val="nil"/>
              <w:right w:val="nil"/>
            </w:tcBorders>
            <w:shd w:val="clear" w:color="auto" w:fill="auto"/>
            <w:vAlign w:val="center"/>
          </w:tcPr>
          <w:p w14:paraId="08B2CF71">
            <w:pPr>
              <w:rPr>
                <w:rFonts w:hint="eastAsia" w:ascii="宋体" w:hAnsi="宋体" w:eastAsia="宋体" w:cs="宋体"/>
                <w:i w:val="0"/>
                <w:iCs w:val="0"/>
                <w:color w:val="000000"/>
                <w:sz w:val="18"/>
                <w:szCs w:val="18"/>
                <w:u w:val="none"/>
              </w:rPr>
            </w:pPr>
          </w:p>
        </w:tc>
        <w:tc>
          <w:tcPr>
            <w:tcW w:w="1904" w:type="dxa"/>
            <w:tcBorders>
              <w:top w:val="nil"/>
              <w:left w:val="nil"/>
              <w:bottom w:val="nil"/>
              <w:right w:val="nil"/>
            </w:tcBorders>
            <w:shd w:val="clear" w:color="auto" w:fill="auto"/>
            <w:vAlign w:val="center"/>
          </w:tcPr>
          <w:p w14:paraId="036438DA">
            <w:pPr>
              <w:rPr>
                <w:rFonts w:hint="eastAsia" w:ascii="宋体" w:hAnsi="宋体" w:eastAsia="宋体" w:cs="宋体"/>
                <w:i w:val="0"/>
                <w:iCs w:val="0"/>
                <w:color w:val="000000"/>
                <w:sz w:val="18"/>
                <w:szCs w:val="18"/>
                <w:u w:val="none"/>
              </w:rPr>
            </w:pPr>
          </w:p>
        </w:tc>
        <w:tc>
          <w:tcPr>
            <w:tcW w:w="1651" w:type="dxa"/>
            <w:tcBorders>
              <w:top w:val="nil"/>
              <w:left w:val="nil"/>
              <w:bottom w:val="nil"/>
              <w:right w:val="nil"/>
            </w:tcBorders>
            <w:shd w:val="clear" w:color="auto" w:fill="auto"/>
            <w:vAlign w:val="center"/>
          </w:tcPr>
          <w:p w14:paraId="5032DA4C">
            <w:pPr>
              <w:rPr>
                <w:rFonts w:hint="eastAsia" w:ascii="宋体" w:hAnsi="宋体" w:eastAsia="宋体" w:cs="宋体"/>
                <w:i w:val="0"/>
                <w:iCs w:val="0"/>
                <w:color w:val="000000"/>
                <w:sz w:val="18"/>
                <w:szCs w:val="18"/>
                <w:u w:val="none"/>
              </w:rPr>
            </w:pPr>
          </w:p>
        </w:tc>
        <w:tc>
          <w:tcPr>
            <w:tcW w:w="2102" w:type="dxa"/>
            <w:tcBorders>
              <w:top w:val="nil"/>
              <w:left w:val="nil"/>
              <w:bottom w:val="nil"/>
              <w:right w:val="nil"/>
            </w:tcBorders>
            <w:shd w:val="clear" w:color="auto" w:fill="auto"/>
            <w:vAlign w:val="center"/>
          </w:tcPr>
          <w:p w14:paraId="77077E01">
            <w:pPr>
              <w:rPr>
                <w:rFonts w:hint="eastAsia" w:ascii="宋体" w:hAnsi="宋体" w:eastAsia="宋体" w:cs="宋体"/>
                <w:i w:val="0"/>
                <w:iCs w:val="0"/>
                <w:color w:val="000000"/>
                <w:sz w:val="18"/>
                <w:szCs w:val="18"/>
                <w:u w:val="none"/>
              </w:rPr>
            </w:pPr>
          </w:p>
        </w:tc>
        <w:tc>
          <w:tcPr>
            <w:tcW w:w="494" w:type="dxa"/>
            <w:gridSpan w:val="2"/>
            <w:tcBorders>
              <w:top w:val="nil"/>
              <w:left w:val="nil"/>
              <w:bottom w:val="nil"/>
              <w:right w:val="nil"/>
            </w:tcBorders>
            <w:shd w:val="clear" w:color="auto" w:fill="auto"/>
            <w:vAlign w:val="center"/>
          </w:tcPr>
          <w:p w14:paraId="636600D6">
            <w:pPr>
              <w:rPr>
                <w:rFonts w:hint="eastAsia" w:ascii="宋体" w:hAnsi="宋体" w:eastAsia="宋体" w:cs="宋体"/>
                <w:i w:val="0"/>
                <w:iCs w:val="0"/>
                <w:color w:val="000000"/>
                <w:sz w:val="18"/>
                <w:szCs w:val="18"/>
                <w:u w:val="none"/>
              </w:rPr>
            </w:pPr>
          </w:p>
        </w:tc>
        <w:tc>
          <w:tcPr>
            <w:tcW w:w="1557" w:type="dxa"/>
            <w:tcBorders>
              <w:top w:val="nil"/>
              <w:left w:val="nil"/>
              <w:bottom w:val="nil"/>
              <w:right w:val="nil"/>
            </w:tcBorders>
            <w:shd w:val="clear" w:color="auto" w:fill="auto"/>
            <w:vAlign w:val="center"/>
          </w:tcPr>
          <w:p w14:paraId="68747AD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9CDBBD2">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shd w:val="clear" w:color="auto" w:fill="auto"/>
            <w:vAlign w:val="center"/>
          </w:tcPr>
          <w:p w14:paraId="118BA98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05CC0C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2EA034A">
            <w:pPr>
              <w:rPr>
                <w:rFonts w:hint="eastAsia" w:ascii="宋体" w:hAnsi="宋体" w:eastAsia="宋体" w:cs="宋体"/>
                <w:i w:val="0"/>
                <w:iCs w:val="0"/>
                <w:color w:val="000000"/>
                <w:sz w:val="18"/>
                <w:szCs w:val="18"/>
                <w:u w:val="none"/>
              </w:rPr>
            </w:pPr>
          </w:p>
        </w:tc>
        <w:tc>
          <w:tcPr>
            <w:tcW w:w="2379" w:type="dxa"/>
            <w:tcBorders>
              <w:top w:val="nil"/>
              <w:left w:val="nil"/>
              <w:bottom w:val="nil"/>
              <w:right w:val="nil"/>
            </w:tcBorders>
            <w:shd w:val="clear" w:color="auto" w:fill="auto"/>
            <w:vAlign w:val="center"/>
          </w:tcPr>
          <w:p w14:paraId="618EEF4D">
            <w:pPr>
              <w:rPr>
                <w:rFonts w:hint="eastAsia" w:ascii="宋体" w:hAnsi="宋体" w:eastAsia="宋体" w:cs="宋体"/>
                <w:i w:val="0"/>
                <w:iCs w:val="0"/>
                <w:color w:val="000000"/>
                <w:sz w:val="18"/>
                <w:szCs w:val="18"/>
                <w:u w:val="none"/>
              </w:rPr>
            </w:pPr>
          </w:p>
        </w:tc>
      </w:tr>
      <w:tr w14:paraId="32E1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5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E1A56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CF0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0E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F07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51172422T000005767020-大竹县童家镇第二中心小学8.8洪灾围墙堡坎应急排危工程（存量）</w:t>
            </w:r>
          </w:p>
        </w:tc>
      </w:tr>
      <w:tr w14:paraId="1EC1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BAF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0251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大竹县童家镇第二中心小学部门</w:t>
            </w:r>
          </w:p>
        </w:tc>
        <w:tc>
          <w:tcPr>
            <w:tcW w:w="1037" w:type="dxa"/>
            <w:tcBorders>
              <w:top w:val="nil"/>
              <w:left w:val="nil"/>
              <w:bottom w:val="nil"/>
              <w:right w:val="nil"/>
            </w:tcBorders>
            <w:shd w:val="clear" w:color="auto" w:fill="auto"/>
            <w:vAlign w:val="center"/>
          </w:tcPr>
          <w:p w14:paraId="58D2C5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39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w:t>
            </w:r>
          </w:p>
        </w:tc>
      </w:tr>
      <w:tr w14:paraId="7F7C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E6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2F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E1E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A116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C7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645D">
            <w:pPr>
              <w:rPr>
                <w:rFonts w:hint="eastAsia" w:ascii="宋体" w:hAnsi="宋体" w:eastAsia="宋体" w:cs="宋体"/>
                <w:i w:val="0"/>
                <w:iCs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CA44">
            <w:pPr>
              <w:rPr>
                <w:rFonts w:hint="eastAsia" w:ascii="宋体" w:hAnsi="宋体" w:eastAsia="宋体" w:cs="宋体"/>
                <w:i w:val="0"/>
                <w:iCs w:val="0"/>
                <w:color w:val="000000"/>
                <w:sz w:val="18"/>
                <w:szCs w:val="18"/>
                <w:u w:val="none"/>
              </w:rPr>
            </w:pPr>
          </w:p>
        </w:tc>
        <w:tc>
          <w:tcPr>
            <w:tcW w:w="6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7E66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大竹县童家镇第二中心小学8.8洪灾围墙保坎应急排危工程</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727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严格执行相关政策，保障围墙堡坎施工顺利实施。</w:t>
            </w:r>
          </w:p>
        </w:tc>
      </w:tr>
      <w:tr w14:paraId="23EF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9DDBE">
            <w:pP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4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C4ED91">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该资金全部用于围墙堡坎应急排危工程，验收合格，并支付完成。</w:t>
            </w:r>
          </w:p>
        </w:tc>
      </w:tr>
      <w:tr w14:paraId="7430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D3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6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C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BD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F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23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15EA">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B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DB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A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7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DEC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EA47A">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highlight w:val="yellow"/>
                <w:u w:val="none"/>
                <w:lang w:val="en-US" w:eastAsia="zh-CN" w:bidi="ar"/>
              </w:rPr>
              <w:t>存量指标</w:t>
            </w:r>
          </w:p>
        </w:tc>
      </w:tr>
      <w:tr w14:paraId="7419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995A4">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8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4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5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9C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7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666A">
            <w:pPr>
              <w:rPr>
                <w:rFonts w:hint="eastAsia" w:ascii="黑体" w:hAnsi="黑体" w:eastAsia="黑体" w:cs="黑体"/>
                <w:i/>
                <w:iCs/>
                <w:color w:val="000000"/>
                <w:sz w:val="18"/>
                <w:szCs w:val="18"/>
                <w:u w:val="none"/>
              </w:rPr>
            </w:pPr>
          </w:p>
        </w:tc>
      </w:tr>
      <w:tr w14:paraId="712B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060D">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5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0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97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D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B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3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E349">
            <w:pPr>
              <w:rPr>
                <w:rFonts w:hint="eastAsia" w:ascii="黑体" w:hAnsi="黑体" w:eastAsia="黑体" w:cs="黑体"/>
                <w:i/>
                <w:iCs/>
                <w:color w:val="000000"/>
                <w:sz w:val="18"/>
                <w:szCs w:val="18"/>
                <w:u w:val="none"/>
              </w:rPr>
            </w:pPr>
          </w:p>
        </w:tc>
      </w:tr>
      <w:tr w14:paraId="03E6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6CE0">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3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1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23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C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B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F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9A2A">
            <w:pPr>
              <w:rPr>
                <w:rFonts w:hint="eastAsia" w:ascii="黑体" w:hAnsi="黑体" w:eastAsia="黑体" w:cs="黑体"/>
                <w:i/>
                <w:iCs/>
                <w:color w:val="000000"/>
                <w:sz w:val="18"/>
                <w:szCs w:val="18"/>
                <w:u w:val="none"/>
              </w:rPr>
            </w:pPr>
          </w:p>
        </w:tc>
      </w:tr>
      <w:tr w14:paraId="1B81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87BF">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0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1D47">
            <w:pPr>
              <w:jc w:val="center"/>
              <w:rPr>
                <w:rFonts w:hint="eastAsia" w:ascii="微软雅黑" w:hAnsi="微软雅黑" w:eastAsia="微软雅黑" w:cs="微软雅黑"/>
                <w:i/>
                <w:iCs/>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09BD">
            <w:pPr>
              <w:jc w:val="center"/>
              <w:rPr>
                <w:rFonts w:hint="eastAsia" w:ascii="微软雅黑" w:hAnsi="微软雅黑" w:eastAsia="微软雅黑" w:cs="微软雅黑"/>
                <w:i/>
                <w:iCs/>
                <w:color w:val="000000"/>
                <w:sz w:val="16"/>
                <w:szCs w:val="16"/>
                <w:u w:val="none"/>
              </w:rPr>
            </w:pP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24A2F">
            <w:pPr>
              <w:jc w:val="center"/>
              <w:rPr>
                <w:rFonts w:hint="eastAsia" w:ascii="微软雅黑" w:hAnsi="微软雅黑" w:eastAsia="微软雅黑" w:cs="微软雅黑"/>
                <w:i/>
                <w:iCs/>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420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2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0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A42B">
            <w:pPr>
              <w:rPr>
                <w:rFonts w:hint="eastAsia" w:ascii="黑体" w:hAnsi="黑体" w:eastAsia="黑体" w:cs="黑体"/>
                <w:i/>
                <w:iCs/>
                <w:color w:val="000000"/>
                <w:sz w:val="18"/>
                <w:szCs w:val="18"/>
                <w:u w:val="none"/>
              </w:rPr>
            </w:pPr>
          </w:p>
        </w:tc>
      </w:tr>
      <w:tr w14:paraId="30CA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A6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4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A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D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56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F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2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2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2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00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0CD9C">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8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D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8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大竹县童家镇第二中心小学8.8洪灾围墙保坎应急排危工程</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6C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0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0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CFB">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D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9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61C4">
            <w:pPr>
              <w:jc w:val="center"/>
              <w:rPr>
                <w:rFonts w:hint="eastAsia" w:ascii="微软雅黑" w:hAnsi="微软雅黑" w:eastAsia="微软雅黑" w:cs="微软雅黑"/>
                <w:i/>
                <w:iCs/>
                <w:color w:val="000000"/>
                <w:sz w:val="16"/>
                <w:szCs w:val="16"/>
                <w:u w:val="none"/>
              </w:rPr>
            </w:pPr>
          </w:p>
        </w:tc>
      </w:tr>
      <w:tr w14:paraId="7167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A02D">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5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6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1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大竹县童家镇第二中心小学8.8洪灾围墙保坎应急排危工程</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4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F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7A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6B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520A">
            <w:pPr>
              <w:jc w:val="center"/>
              <w:rPr>
                <w:rFonts w:hint="eastAsia" w:ascii="微软雅黑" w:hAnsi="微软雅黑" w:eastAsia="微软雅黑" w:cs="微软雅黑"/>
                <w:i/>
                <w:iCs/>
                <w:color w:val="000000"/>
                <w:sz w:val="16"/>
                <w:szCs w:val="16"/>
                <w:u w:val="none"/>
              </w:rPr>
            </w:pPr>
          </w:p>
        </w:tc>
      </w:tr>
      <w:tr w14:paraId="14BA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1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6EA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C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6B7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ACE">
            <w:pPr>
              <w:rPr>
                <w:rFonts w:hint="eastAsia" w:ascii="宋体" w:hAnsi="宋体" w:eastAsia="宋体" w:cs="宋体"/>
                <w:i w:val="0"/>
                <w:iCs w:val="0"/>
                <w:color w:val="000000"/>
                <w:sz w:val="18"/>
                <w:szCs w:val="18"/>
                <w:u w:val="none"/>
              </w:rPr>
            </w:pPr>
          </w:p>
        </w:tc>
      </w:tr>
      <w:tr w14:paraId="7DF6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5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9A39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项目自评总分达到100分，表明项目实施取得了良好的成效。通过实施，项目达到了预期目标，解决了实际问题，取得了显著成果。</w:t>
            </w:r>
          </w:p>
        </w:tc>
      </w:tr>
      <w:tr w14:paraId="5683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59C4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0645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1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8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C1A1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135D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6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0563B">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项目负责人：袁国春</w:t>
            </w:r>
          </w:p>
        </w:tc>
        <w:tc>
          <w:tcPr>
            <w:tcW w:w="6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1E99F">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财务负责人：李金萤</w:t>
            </w:r>
          </w:p>
        </w:tc>
      </w:tr>
    </w:tbl>
    <w:p w14:paraId="517F69B3">
      <w:pPr>
        <w:pStyle w:val="5"/>
        <w:spacing w:before="93"/>
        <w:rPr>
          <w:rFonts w:hAnsi="Calibri" w:cs="仿宋"/>
          <w:sz w:val="32"/>
          <w:szCs w:val="32"/>
        </w:rPr>
        <w:sectPr>
          <w:headerReference r:id="rId6" w:type="default"/>
          <w:footerReference r:id="rId7" w:type="default"/>
          <w:pgSz w:w="16838" w:h="11906" w:orient="landscape"/>
          <w:pgMar w:top="1440" w:right="1800" w:bottom="1440" w:left="1800" w:header="851" w:footer="992" w:gutter="0"/>
          <w:pgNumType w:fmt="decimal"/>
          <w:cols w:space="425" w:num="1"/>
          <w:titlePg/>
          <w:docGrid w:type="lines" w:linePitch="312" w:charSpace="0"/>
        </w:sectPr>
      </w:pPr>
    </w:p>
    <w:p w14:paraId="363F106A">
      <w:pPr>
        <w:spacing w:line="600" w:lineRule="exact"/>
        <w:jc w:val="center"/>
        <w:outlineLvl w:val="0"/>
        <w:rPr>
          <w:rFonts w:ascii="仿宋" w:hAnsi="仿宋" w:eastAsia="仿宋"/>
        </w:rPr>
      </w:pPr>
      <w:bookmarkStart w:id="72" w:name="_Toc15696"/>
      <w:r>
        <w:rPr>
          <w:rFonts w:hint="eastAsia" w:ascii="黑体" w:hAnsi="黑体" w:eastAsia="黑体"/>
          <w:sz w:val="44"/>
          <w:szCs w:val="44"/>
        </w:rPr>
        <w:t>第</w:t>
      </w:r>
      <w:r>
        <w:rPr>
          <w:rStyle w:val="27"/>
          <w:rFonts w:hint="eastAsia" w:ascii="黑体" w:hAnsi="黑体" w:eastAsia="黑体"/>
          <w:b w:val="0"/>
        </w:rPr>
        <w:t>五部分</w:t>
      </w:r>
      <w:r>
        <w:rPr>
          <w:rStyle w:val="27"/>
          <w:rFonts w:hint="eastAsia" w:ascii="黑体" w:hAnsi="黑体" w:eastAsia="黑体"/>
          <w:b w:val="0"/>
          <w:lang w:val="en-US" w:eastAsia="zh-CN"/>
        </w:rPr>
        <w:t xml:space="preserve"> </w:t>
      </w:r>
      <w:r>
        <w:rPr>
          <w:rStyle w:val="27"/>
          <w:rFonts w:hint="eastAsia" w:ascii="黑体" w:hAnsi="黑体" w:eastAsia="黑体"/>
          <w:b w:val="0"/>
        </w:rPr>
        <w:t>附表</w:t>
      </w:r>
      <w:bookmarkEnd w:id="70"/>
      <w:bookmarkEnd w:id="71"/>
      <w:bookmarkEnd w:id="72"/>
      <w:bookmarkStart w:id="73" w:name="_Toc15396619"/>
    </w:p>
    <w:p w14:paraId="78B13FDD">
      <w:pPr>
        <w:pStyle w:val="3"/>
        <w:rPr>
          <w:rFonts w:ascii="仿宋" w:hAnsi="仿宋" w:eastAsia="仿宋"/>
        </w:rPr>
      </w:pPr>
      <w:bookmarkStart w:id="74" w:name="_Toc9002"/>
      <w:r>
        <w:rPr>
          <w:rFonts w:hint="eastAsia" w:ascii="仿宋" w:hAnsi="仿宋" w:eastAsia="仿宋"/>
          <w:b w:val="0"/>
        </w:rPr>
        <w:t>一、收</w:t>
      </w:r>
      <w:r>
        <w:rPr>
          <w:rStyle w:val="28"/>
          <w:rFonts w:hint="eastAsia" w:ascii="仿宋" w:hAnsi="仿宋" w:eastAsia="仿宋"/>
          <w:b w:val="0"/>
          <w:bCs w:val="0"/>
        </w:rPr>
        <w:t>入支出决算总表</w:t>
      </w:r>
      <w:bookmarkEnd w:id="73"/>
      <w:bookmarkEnd w:id="74"/>
    </w:p>
    <w:p w14:paraId="4E29D89D">
      <w:pPr>
        <w:pStyle w:val="3"/>
        <w:rPr>
          <w:rFonts w:ascii="仿宋" w:hAnsi="仿宋" w:eastAsia="仿宋"/>
        </w:rPr>
      </w:pPr>
      <w:bookmarkStart w:id="75" w:name="_Toc15396620"/>
      <w:bookmarkStart w:id="76" w:name="_Toc21070"/>
      <w:r>
        <w:rPr>
          <w:rFonts w:hint="eastAsia" w:ascii="仿宋" w:hAnsi="仿宋" w:eastAsia="仿宋"/>
          <w:b w:val="0"/>
        </w:rPr>
        <w:t>二、收</w:t>
      </w:r>
      <w:r>
        <w:rPr>
          <w:rStyle w:val="28"/>
          <w:rFonts w:hint="eastAsia" w:ascii="仿宋" w:hAnsi="仿宋" w:eastAsia="仿宋"/>
          <w:b w:val="0"/>
          <w:bCs w:val="0"/>
        </w:rPr>
        <w:t>入决算表</w:t>
      </w:r>
      <w:bookmarkEnd w:id="75"/>
      <w:bookmarkEnd w:id="76"/>
    </w:p>
    <w:p w14:paraId="31FA0287">
      <w:pPr>
        <w:pStyle w:val="3"/>
        <w:rPr>
          <w:rFonts w:ascii="仿宋" w:hAnsi="仿宋" w:eastAsia="仿宋"/>
        </w:rPr>
      </w:pPr>
      <w:bookmarkStart w:id="77" w:name="_Toc15396621"/>
      <w:bookmarkStart w:id="78" w:name="_Toc5304"/>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77"/>
      <w:bookmarkEnd w:id="78"/>
    </w:p>
    <w:p w14:paraId="130C390F">
      <w:pPr>
        <w:pStyle w:val="3"/>
        <w:rPr>
          <w:rFonts w:ascii="仿宋" w:hAnsi="仿宋" w:eastAsia="仿宋"/>
          <w:b w:val="0"/>
        </w:rPr>
      </w:pPr>
      <w:bookmarkStart w:id="79" w:name="_Toc15396622"/>
      <w:bookmarkStart w:id="80" w:name="_Toc18475"/>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79"/>
      <w:bookmarkEnd w:id="80"/>
    </w:p>
    <w:p w14:paraId="26ED5C7A">
      <w:pPr>
        <w:pStyle w:val="3"/>
        <w:rPr>
          <w:rStyle w:val="28"/>
          <w:rFonts w:ascii="仿宋" w:hAnsi="仿宋" w:eastAsia="仿宋"/>
          <w:b w:val="0"/>
          <w:bCs w:val="0"/>
        </w:rPr>
      </w:pPr>
      <w:bookmarkStart w:id="81" w:name="_Toc15396623"/>
      <w:bookmarkStart w:id="82" w:name="_Toc16175"/>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1"/>
      <w:bookmarkEnd w:id="82"/>
      <w:bookmarkStart w:id="83" w:name="_Toc15396624"/>
    </w:p>
    <w:p w14:paraId="59F017D5">
      <w:pPr>
        <w:pStyle w:val="3"/>
        <w:rPr>
          <w:rFonts w:ascii="仿宋" w:hAnsi="仿宋" w:eastAsia="仿宋"/>
        </w:rPr>
      </w:pPr>
      <w:bookmarkStart w:id="84" w:name="_Toc25025"/>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3"/>
      <w:bookmarkEnd w:id="84"/>
    </w:p>
    <w:p w14:paraId="1155C92D">
      <w:pPr>
        <w:pStyle w:val="3"/>
        <w:rPr>
          <w:rFonts w:ascii="仿宋" w:hAnsi="仿宋" w:eastAsia="仿宋"/>
        </w:rPr>
      </w:pPr>
      <w:bookmarkStart w:id="85" w:name="_Toc28702"/>
      <w:bookmarkStart w:id="86"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85"/>
      <w:bookmarkEnd w:id="86"/>
    </w:p>
    <w:p w14:paraId="48032FEE">
      <w:pPr>
        <w:pStyle w:val="3"/>
        <w:rPr>
          <w:rFonts w:ascii="仿宋" w:hAnsi="仿宋" w:eastAsia="仿宋"/>
        </w:rPr>
      </w:pPr>
      <w:bookmarkStart w:id="87" w:name="_Toc15396626"/>
      <w:bookmarkStart w:id="88" w:name="_Toc31737"/>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87"/>
      <w:bookmarkEnd w:id="88"/>
    </w:p>
    <w:p w14:paraId="31573D2A">
      <w:pPr>
        <w:pStyle w:val="3"/>
        <w:rPr>
          <w:rFonts w:ascii="仿宋" w:hAnsi="仿宋" w:eastAsia="仿宋"/>
        </w:rPr>
      </w:pPr>
      <w:bookmarkStart w:id="89" w:name="_Toc10240"/>
      <w:bookmarkStart w:id="90"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89"/>
      <w:bookmarkEnd w:id="90"/>
    </w:p>
    <w:p w14:paraId="636F92DD">
      <w:pPr>
        <w:pStyle w:val="3"/>
        <w:rPr>
          <w:rFonts w:ascii="仿宋" w:hAnsi="仿宋" w:eastAsia="仿宋"/>
        </w:rPr>
      </w:pPr>
      <w:bookmarkStart w:id="91" w:name="_Toc15396628"/>
      <w:bookmarkStart w:id="92" w:name="_Toc6097"/>
      <w:r>
        <w:rPr>
          <w:rStyle w:val="28"/>
          <w:rFonts w:hint="eastAsia" w:ascii="仿宋" w:hAnsi="仿宋" w:eastAsia="仿宋"/>
          <w:b w:val="0"/>
          <w:bCs w:val="0"/>
        </w:rPr>
        <w:t>十、</w:t>
      </w:r>
      <w:bookmarkEnd w:id="91"/>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2"/>
    </w:p>
    <w:p w14:paraId="32AEDE77">
      <w:pPr>
        <w:pStyle w:val="3"/>
        <w:rPr>
          <w:rFonts w:ascii="仿宋" w:hAnsi="仿宋" w:eastAsia="仿宋"/>
        </w:rPr>
      </w:pPr>
      <w:bookmarkStart w:id="93" w:name="_Toc15396629"/>
      <w:bookmarkStart w:id="94" w:name="_Toc1183"/>
      <w:r>
        <w:rPr>
          <w:rStyle w:val="28"/>
          <w:rFonts w:hint="eastAsia" w:ascii="仿宋" w:hAnsi="仿宋" w:eastAsia="仿宋"/>
          <w:b w:val="0"/>
          <w:bCs w:val="0"/>
        </w:rPr>
        <w:t>十一、</w:t>
      </w:r>
      <w:bookmarkEnd w:id="93"/>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4"/>
    </w:p>
    <w:p w14:paraId="1BB67FBB">
      <w:pPr>
        <w:pStyle w:val="3"/>
        <w:rPr>
          <w:rFonts w:ascii="仿宋" w:hAnsi="仿宋" w:eastAsia="仿宋"/>
        </w:rPr>
      </w:pPr>
      <w:bookmarkStart w:id="95" w:name="_Toc15396630"/>
      <w:bookmarkStart w:id="96" w:name="_Toc419"/>
      <w:r>
        <w:rPr>
          <w:rStyle w:val="28"/>
          <w:rFonts w:hint="eastAsia" w:ascii="仿宋" w:hAnsi="仿宋" w:eastAsia="仿宋"/>
          <w:b w:val="0"/>
          <w:bCs w:val="0"/>
        </w:rPr>
        <w:t>十二、</w:t>
      </w:r>
      <w:bookmarkEnd w:id="95"/>
      <w:r>
        <w:rPr>
          <w:rStyle w:val="28"/>
          <w:rFonts w:hint="eastAsia" w:ascii="仿宋" w:hAnsi="仿宋" w:eastAsia="仿宋"/>
          <w:b w:val="0"/>
          <w:bCs w:val="0"/>
        </w:rPr>
        <w:t>国有资本经营预算财政拨款支出决算表</w:t>
      </w:r>
      <w:bookmarkEnd w:id="96"/>
    </w:p>
    <w:p w14:paraId="58A5902F">
      <w:pPr>
        <w:pStyle w:val="3"/>
        <w:rPr>
          <w:rFonts w:eastAsia="仿宋"/>
        </w:rPr>
      </w:pPr>
      <w:bookmarkStart w:id="97" w:name="_Toc15396631"/>
      <w:bookmarkStart w:id="98" w:name="_Toc6075"/>
      <w:r>
        <w:rPr>
          <w:rStyle w:val="28"/>
          <w:rFonts w:hint="eastAsia" w:ascii="仿宋" w:hAnsi="仿宋" w:eastAsia="仿宋"/>
          <w:b w:val="0"/>
          <w:bCs w:val="0"/>
        </w:rPr>
        <w:t>十三、</w:t>
      </w:r>
      <w:bookmarkEnd w:id="97"/>
      <w:r>
        <w:rPr>
          <w:rStyle w:val="28"/>
          <w:rFonts w:hint="eastAsia" w:ascii="仿宋" w:hAnsi="仿宋" w:eastAsia="仿宋"/>
          <w:b w:val="0"/>
          <w:bCs w:val="0"/>
        </w:rPr>
        <w:t>财政拨款“三公”经费支出决算表</w:t>
      </w:r>
      <w:bookmarkEnd w:id="98"/>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5C94">
    <w:pPr>
      <w:pStyle w:val="9"/>
      <w:jc w:val="center"/>
    </w:pPr>
  </w:p>
  <w:p w14:paraId="49C5E5C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7407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B5D9F">
                          <w:pPr>
                            <w:pStyle w:val="9"/>
                            <w:rPr>
                              <w:rFonts w:hint="eastAsia"/>
                              <w:lang w:val="en-US" w:eastAsia="zh-C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CFB5D9F">
                    <w:pPr>
                      <w:pStyle w:val="9"/>
                      <w:rPr>
                        <w:rFonts w:hint="eastAsia"/>
                        <w:lang w:val="en-US" w:eastAsia="zh-C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5220">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8CBF4">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128CBF4">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14B5377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8EC29">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4522470</wp:posOffset>
              </wp:positionH>
              <wp:positionV relativeFrom="paragraph">
                <wp:posOffset>66675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C61C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6.1pt;margin-top:5.25pt;height:144pt;width:144pt;mso-position-horizontal-relative:margin;mso-wrap-style:none;z-index:251661312;mso-width-relative:page;mso-height-relative:page;" filled="f" stroked="f" coordsize="21600,21600" o:gfxdata="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g+ia1wAAAAs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14:paraId="691C61C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sdt>
      <w:sdtPr>
        <w:id w:val="-1994781956"/>
      </w:sdtPr>
      <w:sdtEndPr>
        <w:rPr>
          <w:rFonts w:hint="default"/>
          <w:lang w:val="en-US"/>
        </w:rPr>
      </w:sdtEndPr>
      <w:sdtContent/>
    </w:sdt>
  </w:p>
  <w:p w14:paraId="6980F79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63AE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YWI4ZjdiZGZiMjBmNWNkOTk3YzE2YWQxNmQyZ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21FCC"/>
    <w:rsid w:val="03DC2831"/>
    <w:rsid w:val="041D73B4"/>
    <w:rsid w:val="06A05249"/>
    <w:rsid w:val="081B5E94"/>
    <w:rsid w:val="0A2032A3"/>
    <w:rsid w:val="0B8A37D8"/>
    <w:rsid w:val="0CF06F2A"/>
    <w:rsid w:val="0F5FFB2F"/>
    <w:rsid w:val="0FFFCF60"/>
    <w:rsid w:val="101726FE"/>
    <w:rsid w:val="10C055FF"/>
    <w:rsid w:val="118107EC"/>
    <w:rsid w:val="11DD6519"/>
    <w:rsid w:val="16BB723D"/>
    <w:rsid w:val="16E437FC"/>
    <w:rsid w:val="17E42975"/>
    <w:rsid w:val="18015F3F"/>
    <w:rsid w:val="1BE8440E"/>
    <w:rsid w:val="1D155CEE"/>
    <w:rsid w:val="1E8839E2"/>
    <w:rsid w:val="1F712A3D"/>
    <w:rsid w:val="1FCF65BA"/>
    <w:rsid w:val="1FDBBF84"/>
    <w:rsid w:val="20F57F95"/>
    <w:rsid w:val="240371BF"/>
    <w:rsid w:val="2454631C"/>
    <w:rsid w:val="25711CC6"/>
    <w:rsid w:val="25C741E6"/>
    <w:rsid w:val="276F80C0"/>
    <w:rsid w:val="27842671"/>
    <w:rsid w:val="29FD04D3"/>
    <w:rsid w:val="2ABE7A3E"/>
    <w:rsid w:val="2AFF09B6"/>
    <w:rsid w:val="2CA234A8"/>
    <w:rsid w:val="2CF14755"/>
    <w:rsid w:val="2EFA178C"/>
    <w:rsid w:val="2EFDF86C"/>
    <w:rsid w:val="2F9D17E1"/>
    <w:rsid w:val="30533BF7"/>
    <w:rsid w:val="30B46D73"/>
    <w:rsid w:val="319F7F4E"/>
    <w:rsid w:val="35176559"/>
    <w:rsid w:val="356A28F1"/>
    <w:rsid w:val="357B1487"/>
    <w:rsid w:val="357C035A"/>
    <w:rsid w:val="368E000D"/>
    <w:rsid w:val="383D272C"/>
    <w:rsid w:val="39AE70AB"/>
    <w:rsid w:val="3A4DCE41"/>
    <w:rsid w:val="3BCB56FA"/>
    <w:rsid w:val="3C0C0783"/>
    <w:rsid w:val="3EE7C2F4"/>
    <w:rsid w:val="3F371B56"/>
    <w:rsid w:val="3F792ED8"/>
    <w:rsid w:val="3F9F3A96"/>
    <w:rsid w:val="3FECA4B2"/>
    <w:rsid w:val="3FF58C48"/>
    <w:rsid w:val="41F961F7"/>
    <w:rsid w:val="42FF6694"/>
    <w:rsid w:val="481C2622"/>
    <w:rsid w:val="48BF60AB"/>
    <w:rsid w:val="493C27E9"/>
    <w:rsid w:val="496F39ED"/>
    <w:rsid w:val="49887708"/>
    <w:rsid w:val="49FF41D3"/>
    <w:rsid w:val="4A5469AC"/>
    <w:rsid w:val="4A806386"/>
    <w:rsid w:val="4BE068DB"/>
    <w:rsid w:val="4BF6002B"/>
    <w:rsid w:val="4BFFC6BE"/>
    <w:rsid w:val="4EBE0A00"/>
    <w:rsid w:val="4ECE2238"/>
    <w:rsid w:val="50260B1E"/>
    <w:rsid w:val="51DB4B86"/>
    <w:rsid w:val="51F64DB0"/>
    <w:rsid w:val="55333C3E"/>
    <w:rsid w:val="5D3A2804"/>
    <w:rsid w:val="5EAA7403"/>
    <w:rsid w:val="5F1036CB"/>
    <w:rsid w:val="5F67802D"/>
    <w:rsid w:val="5F7DC4F2"/>
    <w:rsid w:val="5FB36814"/>
    <w:rsid w:val="5FBB8E56"/>
    <w:rsid w:val="5FFB5535"/>
    <w:rsid w:val="64CA39A1"/>
    <w:rsid w:val="65A54A64"/>
    <w:rsid w:val="67B141C5"/>
    <w:rsid w:val="69630ADE"/>
    <w:rsid w:val="69BD5F13"/>
    <w:rsid w:val="69FB0B4B"/>
    <w:rsid w:val="6BFFE1FB"/>
    <w:rsid w:val="6C4A05C8"/>
    <w:rsid w:val="6D0F672F"/>
    <w:rsid w:val="6D3B1A89"/>
    <w:rsid w:val="6DB7D8A3"/>
    <w:rsid w:val="6E0B59B0"/>
    <w:rsid w:val="6EC78701"/>
    <w:rsid w:val="6F7A5481"/>
    <w:rsid w:val="6FFE07A9"/>
    <w:rsid w:val="71BF4EC2"/>
    <w:rsid w:val="722B4480"/>
    <w:rsid w:val="72734D90"/>
    <w:rsid w:val="73E75B71"/>
    <w:rsid w:val="7412278C"/>
    <w:rsid w:val="75DDCDA9"/>
    <w:rsid w:val="75FF44B1"/>
    <w:rsid w:val="763E1660"/>
    <w:rsid w:val="76A13E92"/>
    <w:rsid w:val="77670518"/>
    <w:rsid w:val="777FA627"/>
    <w:rsid w:val="77DF1B5F"/>
    <w:rsid w:val="77EF2D9D"/>
    <w:rsid w:val="79E7B28D"/>
    <w:rsid w:val="7ACFF0C2"/>
    <w:rsid w:val="7AFB9108"/>
    <w:rsid w:val="7B400AE1"/>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15"/>
    <w:basedOn w:val="15"/>
    <w:qFormat/>
    <w:uiPriority w:val="0"/>
    <w:rPr>
      <w:rFonts w:hint="default" w:ascii="Calibri" w:hAnsi="Calibri"/>
      <w:b/>
      <w:bCs/>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V&#24494;&#21526;\Desktop\2023&#24180;&#25991;&#20214;\2022&#20915;&#31639;&#20998;&#26512;&#25253;&#21578;\&#20915;&#31639;&#20844;&#24320;&#39292;&#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V&#24494;&#21526;\Desktop\2023&#24180;&#25991;&#20214;\2022&#20915;&#31639;&#20998;&#26512;&#25253;&#21578;\&#20915;&#31639;&#20844;&#24320;&#39292;&#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V&#24494;&#21526;\Desktop\2023&#24180;&#25991;&#20214;\2022&#20915;&#31639;&#20998;&#26512;&#25253;&#21578;\&#20915;&#31639;&#20844;&#24320;&#39292;&#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V&#24494;&#21526;\Desktop\2023&#24180;&#25991;&#20214;\2022&#20915;&#31639;&#20998;&#26512;&#25253;&#21578;\&#20915;&#31639;&#20844;&#24320;&#39292;&#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V&#24494;&#21526;\Desktop\2023&#24180;&#25991;&#20214;\2022&#20915;&#31639;&#20998;&#26512;&#25253;&#21578;\&#20915;&#31639;&#20844;&#24320;&#39292;&#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V&#24494;&#21526;\Desktop\2023&#24180;&#25991;&#20214;\2022&#20915;&#31639;&#20998;&#26512;&#25253;&#21578;\&#20915;&#31639;&#20844;&#24320;&#39292;&#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J:\2022\2022&#24180;&#20915;&#31639;\2021&#24180;&#20915;&#31639;&#20844;&#24320;\2020&#24180;&#20915;&#31639;&#20844;&#24320;&#39292;&#29366;&#22270;&#21442;&#327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4322185345928"/>
          <c:y val="0.0946180555555556"/>
          <c:w val="0.891549655348481"/>
          <c:h val="0.749001736111111"/>
        </c:manualLayout>
      </c:layout>
      <c:barChart>
        <c:barDir val="col"/>
        <c:grouping val="clustered"/>
        <c:varyColors val="0"/>
        <c:ser>
          <c:idx val="0"/>
          <c:order val="0"/>
          <c:tx>
            <c:strRef>
              <c:f>Sheet1!$A$46</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Sheet1!$B$45:$C$45</c:f>
              <c:strCache>
                <c:ptCount val="2"/>
                <c:pt idx="0">
                  <c:v>财政拨款收入（万元）</c:v>
                </c:pt>
                <c:pt idx="1">
                  <c:v>财政拨款支出（万元）</c:v>
                </c:pt>
              </c:strCache>
            </c:strRef>
          </c:cat>
          <c:val>
            <c:numRef>
              <c:f>Sheet1!$B$46:$C$46</c:f>
              <c:numCache>
                <c:formatCode>General</c:formatCode>
                <c:ptCount val="2"/>
                <c:pt idx="0">
                  <c:v>843.96</c:v>
                </c:pt>
                <c:pt idx="1">
                  <c:v>843.96</c:v>
                </c:pt>
              </c:numCache>
            </c:numRef>
          </c:val>
        </c:ser>
        <c:ser>
          <c:idx val="1"/>
          <c:order val="1"/>
          <c:tx>
            <c:strRef>
              <c:f>Sheet1!$A$47</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Sheet1!$B$45:$C$45</c:f>
              <c:strCache>
                <c:ptCount val="2"/>
                <c:pt idx="0">
                  <c:v>财政拨款收入（万元）</c:v>
                </c:pt>
                <c:pt idx="1">
                  <c:v>财政拨款支出（万元）</c:v>
                </c:pt>
              </c:strCache>
            </c:strRef>
          </c:cat>
          <c:val>
            <c:numRef>
              <c:f>Sheet1!$B$47:$C$47</c:f>
              <c:numCache>
                <c:formatCode>General</c:formatCode>
                <c:ptCount val="2"/>
                <c:pt idx="0">
                  <c:v>689.78</c:v>
                </c:pt>
                <c:pt idx="1">
                  <c:v>689.78</c:v>
                </c:pt>
              </c:numCache>
            </c:numRef>
          </c:val>
        </c:ser>
        <c:dLbls>
          <c:showLegendKey val="0"/>
          <c:showVal val="1"/>
          <c:showCatName val="0"/>
          <c:showSerName val="0"/>
          <c:showPercent val="0"/>
          <c:showBubbleSize val="0"/>
        </c:dLbls>
        <c:gapWidth val="260"/>
        <c:overlap val="-32"/>
        <c:axId val="250479606"/>
        <c:axId val="888305645"/>
      </c:barChart>
      <c:catAx>
        <c:axId val="2504796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05645"/>
        <c:crosses val="autoZero"/>
        <c:auto val="1"/>
        <c:lblAlgn val="ctr"/>
        <c:lblOffset val="100"/>
        <c:noMultiLvlLbl val="0"/>
      </c:catAx>
      <c:valAx>
        <c:axId val="88830564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47960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2b50f3c-ca71-432d-bf8f-25369c19bc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[决算公开饼状图.xlsx]Sheet1!$H$89</c:f>
              <c:strCache>
                <c:ptCount val="1"/>
                <c:pt idx="0">
                  <c:v>一般公共预算财政拨款收入（万元）</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[决算公开饼状图.xlsx]Sheet1!$I$88</c:f>
              <c:strCache>
                <c:ptCount val="1"/>
                <c:pt idx="0">
                  <c:v>一般公共服务收入</c:v>
                </c:pt>
              </c:strCache>
            </c:strRef>
          </c:cat>
          <c:val>
            <c:numRef>
              <c:f>[决算公开饼状图.xlsx]Sheet1!$I$89</c:f>
              <c:numCache>
                <c:formatCode>General</c:formatCode>
                <c:ptCount val="1"/>
                <c:pt idx="0">
                  <c:v>660.78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1480a1-b4e7-4b36-bae4-e414ff3473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[决算公开饼状图.xlsx]Sheet1!$E$25</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[决算公开饼状图.xlsx]Sheet1!$F$24:$G$24</c:f>
              <c:strCache>
                <c:ptCount val="2"/>
                <c:pt idx="0">
                  <c:v>基本支出</c:v>
                </c:pt>
                <c:pt idx="1">
                  <c:v>项目支出</c:v>
                </c:pt>
              </c:strCache>
            </c:strRef>
          </c:cat>
          <c:val>
            <c:numRef>
              <c:f>[决算公开饼状图.xlsx]Sheet1!$F$25:$G$25</c:f>
              <c:numCache>
                <c:formatCode>General</c:formatCode>
                <c:ptCount val="2"/>
                <c:pt idx="0">
                  <c:v>654.32</c:v>
                </c:pt>
                <c:pt idx="1">
                  <c:v>35.46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413153-cf83-4f41-b5b4-5446e99333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4322185345928"/>
          <c:y val="0.0946180555555556"/>
          <c:w val="0.891549655348481"/>
          <c:h val="0.749001736111111"/>
        </c:manualLayout>
      </c:layout>
      <c:barChart>
        <c:barDir val="col"/>
        <c:grouping val="clustered"/>
        <c:varyColors val="0"/>
        <c:ser>
          <c:idx val="0"/>
          <c:order val="0"/>
          <c:tx>
            <c:strRef>
              <c:f>Sheet1!$A$46</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Sheet1!$B$45:$C$45</c:f>
              <c:strCache>
                <c:ptCount val="2"/>
                <c:pt idx="0">
                  <c:v>财政拨款收入（万元）</c:v>
                </c:pt>
                <c:pt idx="1">
                  <c:v>财政拨款支出（万元）</c:v>
                </c:pt>
              </c:strCache>
            </c:strRef>
          </c:cat>
          <c:val>
            <c:numRef>
              <c:f>Sheet1!$B$46:$C$46</c:f>
              <c:numCache>
                <c:formatCode>General</c:formatCode>
                <c:ptCount val="2"/>
                <c:pt idx="0">
                  <c:v>843.96</c:v>
                </c:pt>
                <c:pt idx="1">
                  <c:v>843.96</c:v>
                </c:pt>
              </c:numCache>
            </c:numRef>
          </c:val>
        </c:ser>
        <c:ser>
          <c:idx val="1"/>
          <c:order val="1"/>
          <c:tx>
            <c:strRef>
              <c:f>Sheet1!$A$47</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Sheet1!$B$45:$C$45</c:f>
              <c:strCache>
                <c:ptCount val="2"/>
                <c:pt idx="0">
                  <c:v>财政拨款收入（万元）</c:v>
                </c:pt>
                <c:pt idx="1">
                  <c:v>财政拨款支出（万元）</c:v>
                </c:pt>
              </c:strCache>
            </c:strRef>
          </c:cat>
          <c:val>
            <c:numRef>
              <c:f>Sheet1!$B$47:$C$47</c:f>
              <c:numCache>
                <c:formatCode>General</c:formatCode>
                <c:ptCount val="2"/>
                <c:pt idx="0">
                  <c:v>689.78</c:v>
                </c:pt>
                <c:pt idx="1">
                  <c:v>689.78</c:v>
                </c:pt>
              </c:numCache>
            </c:numRef>
          </c:val>
        </c:ser>
        <c:dLbls>
          <c:showLegendKey val="0"/>
          <c:showVal val="1"/>
          <c:showCatName val="0"/>
          <c:showSerName val="0"/>
          <c:showPercent val="0"/>
          <c:showBubbleSize val="0"/>
        </c:dLbls>
        <c:gapWidth val="260"/>
        <c:overlap val="-32"/>
        <c:axId val="250479606"/>
        <c:axId val="888305645"/>
      </c:barChart>
      <c:catAx>
        <c:axId val="2504796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05645"/>
        <c:crosses val="autoZero"/>
        <c:auto val="1"/>
        <c:lblAlgn val="ctr"/>
        <c:lblOffset val="100"/>
        <c:noMultiLvlLbl val="0"/>
      </c:catAx>
      <c:valAx>
        <c:axId val="88830564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47960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097729-bf9f-4dc5-aba7-3b66c070c3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[决算公开饼状图.xlsx]Sheet1!$A$68</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[决算公开饼状图.xlsx]Sheet1!$B$67:$C$67</c:f>
              <c:strCache>
                <c:ptCount val="2"/>
                <c:pt idx="0">
                  <c:v>2022年</c:v>
                </c:pt>
                <c:pt idx="1">
                  <c:v>2023年</c:v>
                </c:pt>
              </c:strCache>
            </c:strRef>
          </c:cat>
          <c:val>
            <c:numRef>
              <c:f>[决算公开饼状图.xlsx]Sheet1!$B$68:$C$68</c:f>
              <c:numCache>
                <c:formatCode>General</c:formatCode>
                <c:ptCount val="2"/>
                <c:pt idx="0">
                  <c:v>843.96</c:v>
                </c:pt>
                <c:pt idx="1">
                  <c:v>689.78</c:v>
                </c:pt>
              </c:numCache>
            </c:numRef>
          </c:val>
        </c:ser>
        <c:dLbls>
          <c:showLegendKey val="0"/>
          <c:showVal val="1"/>
          <c:showCatName val="0"/>
          <c:showSerName val="0"/>
          <c:showPercent val="0"/>
          <c:showBubbleSize val="0"/>
        </c:dLbls>
        <c:gapWidth val="260"/>
        <c:overlap val="-32"/>
        <c:axId val="383151653"/>
        <c:axId val="789619307"/>
      </c:barChart>
      <c:catAx>
        <c:axId val="3831516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619307"/>
        <c:crosses val="autoZero"/>
        <c:auto val="1"/>
        <c:lblAlgn val="ctr"/>
        <c:lblOffset val="100"/>
        <c:noMultiLvlLbl val="0"/>
      </c:catAx>
      <c:valAx>
        <c:axId val="789619307"/>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151653"/>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10c929-9efa-4a1b-89b9-091fe35651b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[决算公开饼状图.xlsx]Sheet1!$A$88</c:f>
              <c:strCache>
                <c:ptCount val="1"/>
                <c:pt idx="0">
                  <c:v>一般公共预算财政拨款支出（万元）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[决算公开饼状图.xlsx]Sheet1!$B$87:$E$87</c:f>
              <c:strCache>
                <c:ptCount val="4"/>
                <c:pt idx="0">
                  <c:v>社会保障和就业支出</c:v>
                </c:pt>
                <c:pt idx="1">
                  <c:v>住房保障支出</c:v>
                </c:pt>
                <c:pt idx="2">
                  <c:v>教育支出</c:v>
                </c:pt>
                <c:pt idx="3">
                  <c:v>卫生健康支出</c:v>
                </c:pt>
              </c:strCache>
            </c:strRef>
          </c:cat>
          <c:val>
            <c:numRef>
              <c:f>[决算公开饼状图.xlsx]Sheet1!$B$88:$E$88</c:f>
              <c:numCache>
                <c:formatCode>General</c:formatCode>
                <c:ptCount val="4"/>
                <c:pt idx="0">
                  <c:v>89.64</c:v>
                </c:pt>
                <c:pt idx="1">
                  <c:v>32.29</c:v>
                </c:pt>
                <c:pt idx="2">
                  <c:v>545.91</c:v>
                </c:pt>
                <c:pt idx="3">
                  <c:v>21.95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21ef82-de6b-4382-85bf-1439c80258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[2020年决算公开饼状图参考.xlsx]Sheet1!$A$131</c:f>
              <c:strCache>
                <c:ptCount val="1"/>
                <c:pt idx="0">
                  <c:v>三公经费支出（万元）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[2020年决算公开饼状图参考.xlsx]Sheet1!$B$130:$D$130</c:f>
              <c:strCache>
                <c:ptCount val="3"/>
                <c:pt idx="0">
                  <c:v>公务接待费</c:v>
                </c:pt>
                <c:pt idx="1">
                  <c:v>公务用车购置及运行维护费</c:v>
                </c:pt>
                <c:pt idx="2">
                  <c:v>因公出国（境）费</c:v>
                </c:pt>
              </c:strCache>
            </c:strRef>
          </c:cat>
          <c:val>
            <c:numRef>
              <c:f>[2020年决算公开饼状图参考.xlsx]Sheet1!$B$131:$D$131</c:f>
              <c:numCache>
                <c:formatCode>General</c:formatCode>
                <c:ptCount val="3"/>
                <c:pt idx="0">
                  <c:v>0</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0555555555556"/>
          <c:y val="0.370252989209682"/>
          <c:w val="0.402777777777778"/>
          <c:h val="0.38541994750656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fed3cc2-dca4-4e30-994a-4013a011a3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21</Words>
  <Characters>24</Characters>
  <Lines>1</Lines>
  <Paragraphs>1</Paragraphs>
  <TotalTime>2</TotalTime>
  <ScaleCrop>false</ScaleCrop>
  <LinksUpToDate>false</LinksUpToDate>
  <CharactersWithSpaces>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Nancy</cp:lastModifiedBy>
  <cp:lastPrinted>2023-08-03T02:35:00Z</cp:lastPrinted>
  <dcterms:modified xsi:type="dcterms:W3CDTF">2024-10-26T01:27:10Z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FF696EC507E4486395522574E0CF529B_13</vt:lpwstr>
  </property>
</Properties>
</file>