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ECB0D">
      <w:pPr>
        <w:spacing w:line="600" w:lineRule="exact"/>
        <w:jc w:val="center"/>
        <w:outlineLvl w:val="9"/>
        <w:rPr>
          <w:rFonts w:ascii="方正小标宋简体" w:hAnsi="宋体" w:eastAsia="方正小标宋简体"/>
          <w:sz w:val="72"/>
          <w:szCs w:val="72"/>
        </w:rPr>
      </w:pPr>
      <w:bookmarkStart w:id="0" w:name="_Toc15396597"/>
      <w:bookmarkStart w:id="1" w:name="_Toc15378441"/>
      <w:bookmarkStart w:id="2" w:name="_Toc15396475"/>
      <w:bookmarkStart w:id="3" w:name="_Toc15377425"/>
      <w:bookmarkStart w:id="4" w:name="_Toc15377193"/>
      <w:bookmarkStart w:id="5" w:name="_Toc15306267"/>
    </w:p>
    <w:p w14:paraId="7BFB7672">
      <w:pPr>
        <w:pStyle w:val="6"/>
        <w:spacing w:before="93"/>
      </w:pPr>
    </w:p>
    <w:p w14:paraId="068259AE">
      <w:pPr>
        <w:spacing w:line="600" w:lineRule="exact"/>
        <w:jc w:val="center"/>
        <w:outlineLvl w:val="9"/>
        <w:rPr>
          <w:rFonts w:ascii="方正小标宋简体" w:hAnsi="宋体" w:eastAsia="方正小标宋简体"/>
          <w:sz w:val="72"/>
          <w:szCs w:val="72"/>
        </w:rPr>
      </w:pPr>
    </w:p>
    <w:p w14:paraId="21A4664A">
      <w:pPr>
        <w:spacing w:line="600" w:lineRule="exact"/>
        <w:jc w:val="center"/>
        <w:outlineLvl w:val="9"/>
        <w:rPr>
          <w:rFonts w:ascii="方正小标宋简体" w:hAnsi="宋体" w:eastAsia="方正小标宋简体"/>
          <w:sz w:val="72"/>
          <w:szCs w:val="72"/>
        </w:rPr>
      </w:pPr>
    </w:p>
    <w:p w14:paraId="7062948E">
      <w:pPr>
        <w:adjustRightInd w:val="0"/>
        <w:snapToGrid w:val="0"/>
        <w:spacing w:line="360" w:lineRule="auto"/>
        <w:jc w:val="center"/>
        <w:outlineLvl w:val="9"/>
        <w:rPr>
          <w:rFonts w:ascii="方正小标宋简体" w:hAnsi="方正小标宋简体" w:eastAsia="方正小标宋简体" w:cs="方正小标宋简体"/>
          <w:sz w:val="72"/>
          <w:szCs w:val="72"/>
        </w:rPr>
      </w:pPr>
      <w:bookmarkStart w:id="6" w:name="_Toc14813"/>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bookmarkEnd w:id="6"/>
    </w:p>
    <w:bookmarkEnd w:id="5"/>
    <w:p w14:paraId="7EDD718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7194"/>
      <w:bookmarkStart w:id="8" w:name="_Toc15306268"/>
      <w:bookmarkStart w:id="9" w:name="_Toc15396476"/>
      <w:bookmarkStart w:id="10" w:name="_Toc2628"/>
      <w:bookmarkStart w:id="11" w:name="_Toc15396598"/>
      <w:bookmarkStart w:id="12" w:name="_Toc15354"/>
      <w:bookmarkStart w:id="13" w:name="_Toc15378442"/>
      <w:bookmarkStart w:id="14" w:name="_Toc15377426"/>
      <w:r>
        <w:rPr>
          <w:rFonts w:hint="eastAsia" w:ascii="方正小标宋简体" w:hAnsi="方正小标宋简体" w:eastAsia="方正小标宋简体" w:cs="方正小标宋简体"/>
          <w:sz w:val="72"/>
          <w:szCs w:val="72"/>
          <w:lang w:eastAsia="zh-CN"/>
        </w:rPr>
        <w:t>大竹县司法局</w:t>
      </w:r>
      <w:r>
        <w:rPr>
          <w:rFonts w:hint="eastAsia" w:ascii="方正小标宋简体" w:hAnsi="方正小标宋简体" w:eastAsia="方正小标宋简体" w:cs="方正小标宋简体"/>
          <w:sz w:val="72"/>
          <w:szCs w:val="72"/>
        </w:rPr>
        <w:t>部门决算</w:t>
      </w:r>
      <w:bookmarkEnd w:id="7"/>
      <w:bookmarkEnd w:id="8"/>
      <w:bookmarkEnd w:id="9"/>
      <w:bookmarkEnd w:id="10"/>
      <w:bookmarkEnd w:id="11"/>
      <w:bookmarkEnd w:id="12"/>
      <w:bookmarkEnd w:id="13"/>
      <w:bookmarkEnd w:id="14"/>
    </w:p>
    <w:p w14:paraId="62A03E55">
      <w:pPr>
        <w:widowControl/>
        <w:jc w:val="center"/>
        <w:rPr>
          <w:rFonts w:hint="eastAsia" w:ascii="黑体" w:hAnsi="黑体" w:eastAsia="黑体"/>
          <w:sz w:val="48"/>
          <w:szCs w:val="48"/>
        </w:rPr>
        <w:sectPr>
          <w:headerReference r:id="rId4" w:type="first"/>
          <w:footerReference r:id="rId6" w:type="first"/>
          <w:headerReference r:id="rId3" w:type="default"/>
          <w:footerReference r:id="rId5" w:type="default"/>
          <w:pgSz w:w="11906" w:h="16838"/>
          <w:pgMar w:top="1440" w:right="1803" w:bottom="1440" w:left="1803" w:header="851" w:footer="992" w:gutter="0"/>
          <w:pgNumType w:fmt="decimal"/>
          <w:cols w:space="0" w:num="1"/>
          <w:titlePg/>
          <w:rtlGutter w:val="0"/>
          <w:docGrid w:type="lines" w:linePitch="319" w:charSpace="0"/>
        </w:sectPr>
      </w:pPr>
    </w:p>
    <w:p w14:paraId="2DB3EC29">
      <w:pPr>
        <w:widowControl/>
        <w:jc w:val="center"/>
        <w:rPr>
          <w:rFonts w:ascii="黑体" w:hAnsi="黑体" w:eastAsia="黑体"/>
          <w:sz w:val="48"/>
          <w:szCs w:val="48"/>
        </w:rPr>
      </w:pPr>
      <w:r>
        <w:rPr>
          <w:rFonts w:hint="eastAsia" w:ascii="黑体" w:hAnsi="黑体" w:eastAsia="黑体"/>
          <w:sz w:val="48"/>
          <w:szCs w:val="48"/>
        </w:rPr>
        <w:t>目录</w:t>
      </w:r>
    </w:p>
    <w:p w14:paraId="2C66CC83">
      <w:pPr>
        <w:widowControl/>
        <w:jc w:val="center"/>
        <w:rPr>
          <w:rFonts w:ascii="黑体" w:hAnsi="黑体" w:eastAsia="黑体" w:cstheme="minorBidi"/>
          <w:sz w:val="28"/>
          <w:szCs w:val="28"/>
          <w:highlight w:val="none"/>
        </w:rPr>
      </w:pPr>
    </w:p>
    <w:p w14:paraId="401FBA6D">
      <w:pPr>
        <w:pStyle w:val="12"/>
        <w:rPr>
          <w:rFonts w:hint="default" w:eastAsia="仿宋"/>
          <w:highlight w:val="none"/>
          <w:lang w:val="en-US" w:eastAsia="zh-CN"/>
        </w:rPr>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sdt>
      <w:sdtPr>
        <w:rPr>
          <w:rFonts w:ascii="宋体" w:hAnsi="宋体" w:eastAsia="宋体" w:cs="Times New Roman"/>
          <w:kern w:val="2"/>
          <w:sz w:val="21"/>
          <w:szCs w:val="24"/>
          <w:lang w:val="en-US" w:eastAsia="zh-CN" w:bidi="ar-SA"/>
        </w:rPr>
        <w:id w:val="147469527"/>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1F43DBAA">
          <w:pPr>
            <w:spacing w:before="0" w:beforeLines="0" w:after="0" w:afterLines="0" w:line="240" w:lineRule="auto"/>
            <w:ind w:left="0" w:leftChars="0" w:right="0" w:rightChars="0" w:firstLine="0" w:firstLineChars="0"/>
            <w:jc w:val="center"/>
          </w:pPr>
          <w:r>
            <w:rPr>
              <w:b/>
            </w:rPr>
            <w:fldChar w:fldCharType="begin"/>
          </w:r>
          <w:r>
            <w:rPr>
              <w:b/>
            </w:rPr>
            <w:instrText xml:space="preserve">TOC \o "1-3" \h \u </w:instrText>
          </w:r>
          <w:r>
            <w:rPr>
              <w:b/>
            </w:rPr>
            <w:fldChar w:fldCharType="separate"/>
          </w:r>
        </w:p>
        <w:p w14:paraId="6A55AB47">
          <w:pPr>
            <w:pStyle w:val="12"/>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_Toc7321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第一部分 </w:t>
          </w:r>
          <w:r>
            <w:rPr>
              <w:rFonts w:hint="eastAsia" w:ascii="仿宋" w:hAnsi="仿宋" w:eastAsia="仿宋" w:cs="仿宋"/>
              <w:bCs w:val="0"/>
              <w:sz w:val="24"/>
              <w:szCs w:val="24"/>
            </w:rPr>
            <w:t>部门概况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_Toc7321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8AEB11B">
          <w:pPr>
            <w:pStyle w:val="13"/>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_Toc9126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一、</w:t>
          </w:r>
          <w:r>
            <w:rPr>
              <w:rFonts w:hint="eastAsia" w:ascii="仿宋" w:hAnsi="仿宋" w:eastAsia="仿宋" w:cs="仿宋"/>
              <w:sz w:val="24"/>
              <w:szCs w:val="24"/>
            </w:rPr>
            <w:t>部门职责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_Toc9126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50B9762">
          <w:pPr>
            <w:pStyle w:val="13"/>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_Toc19957 </w:instrText>
          </w:r>
          <w:r>
            <w:rPr>
              <w:rFonts w:hint="eastAsia" w:ascii="仿宋" w:hAnsi="仿宋" w:eastAsia="仿宋" w:cs="仿宋"/>
              <w:sz w:val="24"/>
              <w:szCs w:val="24"/>
            </w:rPr>
            <w:fldChar w:fldCharType="separate"/>
          </w:r>
          <w:r>
            <w:rPr>
              <w:rFonts w:hint="eastAsia" w:ascii="仿宋" w:hAnsi="仿宋" w:eastAsia="仿宋" w:cs="仿宋"/>
              <w:sz w:val="24"/>
              <w:szCs w:val="24"/>
            </w:rPr>
            <w:t>二、机</w:t>
          </w:r>
          <w:r>
            <w:rPr>
              <w:rFonts w:hint="eastAsia" w:ascii="仿宋" w:hAnsi="仿宋" w:eastAsia="仿宋" w:cs="仿宋"/>
              <w:bCs w:val="0"/>
              <w:sz w:val="24"/>
              <w:szCs w:val="24"/>
            </w:rPr>
            <w:t>构设置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_Toc19957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6D24F59">
          <w:pPr>
            <w:pStyle w:val="12"/>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_Toc8726 </w:instrText>
          </w:r>
          <w:r>
            <w:rPr>
              <w:rFonts w:hint="eastAsia" w:ascii="仿宋" w:hAnsi="仿宋" w:eastAsia="仿宋" w:cs="仿宋"/>
              <w:sz w:val="24"/>
              <w:szCs w:val="24"/>
            </w:rPr>
            <w:fldChar w:fldCharType="separate"/>
          </w:r>
          <w:r>
            <w:rPr>
              <w:rFonts w:hint="eastAsia" w:ascii="仿宋" w:hAnsi="仿宋" w:eastAsia="仿宋" w:cs="仿宋"/>
              <w:sz w:val="24"/>
              <w:szCs w:val="24"/>
            </w:rPr>
            <w:t>第二部分 2023年度</w:t>
          </w:r>
          <w:r>
            <w:rPr>
              <w:rFonts w:hint="eastAsia" w:ascii="仿宋" w:hAnsi="仿宋" w:eastAsia="仿宋" w:cs="仿宋"/>
              <w:bCs/>
              <w:sz w:val="24"/>
              <w:szCs w:val="24"/>
            </w:rPr>
            <w:t>部门决算情况说明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_Toc8726 \h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ACBC1D">
          <w:pPr>
            <w:pStyle w:val="13"/>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_Toc14389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一、</w:t>
          </w:r>
          <w:r>
            <w:rPr>
              <w:rFonts w:hint="eastAsia" w:ascii="仿宋" w:hAnsi="仿宋" w:eastAsia="仿宋" w:cs="仿宋"/>
              <w:sz w:val="24"/>
              <w:szCs w:val="24"/>
            </w:rPr>
            <w:t>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_Toc14389 \h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129DB81">
          <w:pPr>
            <w:pStyle w:val="13"/>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_Toc23362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二、</w:t>
          </w:r>
          <w:r>
            <w:rPr>
              <w:rFonts w:hint="eastAsia" w:ascii="仿宋" w:hAnsi="仿宋" w:eastAsia="仿宋" w:cs="仿宋"/>
              <w:sz w:val="24"/>
              <w:szCs w:val="24"/>
            </w:rPr>
            <w:t>收入决算情况说明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_Toc23362 \h </w:instrText>
          </w:r>
          <w:r>
            <w:rPr>
              <w:rFonts w:hint="eastAsia" w:ascii="仿宋" w:hAnsi="仿宋" w:eastAsia="仿宋" w:cs="仿宋"/>
              <w:sz w:val="24"/>
              <w:szCs w:val="24"/>
            </w:rPr>
            <w:fldChar w:fldCharType="separate"/>
          </w:r>
          <w:r>
            <w:rPr>
              <w:rFonts w:hint="eastAsia" w:ascii="仿宋" w:hAnsi="仿宋" w:eastAsia="仿宋" w:cs="仿宋"/>
              <w:sz w:val="24"/>
              <w:szCs w:val="24"/>
            </w:rPr>
            <w:t>- 3 -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0170EC5">
          <w:pPr>
            <w:pStyle w:val="13"/>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_Toc11024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三、</w:t>
          </w:r>
          <w:r>
            <w:rPr>
              <w:rFonts w:hint="eastAsia" w:ascii="仿宋" w:hAnsi="仿宋" w:eastAsia="仿宋" w:cs="仿宋"/>
              <w:sz w:val="24"/>
              <w:szCs w:val="24"/>
            </w:rPr>
            <w:t>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_Toc11024 \h </w:instrText>
          </w:r>
          <w:r>
            <w:rPr>
              <w:rFonts w:hint="eastAsia" w:ascii="仿宋" w:hAnsi="仿宋" w:eastAsia="仿宋" w:cs="仿宋"/>
              <w:sz w:val="24"/>
              <w:szCs w:val="24"/>
            </w:rPr>
            <w:fldChar w:fldCharType="separate"/>
          </w:r>
          <w:r>
            <w:rPr>
              <w:rFonts w:hint="eastAsia" w:ascii="仿宋" w:hAnsi="仿宋" w:eastAsia="仿宋" w:cs="仿宋"/>
              <w:sz w:val="24"/>
              <w:szCs w:val="24"/>
            </w:rPr>
            <w:t>- 3 -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40ADD0C">
          <w:pPr>
            <w:pStyle w:val="13"/>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_Toc5429 </w:instrText>
          </w:r>
          <w:r>
            <w:rPr>
              <w:rFonts w:hint="eastAsia" w:ascii="仿宋" w:hAnsi="仿宋" w:eastAsia="仿宋" w:cs="仿宋"/>
              <w:sz w:val="24"/>
              <w:szCs w:val="24"/>
            </w:rPr>
            <w:fldChar w:fldCharType="separate"/>
          </w:r>
          <w:r>
            <w:rPr>
              <w:rFonts w:hint="eastAsia" w:ascii="仿宋" w:hAnsi="仿宋" w:eastAsia="仿宋" w:cs="仿宋"/>
              <w:sz w:val="24"/>
              <w:szCs w:val="24"/>
            </w:rPr>
            <w:t>四、财政拨款收入支出决算总体情况说明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_Toc5429 \h </w:instrText>
          </w:r>
          <w:r>
            <w:rPr>
              <w:rFonts w:hint="eastAsia" w:ascii="仿宋" w:hAnsi="仿宋" w:eastAsia="仿宋" w:cs="仿宋"/>
              <w:sz w:val="24"/>
              <w:szCs w:val="24"/>
            </w:rPr>
            <w:fldChar w:fldCharType="separate"/>
          </w:r>
          <w:r>
            <w:rPr>
              <w:rFonts w:hint="eastAsia" w:ascii="仿宋" w:hAnsi="仿宋" w:eastAsia="仿宋" w:cs="仿宋"/>
              <w:sz w:val="24"/>
              <w:szCs w:val="24"/>
            </w:rPr>
            <w:t>- 4 -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BB4A260">
          <w:pPr>
            <w:pStyle w:val="13"/>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_Toc31951 </w:instrText>
          </w:r>
          <w:r>
            <w:rPr>
              <w:rFonts w:hint="eastAsia" w:ascii="仿宋" w:hAnsi="仿宋" w:eastAsia="仿宋" w:cs="仿宋"/>
              <w:sz w:val="24"/>
              <w:szCs w:val="24"/>
            </w:rPr>
            <w:fldChar w:fldCharType="separate"/>
          </w:r>
          <w:r>
            <w:rPr>
              <w:rFonts w:hint="eastAsia" w:ascii="仿宋" w:hAnsi="仿宋" w:eastAsia="仿宋" w:cs="仿宋"/>
              <w:sz w:val="24"/>
              <w:szCs w:val="24"/>
            </w:rPr>
            <w:t>五、一般公共预算财政拨款支出决算情况说明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_Toc31951 \h </w:instrText>
          </w:r>
          <w:r>
            <w:rPr>
              <w:rFonts w:hint="eastAsia" w:ascii="仿宋" w:hAnsi="仿宋" w:eastAsia="仿宋" w:cs="仿宋"/>
              <w:sz w:val="24"/>
              <w:szCs w:val="24"/>
            </w:rPr>
            <w:fldChar w:fldCharType="separate"/>
          </w:r>
          <w:r>
            <w:rPr>
              <w:rFonts w:hint="eastAsia" w:ascii="仿宋" w:hAnsi="仿宋" w:eastAsia="仿宋" w:cs="仿宋"/>
              <w:sz w:val="24"/>
              <w:szCs w:val="24"/>
            </w:rPr>
            <w:t>- 5 -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679A95D">
          <w:pPr>
            <w:pStyle w:val="8"/>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_Toc31701 </w:instrText>
          </w:r>
          <w:r>
            <w:rPr>
              <w:rFonts w:hint="eastAsia" w:ascii="仿宋" w:hAnsi="仿宋" w:eastAsia="仿宋" w:cs="仿宋"/>
              <w:sz w:val="24"/>
              <w:szCs w:val="24"/>
            </w:rPr>
            <w:fldChar w:fldCharType="separate"/>
          </w:r>
          <w:r>
            <w:rPr>
              <w:rFonts w:hint="eastAsia" w:ascii="仿宋" w:hAnsi="仿宋" w:eastAsia="仿宋" w:cs="仿宋"/>
              <w:sz w:val="24"/>
              <w:szCs w:val="24"/>
            </w:rPr>
            <w:t>（一）一般公共预算财政拨款支出决算总体情况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_Toc31701 \h </w:instrText>
          </w:r>
          <w:r>
            <w:rPr>
              <w:rFonts w:hint="eastAsia" w:ascii="仿宋" w:hAnsi="仿宋" w:eastAsia="仿宋" w:cs="仿宋"/>
              <w:sz w:val="24"/>
              <w:szCs w:val="24"/>
            </w:rPr>
            <w:fldChar w:fldCharType="separate"/>
          </w:r>
          <w:r>
            <w:rPr>
              <w:rFonts w:hint="eastAsia" w:ascii="仿宋" w:hAnsi="仿宋" w:eastAsia="仿宋" w:cs="仿宋"/>
              <w:sz w:val="24"/>
              <w:szCs w:val="24"/>
            </w:rPr>
            <w:t>- 5 -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CA057F6">
          <w:pPr>
            <w:pStyle w:val="8"/>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_Toc9589 </w:instrText>
          </w:r>
          <w:r>
            <w:rPr>
              <w:rFonts w:hint="eastAsia" w:ascii="仿宋" w:hAnsi="仿宋" w:eastAsia="仿宋" w:cs="仿宋"/>
              <w:sz w:val="24"/>
              <w:szCs w:val="24"/>
            </w:rPr>
            <w:fldChar w:fldCharType="separate"/>
          </w:r>
          <w:r>
            <w:rPr>
              <w:rFonts w:hint="eastAsia" w:ascii="仿宋" w:hAnsi="仿宋" w:eastAsia="仿宋" w:cs="仿宋"/>
              <w:sz w:val="24"/>
              <w:szCs w:val="24"/>
            </w:rPr>
            <w:t>（二）一般公共预算财政拨款支出决算结构情况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_Toc9589 \h </w:instrText>
          </w:r>
          <w:r>
            <w:rPr>
              <w:rFonts w:hint="eastAsia" w:ascii="仿宋" w:hAnsi="仿宋" w:eastAsia="仿宋" w:cs="仿宋"/>
              <w:sz w:val="24"/>
              <w:szCs w:val="24"/>
            </w:rPr>
            <w:fldChar w:fldCharType="separate"/>
          </w:r>
          <w:r>
            <w:rPr>
              <w:rFonts w:hint="eastAsia" w:ascii="仿宋" w:hAnsi="仿宋" w:eastAsia="仿宋" w:cs="仿宋"/>
              <w:sz w:val="24"/>
              <w:szCs w:val="24"/>
            </w:rPr>
            <w:t>- 6 -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3DBA11F">
          <w:pPr>
            <w:pStyle w:val="8"/>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_Toc7148 </w:instrText>
          </w:r>
          <w:r>
            <w:rPr>
              <w:rFonts w:hint="eastAsia" w:ascii="仿宋" w:hAnsi="仿宋" w:eastAsia="仿宋" w:cs="仿宋"/>
              <w:sz w:val="24"/>
              <w:szCs w:val="24"/>
            </w:rPr>
            <w:fldChar w:fldCharType="separate"/>
          </w:r>
          <w:r>
            <w:rPr>
              <w:rFonts w:hint="eastAsia" w:ascii="仿宋" w:hAnsi="仿宋" w:eastAsia="仿宋" w:cs="仿宋"/>
              <w:sz w:val="24"/>
              <w:szCs w:val="24"/>
            </w:rPr>
            <w:t>（三）一般公共预算财政拨款支出决算具体情况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_Toc7148 \h </w:instrText>
          </w:r>
          <w:r>
            <w:rPr>
              <w:rFonts w:hint="eastAsia" w:ascii="仿宋" w:hAnsi="仿宋" w:eastAsia="仿宋" w:cs="仿宋"/>
              <w:sz w:val="24"/>
              <w:szCs w:val="24"/>
            </w:rPr>
            <w:fldChar w:fldCharType="separate"/>
          </w:r>
          <w:r>
            <w:rPr>
              <w:rFonts w:hint="eastAsia" w:ascii="仿宋" w:hAnsi="仿宋" w:eastAsia="仿宋" w:cs="仿宋"/>
              <w:sz w:val="24"/>
              <w:szCs w:val="24"/>
            </w:rPr>
            <w:t>- 7 -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0AFBDF7">
          <w:pPr>
            <w:pStyle w:val="13"/>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_Toc26674 </w:instrText>
          </w:r>
          <w:r>
            <w:rPr>
              <w:rFonts w:hint="eastAsia" w:ascii="仿宋" w:hAnsi="仿宋" w:eastAsia="仿宋" w:cs="仿宋"/>
              <w:sz w:val="24"/>
              <w:szCs w:val="24"/>
            </w:rPr>
            <w:fldChar w:fldCharType="separate"/>
          </w:r>
          <w:r>
            <w:rPr>
              <w:rFonts w:hint="eastAsia" w:ascii="仿宋" w:hAnsi="仿宋" w:eastAsia="仿宋" w:cs="仿宋"/>
              <w:sz w:val="24"/>
              <w:szCs w:val="24"/>
            </w:rPr>
            <w:t>六、一般公共预算财政拨款基本支出决算情况说明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_Toc26674 \h </w:instrText>
          </w:r>
          <w:r>
            <w:rPr>
              <w:rFonts w:hint="eastAsia" w:ascii="仿宋" w:hAnsi="仿宋" w:eastAsia="仿宋" w:cs="仿宋"/>
              <w:sz w:val="24"/>
              <w:szCs w:val="24"/>
            </w:rPr>
            <w:fldChar w:fldCharType="separate"/>
          </w:r>
          <w:r>
            <w:rPr>
              <w:rFonts w:hint="eastAsia" w:ascii="仿宋" w:hAnsi="仿宋" w:eastAsia="仿宋" w:cs="仿宋"/>
              <w:sz w:val="24"/>
              <w:szCs w:val="24"/>
            </w:rPr>
            <w:t>- 9 -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6FB6E55">
          <w:pPr>
            <w:pStyle w:val="13"/>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_Toc5966 </w:instrText>
          </w:r>
          <w:r>
            <w:rPr>
              <w:rFonts w:hint="eastAsia" w:ascii="仿宋" w:hAnsi="仿宋" w:eastAsia="仿宋" w:cs="仿宋"/>
              <w:sz w:val="24"/>
              <w:szCs w:val="24"/>
            </w:rPr>
            <w:fldChar w:fldCharType="separate"/>
          </w:r>
          <w:r>
            <w:rPr>
              <w:rFonts w:hint="eastAsia" w:ascii="仿宋" w:hAnsi="仿宋" w:eastAsia="仿宋" w:cs="仿宋"/>
              <w:sz w:val="24"/>
              <w:szCs w:val="24"/>
            </w:rPr>
            <w:t>七、财政拨款“三公”经费支出决算情况说明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_Toc5966 \h </w:instrText>
          </w:r>
          <w:r>
            <w:rPr>
              <w:rFonts w:hint="eastAsia" w:ascii="仿宋" w:hAnsi="仿宋" w:eastAsia="仿宋" w:cs="仿宋"/>
              <w:sz w:val="24"/>
              <w:szCs w:val="24"/>
            </w:rPr>
            <w:fldChar w:fldCharType="separate"/>
          </w:r>
          <w:r>
            <w:rPr>
              <w:rFonts w:hint="eastAsia" w:ascii="仿宋" w:hAnsi="仿宋" w:eastAsia="仿宋" w:cs="仿宋"/>
              <w:sz w:val="24"/>
              <w:szCs w:val="24"/>
            </w:rPr>
            <w:t>- 10 -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1877613">
          <w:pPr>
            <w:pStyle w:val="8"/>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_Toc9572 </w:instrText>
          </w:r>
          <w:r>
            <w:rPr>
              <w:rFonts w:hint="eastAsia" w:ascii="仿宋" w:hAnsi="仿宋" w:eastAsia="仿宋" w:cs="仿宋"/>
              <w:sz w:val="24"/>
              <w:szCs w:val="24"/>
            </w:rPr>
            <w:fldChar w:fldCharType="separate"/>
          </w:r>
          <w:r>
            <w:rPr>
              <w:rFonts w:hint="eastAsia" w:ascii="仿宋" w:hAnsi="仿宋" w:eastAsia="仿宋" w:cs="仿宋"/>
              <w:sz w:val="24"/>
              <w:szCs w:val="24"/>
            </w:rPr>
            <w:t>（一）“三公”经费财政拨款支出决算总体情况说明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_Toc9572 \h </w:instrText>
          </w:r>
          <w:r>
            <w:rPr>
              <w:rFonts w:hint="eastAsia" w:ascii="仿宋" w:hAnsi="仿宋" w:eastAsia="仿宋" w:cs="仿宋"/>
              <w:sz w:val="24"/>
              <w:szCs w:val="24"/>
            </w:rPr>
            <w:fldChar w:fldCharType="separate"/>
          </w:r>
          <w:r>
            <w:rPr>
              <w:rFonts w:hint="eastAsia" w:ascii="仿宋" w:hAnsi="仿宋" w:eastAsia="仿宋" w:cs="仿宋"/>
              <w:sz w:val="24"/>
              <w:szCs w:val="24"/>
            </w:rPr>
            <w:t>- 10 -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574394F">
          <w:pPr>
            <w:pStyle w:val="8"/>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_Toc25424 </w:instrText>
          </w:r>
          <w:r>
            <w:rPr>
              <w:rFonts w:hint="eastAsia" w:ascii="仿宋" w:hAnsi="仿宋" w:eastAsia="仿宋" w:cs="仿宋"/>
              <w:sz w:val="24"/>
              <w:szCs w:val="24"/>
            </w:rPr>
            <w:fldChar w:fldCharType="separate"/>
          </w:r>
          <w:r>
            <w:rPr>
              <w:rFonts w:hint="eastAsia" w:ascii="仿宋" w:hAnsi="仿宋" w:eastAsia="仿宋" w:cs="仿宋"/>
              <w:sz w:val="24"/>
              <w:szCs w:val="24"/>
            </w:rPr>
            <w:t>（二）“三公”经费财政拨款支出决算具体情况说明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_Toc25424 \h </w:instrText>
          </w:r>
          <w:r>
            <w:rPr>
              <w:rFonts w:hint="eastAsia" w:ascii="仿宋" w:hAnsi="仿宋" w:eastAsia="仿宋" w:cs="仿宋"/>
              <w:sz w:val="24"/>
              <w:szCs w:val="24"/>
            </w:rPr>
            <w:fldChar w:fldCharType="separate"/>
          </w:r>
          <w:r>
            <w:rPr>
              <w:rFonts w:hint="eastAsia" w:ascii="仿宋" w:hAnsi="仿宋" w:eastAsia="仿宋" w:cs="仿宋"/>
              <w:sz w:val="24"/>
              <w:szCs w:val="24"/>
            </w:rPr>
            <w:t>- 10 -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F75FFF7">
          <w:pPr>
            <w:pStyle w:val="13"/>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_Toc438 </w:instrText>
          </w:r>
          <w:r>
            <w:rPr>
              <w:rFonts w:hint="eastAsia" w:ascii="仿宋" w:hAnsi="仿宋" w:eastAsia="仿宋" w:cs="仿宋"/>
              <w:sz w:val="24"/>
              <w:szCs w:val="24"/>
            </w:rPr>
            <w:fldChar w:fldCharType="separate"/>
          </w:r>
          <w:r>
            <w:rPr>
              <w:rFonts w:hint="eastAsia" w:ascii="仿宋" w:hAnsi="仿宋" w:eastAsia="仿宋" w:cs="仿宋"/>
              <w:sz w:val="24"/>
              <w:szCs w:val="24"/>
            </w:rPr>
            <w:t>八、政府性基金预算支出决算情况说明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_Toc438 \h </w:instrText>
          </w:r>
          <w:r>
            <w:rPr>
              <w:rFonts w:hint="eastAsia" w:ascii="仿宋" w:hAnsi="仿宋" w:eastAsia="仿宋" w:cs="仿宋"/>
              <w:sz w:val="24"/>
              <w:szCs w:val="24"/>
            </w:rPr>
            <w:fldChar w:fldCharType="separate"/>
          </w:r>
          <w:r>
            <w:rPr>
              <w:rFonts w:hint="eastAsia" w:ascii="仿宋" w:hAnsi="仿宋" w:eastAsia="仿宋" w:cs="仿宋"/>
              <w:sz w:val="24"/>
              <w:szCs w:val="24"/>
            </w:rPr>
            <w:t>- 12 -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75DB61A">
          <w:pPr>
            <w:pStyle w:val="13"/>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_Toc11251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九、</w:t>
          </w:r>
          <w:r>
            <w:rPr>
              <w:rFonts w:hint="eastAsia" w:ascii="仿宋" w:hAnsi="仿宋" w:eastAsia="仿宋" w:cs="仿宋"/>
              <w:sz w:val="24"/>
              <w:szCs w:val="24"/>
            </w:rPr>
            <w:t>国有资本经营预算支出决算情况说明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_Toc11251 \h </w:instrText>
          </w:r>
          <w:r>
            <w:rPr>
              <w:rFonts w:hint="eastAsia" w:ascii="仿宋" w:hAnsi="仿宋" w:eastAsia="仿宋" w:cs="仿宋"/>
              <w:sz w:val="24"/>
              <w:szCs w:val="24"/>
            </w:rPr>
            <w:fldChar w:fldCharType="separate"/>
          </w:r>
          <w:r>
            <w:rPr>
              <w:rFonts w:hint="eastAsia" w:ascii="仿宋" w:hAnsi="仿宋" w:eastAsia="仿宋" w:cs="仿宋"/>
              <w:sz w:val="24"/>
              <w:szCs w:val="24"/>
            </w:rPr>
            <w:t>- 12 -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9552FB2">
          <w:pPr>
            <w:pStyle w:val="13"/>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_Toc13084 </w:instrText>
          </w:r>
          <w:r>
            <w:rPr>
              <w:rFonts w:hint="eastAsia" w:ascii="仿宋" w:hAnsi="仿宋" w:eastAsia="仿宋" w:cs="仿宋"/>
              <w:sz w:val="24"/>
              <w:szCs w:val="24"/>
            </w:rPr>
            <w:fldChar w:fldCharType="separate"/>
          </w:r>
          <w:r>
            <w:rPr>
              <w:rFonts w:hint="eastAsia" w:ascii="仿宋" w:hAnsi="仿宋" w:eastAsia="仿宋" w:cs="仿宋"/>
              <w:bCs/>
              <w:kern w:val="2"/>
              <w:sz w:val="24"/>
              <w:szCs w:val="24"/>
              <w:lang w:val="en-US" w:eastAsia="zh-CN" w:bidi="ar-SA"/>
            </w:rPr>
            <w:t>十、</w:t>
          </w:r>
          <w:r>
            <w:rPr>
              <w:rFonts w:hint="eastAsia" w:ascii="仿宋" w:hAnsi="仿宋" w:eastAsia="仿宋" w:cs="仿宋"/>
              <w:sz w:val="24"/>
              <w:szCs w:val="24"/>
            </w:rPr>
            <w:t>其他重要事项的情况说明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_Toc13084 \h </w:instrText>
          </w:r>
          <w:r>
            <w:rPr>
              <w:rFonts w:hint="eastAsia" w:ascii="仿宋" w:hAnsi="仿宋" w:eastAsia="仿宋" w:cs="仿宋"/>
              <w:sz w:val="24"/>
              <w:szCs w:val="24"/>
            </w:rPr>
            <w:fldChar w:fldCharType="separate"/>
          </w:r>
          <w:r>
            <w:rPr>
              <w:rFonts w:hint="eastAsia" w:ascii="仿宋" w:hAnsi="仿宋" w:eastAsia="仿宋" w:cs="仿宋"/>
              <w:sz w:val="24"/>
              <w:szCs w:val="24"/>
            </w:rPr>
            <w:t>- 12 -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C2FE04">
          <w:pPr>
            <w:pStyle w:val="8"/>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_Toc2417 </w:instrText>
          </w:r>
          <w:r>
            <w:rPr>
              <w:rFonts w:hint="eastAsia" w:ascii="仿宋" w:hAnsi="仿宋" w:eastAsia="仿宋" w:cs="仿宋"/>
              <w:sz w:val="24"/>
              <w:szCs w:val="24"/>
            </w:rPr>
            <w:fldChar w:fldCharType="separate"/>
          </w:r>
          <w:r>
            <w:rPr>
              <w:rFonts w:hint="eastAsia" w:ascii="仿宋" w:hAnsi="仿宋" w:eastAsia="仿宋" w:cs="仿宋"/>
              <w:sz w:val="24"/>
              <w:szCs w:val="24"/>
            </w:rPr>
            <w:t>（一）机关运行经费支出情况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_Toc2417 \h </w:instrText>
          </w:r>
          <w:r>
            <w:rPr>
              <w:rFonts w:hint="eastAsia" w:ascii="仿宋" w:hAnsi="仿宋" w:eastAsia="仿宋" w:cs="仿宋"/>
              <w:sz w:val="24"/>
              <w:szCs w:val="24"/>
            </w:rPr>
            <w:fldChar w:fldCharType="separate"/>
          </w:r>
          <w:r>
            <w:rPr>
              <w:rFonts w:hint="eastAsia" w:ascii="仿宋" w:hAnsi="仿宋" w:eastAsia="仿宋" w:cs="仿宋"/>
              <w:sz w:val="24"/>
              <w:szCs w:val="24"/>
            </w:rPr>
            <w:t>- 12 -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F55DD92">
          <w:pPr>
            <w:pStyle w:val="8"/>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_Toc2743 </w:instrText>
          </w:r>
          <w:r>
            <w:rPr>
              <w:rFonts w:hint="eastAsia" w:ascii="仿宋" w:hAnsi="仿宋" w:eastAsia="仿宋" w:cs="仿宋"/>
              <w:sz w:val="24"/>
              <w:szCs w:val="24"/>
            </w:rPr>
            <w:fldChar w:fldCharType="separate"/>
          </w:r>
          <w:r>
            <w:rPr>
              <w:rFonts w:hint="eastAsia" w:ascii="仿宋" w:hAnsi="仿宋" w:eastAsia="仿宋" w:cs="仿宋"/>
              <w:sz w:val="24"/>
              <w:szCs w:val="24"/>
            </w:rPr>
            <w:t>（二）政府采购支出情况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_Toc2743 \h </w:instrText>
          </w:r>
          <w:r>
            <w:rPr>
              <w:rFonts w:hint="eastAsia" w:ascii="仿宋" w:hAnsi="仿宋" w:eastAsia="仿宋" w:cs="仿宋"/>
              <w:sz w:val="24"/>
              <w:szCs w:val="24"/>
            </w:rPr>
            <w:fldChar w:fldCharType="separate"/>
          </w:r>
          <w:r>
            <w:rPr>
              <w:rFonts w:hint="eastAsia" w:ascii="仿宋" w:hAnsi="仿宋" w:eastAsia="仿宋" w:cs="仿宋"/>
              <w:sz w:val="24"/>
              <w:szCs w:val="24"/>
            </w:rPr>
            <w:t>- 13 -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E90F8FC">
          <w:pPr>
            <w:pStyle w:val="8"/>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_Toc25347 </w:instrText>
          </w:r>
          <w:r>
            <w:rPr>
              <w:rFonts w:hint="eastAsia" w:ascii="仿宋" w:hAnsi="仿宋" w:eastAsia="仿宋" w:cs="仿宋"/>
              <w:sz w:val="24"/>
              <w:szCs w:val="24"/>
            </w:rPr>
            <w:fldChar w:fldCharType="separate"/>
          </w:r>
          <w:r>
            <w:rPr>
              <w:rFonts w:hint="eastAsia" w:ascii="仿宋" w:hAnsi="仿宋" w:eastAsia="仿宋" w:cs="仿宋"/>
              <w:sz w:val="24"/>
              <w:szCs w:val="24"/>
            </w:rPr>
            <w:t>（三）国有资产占有使用情况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_Toc25347 \h </w:instrText>
          </w:r>
          <w:r>
            <w:rPr>
              <w:rFonts w:hint="eastAsia" w:ascii="仿宋" w:hAnsi="仿宋" w:eastAsia="仿宋" w:cs="仿宋"/>
              <w:sz w:val="24"/>
              <w:szCs w:val="24"/>
            </w:rPr>
            <w:fldChar w:fldCharType="separate"/>
          </w:r>
          <w:r>
            <w:rPr>
              <w:rFonts w:hint="eastAsia" w:ascii="仿宋" w:hAnsi="仿宋" w:eastAsia="仿宋" w:cs="仿宋"/>
              <w:sz w:val="24"/>
              <w:szCs w:val="24"/>
            </w:rPr>
            <w:t>- 13 -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C962EB1">
          <w:pPr>
            <w:pStyle w:val="8"/>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_Toc19185 </w:instrText>
          </w:r>
          <w:r>
            <w:rPr>
              <w:rFonts w:hint="eastAsia" w:ascii="仿宋" w:hAnsi="仿宋" w:eastAsia="仿宋" w:cs="仿宋"/>
              <w:sz w:val="24"/>
              <w:szCs w:val="24"/>
            </w:rPr>
            <w:fldChar w:fldCharType="separate"/>
          </w:r>
          <w:r>
            <w:rPr>
              <w:rFonts w:hint="eastAsia" w:ascii="仿宋" w:hAnsi="仿宋" w:eastAsia="仿宋" w:cs="仿宋"/>
              <w:sz w:val="24"/>
              <w:szCs w:val="24"/>
            </w:rPr>
            <w:t>（四）预算绩效管理情况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_Toc19185 \h </w:instrText>
          </w:r>
          <w:r>
            <w:rPr>
              <w:rFonts w:hint="eastAsia" w:ascii="仿宋" w:hAnsi="仿宋" w:eastAsia="仿宋" w:cs="仿宋"/>
              <w:sz w:val="24"/>
              <w:szCs w:val="24"/>
            </w:rPr>
            <w:fldChar w:fldCharType="separate"/>
          </w:r>
          <w:r>
            <w:rPr>
              <w:rFonts w:hint="eastAsia" w:ascii="仿宋" w:hAnsi="仿宋" w:eastAsia="仿宋" w:cs="仿宋"/>
              <w:sz w:val="24"/>
              <w:szCs w:val="24"/>
            </w:rPr>
            <w:t>- 13 -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9F74142">
          <w:pPr>
            <w:pStyle w:val="12"/>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_Toc28964 </w:instrText>
          </w:r>
          <w:r>
            <w:rPr>
              <w:rFonts w:hint="eastAsia" w:ascii="仿宋" w:hAnsi="仿宋" w:eastAsia="仿宋" w:cs="仿宋"/>
              <w:sz w:val="24"/>
              <w:szCs w:val="24"/>
            </w:rPr>
            <w:fldChar w:fldCharType="separate"/>
          </w:r>
          <w:r>
            <w:rPr>
              <w:rFonts w:hint="eastAsia" w:ascii="仿宋" w:hAnsi="仿宋" w:eastAsia="仿宋" w:cs="仿宋"/>
              <w:sz w:val="24"/>
              <w:szCs w:val="24"/>
            </w:rPr>
            <w:t>第三部分 名词解释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_Toc28964 \h </w:instrText>
          </w:r>
          <w:r>
            <w:rPr>
              <w:rFonts w:hint="eastAsia" w:ascii="仿宋" w:hAnsi="仿宋" w:eastAsia="仿宋" w:cs="仿宋"/>
              <w:sz w:val="24"/>
              <w:szCs w:val="24"/>
            </w:rPr>
            <w:fldChar w:fldCharType="separate"/>
          </w:r>
          <w:r>
            <w:rPr>
              <w:rFonts w:hint="eastAsia" w:ascii="仿宋" w:hAnsi="仿宋" w:eastAsia="仿宋" w:cs="仿宋"/>
              <w:sz w:val="24"/>
              <w:szCs w:val="24"/>
            </w:rPr>
            <w:t>- 14 -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B0BEDDF">
          <w:pPr>
            <w:pStyle w:val="12"/>
            <w:tabs>
              <w:tab w:val="right" w:leader="dot" w:pos="830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_Toc4935 </w:instrText>
          </w:r>
          <w:r>
            <w:rPr>
              <w:rFonts w:hint="eastAsia" w:ascii="仿宋" w:hAnsi="仿宋" w:eastAsia="仿宋" w:cs="仿宋"/>
              <w:sz w:val="24"/>
              <w:szCs w:val="24"/>
            </w:rPr>
            <w:fldChar w:fldCharType="separate"/>
          </w:r>
          <w:r>
            <w:rPr>
              <w:rFonts w:hint="eastAsia" w:ascii="仿宋" w:hAnsi="仿宋" w:eastAsia="仿宋" w:cs="仿宋"/>
              <w:sz w:val="24"/>
              <w:szCs w:val="24"/>
            </w:rPr>
            <w:t>第四部分 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_Toc4935 \h </w:instrText>
          </w:r>
          <w:r>
            <w:rPr>
              <w:rFonts w:hint="eastAsia" w:ascii="仿宋" w:hAnsi="仿宋" w:eastAsia="仿宋" w:cs="仿宋"/>
              <w:sz w:val="24"/>
              <w:szCs w:val="24"/>
            </w:rPr>
            <w:fldChar w:fldCharType="separate"/>
          </w:r>
          <w:r>
            <w:rPr>
              <w:rFonts w:hint="eastAsia" w:ascii="仿宋" w:hAnsi="仿宋" w:eastAsia="仿宋" w:cs="仿宋"/>
              <w:sz w:val="24"/>
              <w:szCs w:val="24"/>
            </w:rPr>
            <w:t>- 17 -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47FEFD6">
          <w:pPr>
            <w:rPr>
              <w:rFonts w:hint="default" w:eastAsia="宋体"/>
              <w:lang w:val="en-US" w:eastAsia="zh-CN"/>
            </w:rPr>
          </w:pPr>
          <w:r>
            <w:rPr>
              <w:rFonts w:hint="eastAsia"/>
              <w:lang w:eastAsia="zh-CN"/>
            </w:rPr>
            <w:t>第</w:t>
          </w:r>
          <w:r>
            <w:rPr>
              <w:rFonts w:hint="eastAsia" w:ascii="仿宋" w:hAnsi="仿宋" w:eastAsia="仿宋" w:cs="仿宋"/>
              <w:kern w:val="2"/>
              <w:sz w:val="24"/>
              <w:szCs w:val="24"/>
              <w:lang w:val="en-US" w:eastAsia="zh-CN" w:bidi="ar-SA"/>
            </w:rPr>
            <w:t>五部分 附表...................................................</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_Toc4935 \h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23</w:t>
          </w:r>
          <w:r>
            <w:rPr>
              <w:rFonts w:hint="eastAsia" w:ascii="仿宋" w:hAnsi="仿宋" w:eastAsia="仿宋" w:cs="仿宋"/>
              <w:sz w:val="24"/>
              <w:szCs w:val="24"/>
            </w:rPr>
            <w:t xml:space="preserve"> -</w:t>
          </w:r>
          <w:r>
            <w:rPr>
              <w:rFonts w:hint="eastAsia" w:ascii="仿宋" w:hAnsi="仿宋" w:eastAsia="仿宋" w:cs="仿宋"/>
              <w:sz w:val="24"/>
              <w:szCs w:val="24"/>
            </w:rPr>
            <w:fldChar w:fldCharType="end"/>
          </w:r>
        </w:p>
        <w:p w14:paraId="7799403C">
          <w:r>
            <w:fldChar w:fldCharType="end"/>
          </w:r>
          <w:bookmarkStart w:id="15" w:name="_Toc7321"/>
        </w:p>
        <w:p w14:paraId="70EF0ADD"/>
        <w:p w14:paraId="06492A02"/>
        <w:p w14:paraId="542A988C"/>
        <w:p w14:paraId="75762195"/>
      </w:sdtContent>
    </w:sdt>
    <w:p w14:paraId="3A8923C6">
      <w:pPr>
        <w:pStyle w:val="3"/>
        <w:jc w:val="center"/>
        <w:rPr>
          <w:rFonts w:hint="eastAsia" w:ascii="黑体" w:hAnsi="黑体" w:eastAsia="黑体"/>
          <w:b w:val="0"/>
        </w:rPr>
        <w:sectPr>
          <w:footerReference r:id="rId7" w:type="default"/>
          <w:pgSz w:w="11906" w:h="16838"/>
          <w:pgMar w:top="1440" w:right="1803" w:bottom="1440" w:left="1803" w:header="851" w:footer="992" w:gutter="0"/>
          <w:pgNumType w:fmt="numberInDash" w:start="1"/>
          <w:cols w:space="0" w:num="1"/>
          <w:rtlGutter w:val="0"/>
          <w:docGrid w:type="lines" w:linePitch="319" w:charSpace="0"/>
        </w:sectPr>
      </w:pPr>
    </w:p>
    <w:p w14:paraId="1BA52ECA">
      <w:pPr>
        <w:pStyle w:val="3"/>
        <w:jc w:val="center"/>
        <w:rPr>
          <w:rStyle w:val="30"/>
          <w:rFonts w:ascii="黑体" w:hAnsi="黑体" w:eastAsia="黑体"/>
          <w:b/>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5"/>
    </w:p>
    <w:p w14:paraId="13632978">
      <w:pPr>
        <w:widowControl/>
        <w:jc w:val="left"/>
        <w:rPr>
          <w:rFonts w:ascii="黑体" w:eastAsia="黑体"/>
          <w:sz w:val="32"/>
          <w:szCs w:val="32"/>
        </w:rPr>
      </w:pPr>
    </w:p>
    <w:p w14:paraId="23A268EE">
      <w:pPr>
        <w:pStyle w:val="4"/>
        <w:rPr>
          <w:rFonts w:hint="eastAsia" w:ascii="黑体" w:eastAsia="黑体"/>
          <w:b w:val="0"/>
        </w:rPr>
      </w:pPr>
      <w:bookmarkStart w:id="16" w:name="_Toc9126"/>
      <w:r>
        <w:rPr>
          <w:rFonts w:hint="eastAsia" w:ascii="黑体" w:eastAsia="黑体"/>
          <w:b w:val="0"/>
          <w:lang w:eastAsia="zh-CN"/>
        </w:rPr>
        <w:t>一、</w:t>
      </w:r>
      <w:r>
        <w:rPr>
          <w:rFonts w:hint="eastAsia" w:ascii="黑体" w:eastAsia="黑体"/>
          <w:b w:val="0"/>
        </w:rPr>
        <w:t>部门职责</w:t>
      </w:r>
      <w:bookmarkEnd w:id="16"/>
    </w:p>
    <w:p w14:paraId="4812D0F1">
      <w:pPr>
        <w:snapToGrid w:val="0"/>
        <w:spacing w:line="578" w:lineRule="exact"/>
        <w:ind w:firstLine="420" w:firstLineChars="200"/>
      </w:pPr>
      <w:r>
        <w:rPr>
          <w:rFonts w:hint="eastAsia" w:ascii="黑体" w:hAnsi="黑体" w:eastAsia="黑体"/>
          <w:b w:val="0"/>
          <w:lang w:val="en-US" w:eastAsia="zh-CN"/>
        </w:rPr>
        <w:t xml:space="preserve">     </w:t>
      </w:r>
      <w:r>
        <w:rPr>
          <w:rFonts w:hint="default" w:ascii="Times New Roman" w:hAnsi="Times New Roman" w:eastAsia="仿宋_GB2312" w:cs="Times New Roman"/>
          <w:sz w:val="32"/>
          <w:szCs w:val="32"/>
        </w:rPr>
        <w:t>大竹县司法局是大竹县人民政府的工作部门，主要职责一是承担全面依法治国、依法治省、依法治市、依法治县重大问题的政策研究，协调有关方面提出全面依法治县规划建议，负责有关重大决策部署督察工作。二是负责政府规范性文件、重大决策发布前的合法性审查。三是承担统筹推进法治政府建设的责任。四是承担统筹规划法治社会建设的责任。五是负责管理和组织实施社区矫正工作。六是负责拟订全县公共法律服务体系建设规划并组织实施，统筹和布局全县法律服务资源。七是负责本系统财务和装备管理工作。八是规划、协调、指导法治人才队伍建设相关工作，负责本系统党的建设、队伍建设。九是负责本系统行政审批工作。十是完成县委、县政府交办的其他任务。</w:t>
      </w:r>
    </w:p>
    <w:p w14:paraId="43062EF4">
      <w:pPr>
        <w:pStyle w:val="4"/>
        <w:rPr>
          <w:rStyle w:val="31"/>
          <w:b w:val="0"/>
          <w:bCs w:val="0"/>
        </w:rPr>
      </w:pPr>
      <w:bookmarkStart w:id="17" w:name="_Toc15377200"/>
      <w:bookmarkStart w:id="18" w:name="_Toc15396601"/>
      <w:bookmarkStart w:id="19" w:name="_Toc19957"/>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7"/>
      <w:bookmarkEnd w:id="18"/>
      <w:bookmarkEnd w:id="19"/>
    </w:p>
    <w:p w14:paraId="24BDBA1E">
      <w:pPr>
        <w:ind w:firstLine="800" w:firstLineChars="250"/>
        <w:rPr>
          <w:rFonts w:ascii="仿宋" w:hAnsi="仿宋" w:eastAsia="仿宋"/>
          <w:color w:val="auto"/>
          <w:sz w:val="32"/>
          <w:szCs w:val="32"/>
          <w:highlight w:val="none"/>
        </w:rPr>
      </w:pPr>
      <w:bookmarkStart w:id="20" w:name="_Toc15396602"/>
      <w:bookmarkStart w:id="21" w:name="_Toc15377204"/>
      <w:r>
        <w:rPr>
          <w:rFonts w:hint="eastAsia" w:ascii="仿宋" w:hAnsi="仿宋" w:eastAsia="仿宋"/>
          <w:color w:val="auto"/>
          <w:sz w:val="32"/>
          <w:szCs w:val="32"/>
          <w:highlight w:val="none"/>
          <w:lang w:eastAsia="zh-CN"/>
        </w:rPr>
        <w:t>大竹县司法局</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14:paraId="20DEEE33">
      <w:pPr>
        <w:pStyle w:val="3"/>
        <w:ind w:right="440"/>
        <w:jc w:val="center"/>
        <w:outlineLvl w:val="9"/>
        <w:rPr>
          <w:rFonts w:hint="eastAsia" w:ascii="黑体" w:hAnsi="黑体" w:eastAsia="黑体"/>
          <w:b w:val="0"/>
          <w:bCs/>
          <w:color w:val="auto"/>
          <w:highlight w:val="none"/>
        </w:rPr>
        <w:sectPr>
          <w:footerReference r:id="rId8" w:type="default"/>
          <w:pgSz w:w="11906" w:h="16838"/>
          <w:pgMar w:top="1440" w:right="1803" w:bottom="1440" w:left="1803" w:header="851" w:footer="992" w:gutter="0"/>
          <w:pgNumType w:fmt="numberInDash" w:start="1"/>
          <w:cols w:space="0" w:num="1"/>
          <w:rtlGutter w:val="0"/>
          <w:docGrid w:type="lines" w:linePitch="319" w:charSpace="0"/>
        </w:sectPr>
      </w:pPr>
    </w:p>
    <w:p w14:paraId="4C33BF56">
      <w:pPr>
        <w:pStyle w:val="3"/>
        <w:ind w:right="440"/>
        <w:jc w:val="center"/>
        <w:rPr>
          <w:rStyle w:val="30"/>
          <w:rFonts w:ascii="黑体" w:hAnsi="黑体" w:eastAsia="黑体"/>
          <w:b w:val="0"/>
          <w:bCs/>
        </w:rPr>
      </w:pPr>
      <w:bookmarkStart w:id="22" w:name="_Toc8726"/>
      <w:r>
        <w:rPr>
          <w:rFonts w:hint="eastAsia" w:ascii="黑体" w:hAnsi="黑体" w:eastAsia="黑体"/>
          <w:b w:val="0"/>
        </w:rPr>
        <w:t>第二部分 2023年度</w:t>
      </w:r>
      <w:r>
        <w:rPr>
          <w:rStyle w:val="30"/>
          <w:rFonts w:hint="eastAsia" w:ascii="黑体" w:hAnsi="黑体" w:eastAsia="黑体"/>
          <w:b w:val="0"/>
          <w:bCs/>
        </w:rPr>
        <w:t>部门决算情况说明</w:t>
      </w:r>
      <w:bookmarkEnd w:id="20"/>
      <w:bookmarkEnd w:id="21"/>
      <w:bookmarkEnd w:id="22"/>
    </w:p>
    <w:p w14:paraId="7935C89D"/>
    <w:p w14:paraId="2CB6311A">
      <w:pPr>
        <w:pStyle w:val="29"/>
        <w:numPr>
          <w:ilvl w:val="0"/>
          <w:numId w:val="0"/>
        </w:numPr>
        <w:spacing w:line="600" w:lineRule="exact"/>
        <w:ind w:left="640" w:leftChars="0"/>
        <w:outlineLvl w:val="1"/>
        <w:rPr>
          <w:rStyle w:val="31"/>
          <w:rFonts w:ascii="黑体" w:hAnsi="黑体" w:eastAsia="黑体"/>
          <w:b w:val="0"/>
        </w:rPr>
      </w:pPr>
      <w:bookmarkStart w:id="23" w:name="_Toc15396603"/>
      <w:bookmarkStart w:id="24" w:name="_Toc15377205"/>
      <w:bookmarkStart w:id="25" w:name="_Toc14389"/>
      <w:r>
        <w:rPr>
          <w:rFonts w:hint="eastAsia" w:ascii="黑体" w:hAnsi="黑体" w:eastAsia="黑体"/>
          <w:sz w:val="32"/>
          <w:szCs w:val="32"/>
          <w:lang w:eastAsia="zh-CN"/>
        </w:rPr>
        <w:t>一、</w:t>
      </w:r>
      <w:r>
        <w:rPr>
          <w:rFonts w:hint="eastAsia" w:ascii="黑体" w:hAnsi="黑体" w:eastAsia="黑体"/>
          <w:sz w:val="32"/>
          <w:szCs w:val="32"/>
        </w:rPr>
        <w:t>收</w:t>
      </w:r>
      <w:r>
        <w:rPr>
          <w:rStyle w:val="31"/>
          <w:rFonts w:hint="eastAsia" w:ascii="黑体" w:hAnsi="黑体" w:eastAsia="黑体"/>
          <w:b w:val="0"/>
        </w:rPr>
        <w:t>入支出决算总体情况说明</w:t>
      </w:r>
      <w:bookmarkEnd w:id="23"/>
      <w:bookmarkEnd w:id="24"/>
      <w:bookmarkEnd w:id="25"/>
    </w:p>
    <w:p w14:paraId="45B32FDD">
      <w:pPr>
        <w:spacing w:line="600" w:lineRule="exact"/>
        <w:ind w:firstLine="640" w:firstLineChars="200"/>
        <w:jc w:val="left"/>
        <w:outlineLvl w:val="9"/>
        <w:rPr>
          <w:rFonts w:ascii="仿宋" w:hAnsi="仿宋" w:eastAsia="仿宋"/>
          <w:sz w:val="32"/>
          <w:szCs w:val="32"/>
          <w:highlight w:val="none"/>
        </w:rPr>
      </w:pPr>
      <w:r>
        <w:rPr>
          <w:rFonts w:hint="eastAsia" w:ascii="仿宋" w:hAnsi="仿宋" w:eastAsia="仿宋"/>
          <w:color w:val="auto"/>
          <w:sz w:val="32"/>
          <w:szCs w:val="32"/>
          <w:highlight w:val="none"/>
        </w:rPr>
        <w:t>2023年度收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lang w:val="en-US" w:eastAsia="zh-CN"/>
        </w:rPr>
        <w:t>2298.18万元</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总计均为</w:t>
      </w:r>
      <w:r>
        <w:rPr>
          <w:rFonts w:hint="eastAsia" w:eastAsia="仿宋"/>
          <w:color w:val="auto"/>
          <w:sz w:val="32"/>
          <w:szCs w:val="32"/>
          <w:highlight w:val="none"/>
          <w:lang w:val="en-US" w:eastAsia="zh-CN"/>
        </w:rPr>
        <w:t>2294.30</w:t>
      </w:r>
      <w:r>
        <w:rPr>
          <w:rFonts w:hint="eastAsia" w:ascii="仿宋" w:hAnsi="仿宋" w:eastAsia="仿宋"/>
          <w:color w:val="auto"/>
          <w:sz w:val="32"/>
          <w:szCs w:val="32"/>
          <w:highlight w:val="none"/>
        </w:rPr>
        <w:t>万元</w:t>
      </w:r>
      <w:r>
        <w:rPr>
          <w:rFonts w:hint="eastAsia"/>
          <w:color w:val="auto"/>
          <w:sz w:val="32"/>
          <w:szCs w:val="32"/>
          <w:highlight w:val="none"/>
        </w:rPr>
        <w:t>。</w:t>
      </w:r>
      <w:r>
        <w:rPr>
          <w:rFonts w:hint="eastAsia" w:ascii="仿宋" w:hAnsi="仿宋" w:eastAsia="仿宋"/>
          <w:color w:val="auto"/>
          <w:sz w:val="32"/>
          <w:szCs w:val="32"/>
          <w:highlight w:val="none"/>
        </w:rPr>
        <w:t>与2022年度相比，收</w:t>
      </w:r>
      <w:r>
        <w:rPr>
          <w:rFonts w:hint="eastAsia" w:ascii="仿宋" w:hAnsi="仿宋" w:eastAsia="仿宋"/>
          <w:color w:val="auto"/>
          <w:sz w:val="32"/>
          <w:szCs w:val="32"/>
          <w:highlight w:val="none"/>
          <w:lang w:eastAsia="zh-CN"/>
        </w:rPr>
        <w:t>入总计增加</w:t>
      </w:r>
      <w:r>
        <w:rPr>
          <w:rFonts w:hint="eastAsia" w:ascii="仿宋" w:hAnsi="仿宋" w:eastAsia="仿宋"/>
          <w:color w:val="auto"/>
          <w:sz w:val="32"/>
          <w:szCs w:val="32"/>
          <w:highlight w:val="none"/>
          <w:lang w:val="en-US" w:eastAsia="zh-CN"/>
        </w:rPr>
        <w:t>422.41万元，增长22.52</w:t>
      </w:r>
      <w:r>
        <w:rPr>
          <w:rFonts w:ascii="仿宋" w:hAnsi="仿宋" w:eastAsia="仿宋"/>
          <w:color w:val="auto"/>
          <w:sz w:val="32"/>
          <w:szCs w:val="32"/>
          <w:highlight w:val="none"/>
        </w:rPr>
        <w:t>%</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总计增加</w:t>
      </w:r>
      <w:r>
        <w:rPr>
          <w:rFonts w:hint="eastAsia" w:ascii="仿宋" w:hAnsi="仿宋" w:eastAsia="仿宋"/>
          <w:color w:val="auto"/>
          <w:sz w:val="32"/>
          <w:szCs w:val="32"/>
          <w:highlight w:val="none"/>
          <w:lang w:val="en-US" w:eastAsia="zh-CN"/>
        </w:rPr>
        <w:t>418.53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22.31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color w:val="auto"/>
          <w:sz w:val="32"/>
          <w:szCs w:val="32"/>
          <w:highlight w:val="none"/>
          <w:lang w:eastAsia="zh-CN"/>
        </w:rPr>
        <w:t>人员经费和项目经费都有增加</w:t>
      </w:r>
      <w:r>
        <w:rPr>
          <w:rFonts w:hint="eastAsia" w:ascii="仿宋" w:hAnsi="仿宋" w:eastAsia="仿宋"/>
          <w:sz w:val="32"/>
          <w:szCs w:val="32"/>
          <w:highlight w:val="none"/>
        </w:rPr>
        <w:t>。</w:t>
      </w:r>
    </w:p>
    <w:p w14:paraId="610475AA">
      <w:pPr>
        <w:spacing w:line="600" w:lineRule="exact"/>
        <w:ind w:firstLine="640" w:firstLineChars="200"/>
        <w:outlineLvl w:val="9"/>
        <w:rPr>
          <w:rFonts w:ascii="仿宋" w:hAnsi="仿宋" w:eastAsia="仿宋"/>
          <w:sz w:val="32"/>
          <w:szCs w:val="32"/>
          <w:highlight w:val="none"/>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：收、支决算总计变动情况图）（柱状图）</w:t>
      </w:r>
    </w:p>
    <w:p w14:paraId="0F188CF1">
      <w:pPr>
        <w:spacing w:line="600" w:lineRule="exact"/>
        <w:ind w:firstLine="640" w:firstLineChars="200"/>
        <w:jc w:val="left"/>
        <w:rPr>
          <w:rFonts w:hint="eastAsia" w:ascii="仿宋_GB2312" w:eastAsia="仿宋_GB2312"/>
          <w:sz w:val="32"/>
          <w:szCs w:val="32"/>
          <w:lang w:eastAsia="zh-CN"/>
        </w:rPr>
      </w:pPr>
    </w:p>
    <w:p w14:paraId="33465D8E">
      <w:pPr>
        <w:pStyle w:val="21"/>
        <w:rPr>
          <w:rFonts w:hint="eastAsia" w:ascii="仿宋_GB2312" w:eastAsia="仿宋_GB2312"/>
          <w:sz w:val="32"/>
          <w:szCs w:val="32"/>
          <w:lang w:eastAsia="zh-CN"/>
        </w:rPr>
      </w:pPr>
    </w:p>
    <w:p w14:paraId="057088B6">
      <w:pPr>
        <w:pStyle w:val="21"/>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766310" cy="3689350"/>
            <wp:effectExtent l="5080" t="4445" r="1397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9ED32E">
      <w:pPr>
        <w:pStyle w:val="21"/>
        <w:rPr>
          <w:rFonts w:hint="eastAsia" w:ascii="仿宋_GB2312" w:eastAsia="仿宋_GB2312"/>
          <w:sz w:val="32"/>
          <w:szCs w:val="32"/>
          <w:lang w:eastAsia="zh-CN"/>
        </w:rPr>
      </w:pPr>
    </w:p>
    <w:p w14:paraId="2B189CA7">
      <w:pPr>
        <w:pStyle w:val="21"/>
        <w:rPr>
          <w:rFonts w:hint="eastAsia" w:ascii="仿宋_GB2312" w:eastAsia="仿宋_GB2312"/>
          <w:sz w:val="32"/>
          <w:szCs w:val="32"/>
          <w:lang w:eastAsia="zh-CN"/>
        </w:rPr>
      </w:pPr>
    </w:p>
    <w:p w14:paraId="3E0F2DB6">
      <w:pPr>
        <w:pStyle w:val="21"/>
        <w:rPr>
          <w:rFonts w:hint="eastAsia" w:ascii="仿宋_GB2312" w:eastAsia="仿宋_GB2312"/>
          <w:sz w:val="32"/>
          <w:szCs w:val="32"/>
          <w:lang w:eastAsia="zh-CN"/>
        </w:rPr>
      </w:pPr>
    </w:p>
    <w:p w14:paraId="05AC14E6">
      <w:pPr>
        <w:pStyle w:val="29"/>
        <w:numPr>
          <w:ilvl w:val="0"/>
          <w:numId w:val="0"/>
        </w:numPr>
        <w:spacing w:line="600" w:lineRule="exact"/>
        <w:ind w:left="640" w:leftChars="0"/>
        <w:outlineLvl w:val="9"/>
        <w:rPr>
          <w:rFonts w:hint="eastAsia" w:ascii="黑体" w:hAnsi="黑体" w:eastAsia="黑体"/>
          <w:sz w:val="32"/>
          <w:szCs w:val="32"/>
          <w:lang w:eastAsia="zh-CN"/>
        </w:rPr>
        <w:sectPr>
          <w:footerReference r:id="rId11" w:type="first"/>
          <w:headerReference r:id="rId9" w:type="default"/>
          <w:footerReference r:id="rId10" w:type="default"/>
          <w:pgSz w:w="11906" w:h="16838"/>
          <w:pgMar w:top="1440" w:right="1800" w:bottom="1440" w:left="1800" w:header="851" w:footer="992" w:gutter="0"/>
          <w:pgNumType w:fmt="numberInDash"/>
          <w:cols w:space="425" w:num="1"/>
          <w:titlePg/>
          <w:docGrid w:type="lines" w:linePitch="312" w:charSpace="0"/>
        </w:sectPr>
      </w:pPr>
      <w:bookmarkStart w:id="26" w:name="_Toc15396604"/>
      <w:bookmarkStart w:id="27" w:name="_Toc15377206"/>
    </w:p>
    <w:p w14:paraId="7AB984A8">
      <w:pPr>
        <w:pStyle w:val="29"/>
        <w:numPr>
          <w:ilvl w:val="0"/>
          <w:numId w:val="0"/>
        </w:numPr>
        <w:spacing w:line="600" w:lineRule="exact"/>
        <w:ind w:left="640" w:leftChars="0"/>
        <w:outlineLvl w:val="1"/>
        <w:rPr>
          <w:rStyle w:val="31"/>
          <w:rFonts w:ascii="黑体" w:hAnsi="黑体" w:eastAsia="黑体"/>
          <w:b w:val="0"/>
        </w:rPr>
      </w:pPr>
      <w:bookmarkStart w:id="28" w:name="_Toc23362"/>
      <w:r>
        <w:rPr>
          <w:rFonts w:hint="eastAsia" w:ascii="黑体" w:hAnsi="黑体" w:eastAsia="黑体"/>
          <w:sz w:val="32"/>
          <w:szCs w:val="32"/>
          <w:lang w:eastAsia="zh-CN"/>
        </w:rPr>
        <w:t>二、</w:t>
      </w:r>
      <w:r>
        <w:rPr>
          <w:rFonts w:hint="eastAsia" w:ascii="黑体" w:hAnsi="黑体" w:eastAsia="黑体"/>
          <w:sz w:val="32"/>
          <w:szCs w:val="32"/>
        </w:rPr>
        <w:t>收</w:t>
      </w:r>
      <w:r>
        <w:rPr>
          <w:rStyle w:val="31"/>
          <w:rFonts w:hint="eastAsia" w:ascii="黑体" w:hAnsi="黑体" w:eastAsia="黑体"/>
          <w:b w:val="0"/>
        </w:rPr>
        <w:t>入决算情况说明</w:t>
      </w:r>
      <w:bookmarkEnd w:id="26"/>
      <w:bookmarkEnd w:id="27"/>
      <w:bookmarkEnd w:id="28"/>
    </w:p>
    <w:p w14:paraId="606270CE">
      <w:pPr>
        <w:spacing w:line="600" w:lineRule="exact"/>
        <w:ind w:firstLine="640" w:firstLineChars="200"/>
        <w:jc w:val="left"/>
        <w:outlineLvl w:val="9"/>
        <w:rPr>
          <w:rFonts w:ascii="仿宋" w:hAnsi="仿宋" w:eastAsia="仿宋"/>
          <w:sz w:val="32"/>
          <w:szCs w:val="32"/>
        </w:rPr>
      </w:pPr>
      <w:r>
        <w:rPr>
          <w:rFonts w:hint="eastAsia" w:ascii="仿宋" w:hAnsi="仿宋" w:eastAsia="仿宋"/>
          <w:sz w:val="32"/>
          <w:szCs w:val="32"/>
        </w:rPr>
        <w:t>2023年度本年收入合计2298.18万元，其中：一般公共预算财政拨款收入2298.18万元，占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3A50C9C1">
      <w:pPr>
        <w:spacing w:line="600" w:lineRule="exact"/>
        <w:ind w:firstLine="643" w:firstLineChars="200"/>
        <w:outlineLvl w:val="9"/>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p w14:paraId="7B21DC85">
      <w:pPr>
        <w:spacing w:line="600" w:lineRule="exact"/>
        <w:ind w:firstLine="640" w:firstLineChars="200"/>
        <w:outlineLvl w:val="9"/>
        <w:rPr>
          <w:rFonts w:ascii="仿宋" w:hAnsi="仿宋" w:eastAsia="仿宋"/>
          <w:sz w:val="32"/>
          <w:szCs w:val="32"/>
        </w:rPr>
      </w:pPr>
    </w:p>
    <w:p w14:paraId="70B42966">
      <w:pPr>
        <w:spacing w:line="600" w:lineRule="exact"/>
        <w:ind w:firstLine="640" w:firstLineChars="200"/>
        <w:outlineLvl w:val="9"/>
        <w:rPr>
          <w:rFonts w:ascii="仿宋" w:hAnsi="仿宋" w:eastAsia="仿宋"/>
          <w:sz w:val="32"/>
          <w:szCs w:val="32"/>
          <w:highlight w:val="none"/>
        </w:rPr>
      </w:pPr>
      <w:r>
        <w:rPr>
          <w:rFonts w:hint="eastAsia" w:ascii="仿宋" w:hAnsi="仿宋" w:eastAsia="仿宋"/>
          <w:sz w:val="32"/>
          <w:szCs w:val="32"/>
          <w:highlight w:val="none"/>
        </w:rPr>
        <w:t>（图2：收入决算结构图）（饼状图）</w:t>
      </w:r>
    </w:p>
    <w:p w14:paraId="105EA421">
      <w:pPr>
        <w:spacing w:line="600" w:lineRule="exact"/>
        <w:ind w:firstLine="640" w:firstLineChars="200"/>
        <w:rPr>
          <w:rFonts w:ascii="仿宋_GB2312" w:eastAsia="仿宋_GB2312"/>
          <w:sz w:val="32"/>
          <w:szCs w:val="32"/>
        </w:rPr>
      </w:pPr>
    </w:p>
    <w:p w14:paraId="72726E1D">
      <w:pPr>
        <w:pStyle w:val="21"/>
        <w:rPr>
          <w:rFonts w:hint="eastAsia" w:eastAsia="仿宋_GB2312"/>
          <w:lang w:eastAsia="zh-CN"/>
        </w:rPr>
      </w:pPr>
      <w:r>
        <w:rPr>
          <w:rFonts w:hint="eastAsia" w:eastAsia="仿宋_GB2312"/>
          <w:lang w:eastAsia="zh-CN"/>
        </w:rPr>
        <w:drawing>
          <wp:inline distT="0" distB="0" distL="114300" distR="114300">
            <wp:extent cx="5256530" cy="2988310"/>
            <wp:effectExtent l="5080" t="4445" r="1143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9FE19A">
      <w:pPr>
        <w:pStyle w:val="29"/>
        <w:numPr>
          <w:ilvl w:val="0"/>
          <w:numId w:val="0"/>
        </w:numPr>
        <w:spacing w:line="600" w:lineRule="exact"/>
        <w:ind w:left="640" w:leftChars="0"/>
        <w:outlineLvl w:val="1"/>
        <w:rPr>
          <w:rStyle w:val="31"/>
          <w:rFonts w:ascii="黑体" w:hAnsi="黑体" w:eastAsia="黑体"/>
          <w:b w:val="0"/>
        </w:rPr>
      </w:pPr>
      <w:bookmarkStart w:id="29" w:name="_Toc15377207"/>
      <w:bookmarkStart w:id="30" w:name="_Toc15396605"/>
      <w:bookmarkStart w:id="31" w:name="_Toc11024"/>
      <w:r>
        <w:rPr>
          <w:rFonts w:hint="eastAsia" w:ascii="黑体" w:hAnsi="黑体" w:eastAsia="黑体"/>
          <w:sz w:val="32"/>
          <w:szCs w:val="32"/>
          <w:lang w:eastAsia="zh-CN"/>
        </w:rPr>
        <w:t>三、</w:t>
      </w:r>
      <w:r>
        <w:rPr>
          <w:rFonts w:hint="eastAsia" w:ascii="黑体" w:hAnsi="黑体" w:eastAsia="黑体"/>
          <w:sz w:val="32"/>
          <w:szCs w:val="32"/>
        </w:rPr>
        <w:t>支</w:t>
      </w:r>
      <w:r>
        <w:rPr>
          <w:rStyle w:val="31"/>
          <w:rFonts w:hint="eastAsia" w:ascii="黑体" w:hAnsi="黑体" w:eastAsia="黑体"/>
          <w:b w:val="0"/>
        </w:rPr>
        <w:t>出决算情况说明</w:t>
      </w:r>
      <w:bookmarkEnd w:id="29"/>
      <w:bookmarkEnd w:id="30"/>
      <w:bookmarkEnd w:id="31"/>
    </w:p>
    <w:p w14:paraId="23DCBA58">
      <w:pPr>
        <w:spacing w:line="600" w:lineRule="exact"/>
        <w:ind w:firstLine="640" w:firstLineChars="200"/>
        <w:outlineLvl w:val="9"/>
        <w:rPr>
          <w:rFonts w:ascii="仿宋" w:hAnsi="仿宋" w:eastAsia="仿宋"/>
          <w:sz w:val="32"/>
          <w:szCs w:val="32"/>
        </w:rPr>
      </w:pPr>
      <w:r>
        <w:rPr>
          <w:rFonts w:hint="eastAsia" w:ascii="仿宋" w:hAnsi="仿宋" w:eastAsia="仿宋"/>
          <w:sz w:val="32"/>
          <w:szCs w:val="32"/>
        </w:rPr>
        <w:t>2023年度本年支出合计</w:t>
      </w:r>
      <w:r>
        <w:rPr>
          <w:rFonts w:hint="eastAsia" w:eastAsia="仿宋"/>
          <w:color w:val="auto"/>
          <w:sz w:val="32"/>
          <w:szCs w:val="32"/>
          <w:highlight w:val="none"/>
          <w:lang w:val="en-US" w:eastAsia="zh-CN"/>
        </w:rPr>
        <w:t>2294.30</w:t>
      </w:r>
      <w:r>
        <w:rPr>
          <w:rFonts w:hint="eastAsia" w:ascii="仿宋" w:hAnsi="仿宋" w:eastAsia="仿宋"/>
          <w:sz w:val="32"/>
          <w:szCs w:val="32"/>
        </w:rPr>
        <w:t>万元，其中：基本支出</w:t>
      </w:r>
      <w:r>
        <w:rPr>
          <w:rFonts w:hint="eastAsia" w:eastAsia="仿宋"/>
          <w:sz w:val="32"/>
          <w:szCs w:val="32"/>
          <w:lang w:val="en-US" w:eastAsia="zh-CN"/>
        </w:rPr>
        <w:t>1804.69</w:t>
      </w:r>
      <w:r>
        <w:rPr>
          <w:rFonts w:hint="eastAsia" w:ascii="仿宋" w:hAnsi="仿宋" w:eastAsia="仿宋"/>
          <w:sz w:val="32"/>
          <w:szCs w:val="32"/>
        </w:rPr>
        <w:t>万元，占</w:t>
      </w:r>
      <w:r>
        <w:rPr>
          <w:rFonts w:hint="eastAsia" w:ascii="仿宋" w:hAnsi="仿宋" w:eastAsia="仿宋"/>
          <w:sz w:val="32"/>
          <w:szCs w:val="32"/>
          <w:lang w:val="en-US" w:eastAsia="zh-CN"/>
        </w:rPr>
        <w:t>78.66</w:t>
      </w:r>
      <w:r>
        <w:rPr>
          <w:rFonts w:ascii="仿宋" w:hAnsi="仿宋" w:eastAsia="仿宋"/>
          <w:sz w:val="32"/>
          <w:szCs w:val="32"/>
        </w:rPr>
        <w:t>%</w:t>
      </w:r>
      <w:r>
        <w:rPr>
          <w:rFonts w:hint="eastAsia" w:ascii="仿宋" w:hAnsi="仿宋" w:eastAsia="仿宋"/>
          <w:sz w:val="32"/>
          <w:szCs w:val="32"/>
        </w:rPr>
        <w:t>；项目支出</w:t>
      </w:r>
      <w:r>
        <w:rPr>
          <w:rFonts w:hint="eastAsia" w:eastAsia="仿宋"/>
          <w:sz w:val="32"/>
          <w:szCs w:val="32"/>
          <w:lang w:val="en-US" w:eastAsia="zh-CN"/>
        </w:rPr>
        <w:t>489.61</w:t>
      </w:r>
      <w:r>
        <w:rPr>
          <w:rFonts w:hint="eastAsia" w:ascii="仿宋" w:hAnsi="仿宋" w:eastAsia="仿宋"/>
          <w:sz w:val="32"/>
          <w:szCs w:val="32"/>
        </w:rPr>
        <w:t>万元，占</w:t>
      </w:r>
      <w:r>
        <w:rPr>
          <w:rFonts w:hint="eastAsia" w:ascii="仿宋" w:hAnsi="仿宋" w:eastAsia="仿宋"/>
          <w:sz w:val="32"/>
          <w:szCs w:val="32"/>
          <w:lang w:val="en-US" w:eastAsia="zh-CN"/>
        </w:rPr>
        <w:t>21.34</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118D4A50">
      <w:pPr>
        <w:spacing w:line="600" w:lineRule="exact"/>
        <w:ind w:firstLine="643" w:firstLineChars="200"/>
        <w:outlineLvl w:val="9"/>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p>
    <w:p w14:paraId="6C1633D2">
      <w:pPr>
        <w:spacing w:line="600" w:lineRule="exact"/>
        <w:ind w:firstLine="640"/>
        <w:outlineLvl w:val="9"/>
        <w:rPr>
          <w:rFonts w:ascii="仿宋" w:hAnsi="仿宋" w:eastAsia="仿宋"/>
          <w:sz w:val="32"/>
          <w:szCs w:val="32"/>
          <w:highlight w:val="none"/>
          <w:shd w:val="pct10" w:color="auto" w:fill="FFFFFF"/>
        </w:rPr>
      </w:pPr>
    </w:p>
    <w:p w14:paraId="615DE733">
      <w:pPr>
        <w:spacing w:line="600" w:lineRule="exact"/>
        <w:ind w:firstLine="640" w:firstLineChars="200"/>
        <w:outlineLvl w:val="9"/>
        <w:rPr>
          <w:rFonts w:ascii="仿宋" w:hAnsi="仿宋" w:eastAsia="仿宋"/>
          <w:sz w:val="32"/>
          <w:szCs w:val="32"/>
          <w:highlight w:val="none"/>
        </w:rPr>
      </w:pPr>
      <w:r>
        <w:rPr>
          <w:rFonts w:hint="eastAsia" w:ascii="仿宋" w:hAnsi="仿宋" w:eastAsia="仿宋"/>
          <w:sz w:val="32"/>
          <w:szCs w:val="32"/>
          <w:highlight w:val="none"/>
        </w:rPr>
        <w:t>（图3：支出决算结构图）（饼状图）</w:t>
      </w:r>
    </w:p>
    <w:p w14:paraId="617E14C8">
      <w:pPr>
        <w:spacing w:line="600" w:lineRule="exact"/>
        <w:ind w:firstLine="640" w:firstLineChars="200"/>
        <w:outlineLvl w:val="9"/>
        <w:rPr>
          <w:rFonts w:ascii="仿宋_GB2312" w:eastAsia="仿宋_GB2312"/>
          <w:sz w:val="32"/>
          <w:szCs w:val="32"/>
        </w:rPr>
      </w:pPr>
    </w:p>
    <w:p w14:paraId="315197F5">
      <w:pPr>
        <w:pStyle w:val="21"/>
        <w:rPr>
          <w:rFonts w:hint="eastAsia" w:eastAsia="仿宋_GB2312"/>
          <w:lang w:eastAsia="zh-CN"/>
        </w:rPr>
      </w:pPr>
      <w:r>
        <w:rPr>
          <w:rFonts w:hint="eastAsia" w:eastAsia="仿宋_GB2312"/>
          <w:lang w:eastAsia="zh-CN"/>
        </w:rPr>
        <w:drawing>
          <wp:inline distT="0" distB="0" distL="114300" distR="114300">
            <wp:extent cx="5256530" cy="2988310"/>
            <wp:effectExtent l="5080" t="4445" r="1143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367C69">
      <w:pPr>
        <w:spacing w:line="600" w:lineRule="exact"/>
        <w:ind w:firstLine="640" w:firstLineChars="200"/>
        <w:outlineLvl w:val="1"/>
        <w:rPr>
          <w:rStyle w:val="31"/>
          <w:rFonts w:ascii="黑体" w:hAnsi="黑体" w:eastAsia="黑体"/>
          <w:b w:val="0"/>
        </w:rPr>
      </w:pPr>
      <w:bookmarkStart w:id="32" w:name="_Toc5429"/>
      <w:bookmarkStart w:id="33" w:name="_Toc15377208"/>
      <w:bookmarkStart w:id="34" w:name="_Toc15396606"/>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32"/>
      <w:bookmarkEnd w:id="33"/>
      <w:bookmarkEnd w:id="34"/>
    </w:p>
    <w:p w14:paraId="38648546">
      <w:pPr>
        <w:spacing w:line="600" w:lineRule="exact"/>
        <w:ind w:firstLine="640" w:firstLineChars="200"/>
        <w:jc w:val="left"/>
        <w:outlineLvl w:val="9"/>
        <w:rPr>
          <w:rFonts w:ascii="仿宋" w:hAnsi="仿宋" w:eastAsia="仿宋"/>
          <w:sz w:val="32"/>
          <w:szCs w:val="32"/>
          <w:highlight w:val="none"/>
        </w:rPr>
      </w:pPr>
      <w:r>
        <w:rPr>
          <w:rFonts w:hint="eastAsia" w:ascii="仿宋" w:hAnsi="仿宋" w:eastAsia="仿宋"/>
          <w:color w:val="auto"/>
          <w:sz w:val="32"/>
          <w:szCs w:val="32"/>
          <w:highlight w:val="none"/>
        </w:rPr>
        <w:t>2023年度收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lang w:val="en-US" w:eastAsia="zh-CN"/>
        </w:rPr>
        <w:t>2298.18万元</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总计均为</w:t>
      </w:r>
      <w:r>
        <w:rPr>
          <w:rFonts w:hint="eastAsia" w:eastAsia="仿宋"/>
          <w:color w:val="auto"/>
          <w:sz w:val="32"/>
          <w:szCs w:val="32"/>
          <w:highlight w:val="none"/>
          <w:lang w:val="en-US" w:eastAsia="zh-CN"/>
        </w:rPr>
        <w:t>2294.30</w:t>
      </w:r>
      <w:r>
        <w:rPr>
          <w:rFonts w:hint="eastAsia" w:ascii="仿宋" w:hAnsi="仿宋" w:eastAsia="仿宋"/>
          <w:color w:val="auto"/>
          <w:sz w:val="32"/>
          <w:szCs w:val="32"/>
          <w:highlight w:val="none"/>
        </w:rPr>
        <w:t>万元</w:t>
      </w:r>
      <w:r>
        <w:rPr>
          <w:rFonts w:hint="eastAsia"/>
          <w:color w:val="auto"/>
          <w:sz w:val="32"/>
          <w:szCs w:val="32"/>
          <w:highlight w:val="none"/>
        </w:rPr>
        <w:t>。</w:t>
      </w:r>
      <w:r>
        <w:rPr>
          <w:rFonts w:hint="eastAsia" w:ascii="仿宋" w:hAnsi="仿宋" w:eastAsia="仿宋"/>
          <w:color w:val="auto"/>
          <w:sz w:val="32"/>
          <w:szCs w:val="32"/>
          <w:highlight w:val="none"/>
        </w:rPr>
        <w:t>与2022年度相比，收</w:t>
      </w:r>
      <w:r>
        <w:rPr>
          <w:rFonts w:hint="eastAsia" w:ascii="仿宋" w:hAnsi="仿宋" w:eastAsia="仿宋"/>
          <w:color w:val="auto"/>
          <w:sz w:val="32"/>
          <w:szCs w:val="32"/>
          <w:highlight w:val="none"/>
          <w:lang w:eastAsia="zh-CN"/>
        </w:rPr>
        <w:t>入总计增加</w:t>
      </w:r>
      <w:r>
        <w:rPr>
          <w:rFonts w:hint="eastAsia" w:ascii="仿宋" w:hAnsi="仿宋" w:eastAsia="仿宋"/>
          <w:color w:val="auto"/>
          <w:sz w:val="32"/>
          <w:szCs w:val="32"/>
          <w:highlight w:val="none"/>
          <w:lang w:val="en-US" w:eastAsia="zh-CN"/>
        </w:rPr>
        <w:t>422.41万元，增长22.52</w:t>
      </w:r>
      <w:r>
        <w:rPr>
          <w:rFonts w:ascii="仿宋" w:hAnsi="仿宋" w:eastAsia="仿宋"/>
          <w:color w:val="auto"/>
          <w:sz w:val="32"/>
          <w:szCs w:val="32"/>
          <w:highlight w:val="none"/>
        </w:rPr>
        <w:t>%</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总计增加</w:t>
      </w:r>
      <w:r>
        <w:rPr>
          <w:rFonts w:hint="eastAsia" w:ascii="仿宋" w:hAnsi="仿宋" w:eastAsia="仿宋"/>
          <w:color w:val="auto"/>
          <w:sz w:val="32"/>
          <w:szCs w:val="32"/>
          <w:highlight w:val="none"/>
          <w:lang w:val="en-US" w:eastAsia="zh-CN"/>
        </w:rPr>
        <w:t>418.53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22.31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color w:val="auto"/>
          <w:sz w:val="32"/>
          <w:szCs w:val="32"/>
          <w:highlight w:val="none"/>
          <w:lang w:eastAsia="zh-CN"/>
        </w:rPr>
        <w:t>人员经费和项目经费都有增加</w:t>
      </w:r>
      <w:r>
        <w:rPr>
          <w:rFonts w:hint="eastAsia" w:ascii="仿宋" w:hAnsi="仿宋" w:eastAsia="仿宋"/>
          <w:sz w:val="32"/>
          <w:szCs w:val="32"/>
          <w:highlight w:val="none"/>
        </w:rPr>
        <w:t>。</w:t>
      </w:r>
    </w:p>
    <w:p w14:paraId="321EA6D6">
      <w:pPr>
        <w:spacing w:line="600" w:lineRule="exact"/>
        <w:ind w:firstLine="640"/>
        <w:outlineLvl w:val="9"/>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2485E726">
      <w:pPr>
        <w:spacing w:line="600" w:lineRule="exact"/>
        <w:rPr>
          <w:rFonts w:ascii="仿宋" w:hAnsi="仿宋" w:eastAsia="仿宋"/>
          <w:sz w:val="32"/>
          <w:szCs w:val="32"/>
        </w:rPr>
      </w:pPr>
    </w:p>
    <w:p w14:paraId="18AD2CC8">
      <w:pPr>
        <w:spacing w:line="600" w:lineRule="exact"/>
        <w:ind w:firstLine="640" w:firstLineChars="200"/>
        <w:outlineLvl w:val="9"/>
        <w:rPr>
          <w:rFonts w:hint="eastAsia" w:ascii="仿宋" w:hAnsi="仿宋" w:eastAsia="仿宋"/>
          <w:sz w:val="32"/>
          <w:szCs w:val="32"/>
          <w:highlight w:val="none"/>
        </w:rPr>
      </w:pPr>
      <w:r>
        <w:rPr>
          <w:rFonts w:hint="eastAsia" w:ascii="仿宋" w:hAnsi="仿宋" w:eastAsia="仿宋"/>
          <w:sz w:val="32"/>
          <w:szCs w:val="32"/>
          <w:highlight w:val="none"/>
        </w:rPr>
        <w:t>（图4：财政拨款收、支决算总计变动情况）（柱状图）</w:t>
      </w:r>
    </w:p>
    <w:p w14:paraId="2914AA92">
      <w:pPr>
        <w:pStyle w:val="21"/>
        <w:rPr>
          <w:rFonts w:ascii="仿宋" w:hAnsi="仿宋" w:eastAsia="仿宋"/>
          <w:b/>
          <w:sz w:val="32"/>
          <w:szCs w:val="32"/>
        </w:rPr>
      </w:pPr>
      <w:r>
        <w:rPr>
          <w:rFonts w:hint="eastAsia" w:ascii="仿宋_GB2312" w:eastAsia="仿宋_GB2312"/>
          <w:sz w:val="32"/>
          <w:szCs w:val="32"/>
          <w:lang w:eastAsia="zh-CN"/>
        </w:rPr>
        <w:drawing>
          <wp:inline distT="0" distB="0" distL="114300" distR="114300">
            <wp:extent cx="4766310" cy="3689350"/>
            <wp:effectExtent l="5080" t="4445" r="1397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F04287">
      <w:pPr>
        <w:spacing w:line="600" w:lineRule="exact"/>
        <w:ind w:firstLine="640" w:firstLineChars="200"/>
        <w:outlineLvl w:val="1"/>
        <w:rPr>
          <w:rStyle w:val="31"/>
          <w:rFonts w:ascii="黑体" w:hAnsi="黑体" w:eastAsia="黑体"/>
          <w:b w:val="0"/>
        </w:rPr>
      </w:pPr>
      <w:bookmarkStart w:id="35" w:name="_Toc15396607"/>
      <w:bookmarkStart w:id="36" w:name="_Toc15377209"/>
      <w:bookmarkStart w:id="37" w:name="_Toc31951"/>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5"/>
      <w:bookmarkEnd w:id="36"/>
      <w:bookmarkEnd w:id="37"/>
    </w:p>
    <w:p w14:paraId="7E1AFA6E">
      <w:pPr>
        <w:spacing w:line="600" w:lineRule="exact"/>
        <w:ind w:firstLine="643" w:firstLineChars="200"/>
        <w:outlineLvl w:val="2"/>
        <w:rPr>
          <w:rFonts w:ascii="仿宋" w:hAnsi="仿宋" w:eastAsia="仿宋"/>
          <w:b/>
          <w:sz w:val="32"/>
          <w:szCs w:val="32"/>
        </w:rPr>
      </w:pPr>
      <w:bookmarkStart w:id="38" w:name="_Toc15377210"/>
      <w:bookmarkStart w:id="39" w:name="_Toc31701"/>
      <w:r>
        <w:rPr>
          <w:rFonts w:hint="eastAsia" w:ascii="仿宋" w:hAnsi="仿宋" w:eastAsia="仿宋"/>
          <w:b/>
          <w:sz w:val="32"/>
          <w:szCs w:val="32"/>
        </w:rPr>
        <w:t>（一）一般公共预算财政拨款支出决算总体情况</w:t>
      </w:r>
      <w:bookmarkEnd w:id="38"/>
      <w:bookmarkEnd w:id="39"/>
    </w:p>
    <w:p w14:paraId="59115F5A">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rPr>
        <w:t>2023年度一般公共预算财政拨款支出</w:t>
      </w:r>
      <w:r>
        <w:rPr>
          <w:rFonts w:hint="eastAsia" w:eastAsia="仿宋"/>
          <w:color w:val="auto"/>
          <w:sz w:val="32"/>
          <w:szCs w:val="32"/>
          <w:highlight w:val="none"/>
          <w:lang w:val="en-US" w:eastAsia="zh-CN"/>
        </w:rPr>
        <w:t>2294.30</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年度相比，一般公共预算财政拨款支出增加</w:t>
      </w:r>
      <w:r>
        <w:rPr>
          <w:rFonts w:hint="eastAsia" w:ascii="仿宋" w:hAnsi="仿宋" w:eastAsia="仿宋"/>
          <w:color w:val="auto"/>
          <w:sz w:val="32"/>
          <w:szCs w:val="32"/>
          <w:highlight w:val="none"/>
          <w:lang w:val="en-US" w:eastAsia="zh-CN"/>
        </w:rPr>
        <w:t>418.53</w:t>
      </w:r>
      <w:r>
        <w:rPr>
          <w:rFonts w:hint="eastAsia" w:ascii="仿宋" w:hAnsi="仿宋" w:eastAsia="仿宋"/>
          <w:sz w:val="32"/>
          <w:szCs w:val="32"/>
        </w:rPr>
        <w:t>万元，增长</w:t>
      </w:r>
      <w:r>
        <w:rPr>
          <w:rFonts w:hint="eastAsia" w:ascii="仿宋" w:hAnsi="仿宋" w:eastAsia="仿宋"/>
          <w:color w:val="auto"/>
          <w:sz w:val="32"/>
          <w:szCs w:val="32"/>
          <w:highlight w:val="none"/>
          <w:lang w:val="en-US" w:eastAsia="zh-CN"/>
        </w:rPr>
        <w:t>22.31</w:t>
      </w:r>
      <w:r>
        <w:rPr>
          <w:rFonts w:ascii="仿宋" w:hAnsi="仿宋" w:eastAsia="仿宋"/>
          <w:color w:val="auto"/>
          <w:sz w:val="32"/>
          <w:szCs w:val="32"/>
          <w:highlight w:val="none"/>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eastAsia="zh-CN"/>
        </w:rPr>
        <w:t>人员经费和项目经费都有增加。</w:t>
      </w:r>
    </w:p>
    <w:p w14:paraId="1DDAF71C">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（图5：一般公共预算财政拨款支出决算变动情况）（柱状图）</w:t>
      </w:r>
    </w:p>
    <w:p w14:paraId="0276E51B">
      <w:pPr>
        <w:pStyle w:val="21"/>
        <w:rPr>
          <w:rFonts w:hint="eastAsia" w:eastAsia="仿宋"/>
          <w:lang w:eastAsia="zh-CN"/>
        </w:rPr>
      </w:pPr>
      <w:r>
        <w:rPr>
          <w:rFonts w:hint="eastAsia" w:eastAsia="仿宋"/>
          <w:lang w:eastAsia="zh-CN"/>
        </w:rPr>
        <w:drawing>
          <wp:inline distT="0" distB="0" distL="114300" distR="114300">
            <wp:extent cx="5256530" cy="2988310"/>
            <wp:effectExtent l="5080" t="4445" r="1143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ED79DEB">
      <w:pPr>
        <w:spacing w:line="600" w:lineRule="exact"/>
        <w:ind w:firstLine="640" w:firstLineChars="200"/>
        <w:rPr>
          <w:rFonts w:ascii="仿宋" w:hAnsi="仿宋" w:eastAsia="仿宋"/>
          <w:sz w:val="32"/>
          <w:szCs w:val="32"/>
          <w:highlight w:val="yellow"/>
        </w:rPr>
      </w:pPr>
    </w:p>
    <w:p w14:paraId="70338DDF">
      <w:pPr>
        <w:spacing w:line="600" w:lineRule="exact"/>
        <w:ind w:firstLine="643" w:firstLineChars="200"/>
        <w:outlineLvl w:val="2"/>
        <w:rPr>
          <w:rFonts w:ascii="仿宋" w:hAnsi="仿宋" w:eastAsia="仿宋"/>
          <w:b/>
          <w:sz w:val="32"/>
          <w:szCs w:val="32"/>
        </w:rPr>
      </w:pPr>
      <w:bookmarkStart w:id="40" w:name="_Toc15377211"/>
      <w:bookmarkStart w:id="41" w:name="_Toc9589"/>
      <w:r>
        <w:rPr>
          <w:rFonts w:hint="eastAsia" w:ascii="仿宋" w:hAnsi="仿宋" w:eastAsia="仿宋"/>
          <w:b/>
          <w:sz w:val="32"/>
          <w:szCs w:val="32"/>
        </w:rPr>
        <w:t>（二）一般公共预算财政拨款支出决算结构情况</w:t>
      </w:r>
      <w:bookmarkEnd w:id="40"/>
      <w:bookmarkEnd w:id="41"/>
    </w:p>
    <w:p w14:paraId="16D37342">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hint="eastAsia" w:eastAsia="仿宋"/>
          <w:color w:val="auto"/>
          <w:sz w:val="32"/>
          <w:szCs w:val="32"/>
          <w:highlight w:val="none"/>
          <w:lang w:val="en-US" w:eastAsia="zh-CN"/>
        </w:rPr>
        <w:t>2294.30</w:t>
      </w:r>
      <w:r>
        <w:rPr>
          <w:rFonts w:hint="eastAsia" w:ascii="仿宋" w:hAnsi="仿宋" w:eastAsia="仿宋"/>
          <w:sz w:val="32"/>
          <w:szCs w:val="32"/>
        </w:rPr>
        <w:t>万元，</w:t>
      </w:r>
      <w:r>
        <w:rPr>
          <w:rFonts w:hint="eastAsia" w:ascii="仿宋" w:hAnsi="仿宋" w:eastAsia="仿宋"/>
          <w:color w:val="auto"/>
          <w:sz w:val="32"/>
          <w:szCs w:val="32"/>
          <w:highlight w:val="none"/>
        </w:rPr>
        <w:t>主要用于以下方面</w:t>
      </w:r>
      <w:r>
        <w:rPr>
          <w:rFonts w:ascii="仿宋" w:hAnsi="仿宋" w:eastAsia="仿宋"/>
          <w:color w:val="auto"/>
          <w:sz w:val="32"/>
          <w:szCs w:val="32"/>
          <w:highlight w:val="none"/>
        </w:rPr>
        <w:t>:</w:t>
      </w:r>
      <w:r>
        <w:rPr>
          <w:rFonts w:hint="eastAsia" w:ascii="仿宋" w:hAnsi="仿宋" w:eastAsia="仿宋"/>
          <w:b/>
          <w:color w:val="000000"/>
          <w:sz w:val="32"/>
          <w:szCs w:val="32"/>
        </w:rPr>
        <w:t>公共安全支出</w:t>
      </w:r>
      <w:r>
        <w:rPr>
          <w:rFonts w:hint="eastAsia" w:ascii="仿宋" w:hAnsi="仿宋" w:eastAsia="仿宋"/>
          <w:b w:val="0"/>
          <w:bCs/>
          <w:color w:val="000000"/>
          <w:sz w:val="32"/>
          <w:szCs w:val="32"/>
          <w:lang w:val="en-US" w:eastAsia="zh-CN"/>
        </w:rPr>
        <w:t>2,014.84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87.82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val="0"/>
          <w:bCs w:val="0"/>
          <w:color w:val="auto"/>
          <w:sz w:val="32"/>
          <w:szCs w:val="32"/>
          <w:highlight w:val="none"/>
          <w:lang w:val="en-US" w:eastAsia="zh-CN"/>
        </w:rPr>
        <w:t>109.85</w:t>
      </w:r>
      <w:r>
        <w:rPr>
          <w:rFonts w:hint="eastAsia" w:ascii="仿宋" w:hAnsi="仿宋" w:eastAsia="仿宋"/>
          <w:b w:val="0"/>
          <w:bCs w:val="0"/>
          <w:color w:val="auto"/>
          <w:sz w:val="32"/>
          <w:szCs w:val="32"/>
          <w:highlight w:val="none"/>
        </w:rPr>
        <w:t>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 xml:space="preserve">4.79 </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val="0"/>
          <w:bCs w:val="0"/>
          <w:color w:val="auto"/>
          <w:sz w:val="32"/>
          <w:szCs w:val="32"/>
          <w:highlight w:val="none"/>
          <w:lang w:val="en-US" w:eastAsia="zh-CN"/>
        </w:rPr>
        <w:t>84.46</w:t>
      </w:r>
      <w:r>
        <w:rPr>
          <w:rFonts w:hint="eastAsia" w:ascii="仿宋" w:hAnsi="仿宋" w:eastAsia="仿宋"/>
          <w:b w:val="0"/>
          <w:bCs w:val="0"/>
          <w:color w:val="auto"/>
          <w:sz w:val="32"/>
          <w:szCs w:val="32"/>
          <w:highlight w:val="none"/>
        </w:rPr>
        <w:t>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3.68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85.16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3.71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sz w:val="32"/>
          <w:szCs w:val="32"/>
        </w:rPr>
        <w:t>（注：数据来源于财决01-1表，仅罗列本部门涉及的全部功能分类科目，至类级。）</w:t>
      </w:r>
    </w:p>
    <w:p w14:paraId="66A9F9F5">
      <w:pPr>
        <w:spacing w:line="600" w:lineRule="exact"/>
        <w:ind w:firstLine="640"/>
        <w:rPr>
          <w:rFonts w:ascii="仿宋" w:hAnsi="仿宋" w:eastAsia="仿宋"/>
          <w:sz w:val="32"/>
          <w:szCs w:val="32"/>
        </w:rPr>
      </w:pPr>
    </w:p>
    <w:p w14:paraId="04BF7523">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（图6：一般公共预算财政拨款支出决算结构）（饼状图）</w:t>
      </w:r>
    </w:p>
    <w:p w14:paraId="6AD034FA">
      <w:pPr>
        <w:spacing w:line="600" w:lineRule="exact"/>
        <w:ind w:firstLine="640" w:firstLineChars="200"/>
        <w:rPr>
          <w:rFonts w:ascii="仿宋" w:hAnsi="仿宋" w:eastAsia="仿宋"/>
          <w:sz w:val="32"/>
          <w:szCs w:val="32"/>
        </w:rPr>
      </w:pPr>
    </w:p>
    <w:p w14:paraId="1C213AF1">
      <w:pPr>
        <w:pStyle w:val="21"/>
        <w:rPr>
          <w:rFonts w:hint="eastAsia" w:eastAsia="仿宋"/>
          <w:lang w:eastAsia="zh-CN"/>
        </w:rPr>
      </w:pPr>
      <w:r>
        <w:rPr>
          <w:rFonts w:hint="eastAsia" w:eastAsia="仿宋"/>
          <w:lang w:eastAsia="zh-CN"/>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57F1BAA">
      <w:pPr>
        <w:spacing w:line="600" w:lineRule="exact"/>
        <w:ind w:firstLine="643" w:firstLineChars="200"/>
        <w:outlineLvl w:val="2"/>
        <w:rPr>
          <w:rFonts w:ascii="仿宋" w:hAnsi="仿宋" w:eastAsia="仿宋"/>
          <w:b/>
          <w:sz w:val="32"/>
          <w:szCs w:val="32"/>
        </w:rPr>
      </w:pPr>
      <w:bookmarkStart w:id="42" w:name="_Toc15377212"/>
      <w:bookmarkStart w:id="43" w:name="_Toc7148"/>
      <w:r>
        <w:rPr>
          <w:rFonts w:hint="eastAsia" w:ascii="仿宋" w:hAnsi="仿宋" w:eastAsia="仿宋"/>
          <w:b/>
          <w:sz w:val="32"/>
          <w:szCs w:val="32"/>
        </w:rPr>
        <w:t>（三）一般公共预算财政拨款支出决算具体情况</w:t>
      </w:r>
      <w:bookmarkEnd w:id="42"/>
      <w:bookmarkEnd w:id="43"/>
    </w:p>
    <w:p w14:paraId="3E0493CA">
      <w:pPr>
        <w:spacing w:line="600" w:lineRule="exact"/>
        <w:ind w:firstLine="643" w:firstLineChars="200"/>
        <w:outlineLvl w:val="9"/>
        <w:rPr>
          <w:rFonts w:ascii="仿宋" w:hAnsi="仿宋" w:eastAsia="仿宋"/>
          <w:sz w:val="32"/>
          <w:szCs w:val="32"/>
        </w:rPr>
      </w:pPr>
      <w:bookmarkStart w:id="44" w:name="_Toc15378460"/>
      <w:bookmarkStart w:id="45" w:name="_Toc15377213"/>
      <w:bookmarkStart w:id="46" w:name="_Toc15377444"/>
      <w:r>
        <w:rPr>
          <w:rFonts w:hint="eastAsia" w:ascii="仿宋" w:hAnsi="仿宋" w:eastAsia="仿宋"/>
          <w:b/>
          <w:sz w:val="32"/>
          <w:szCs w:val="32"/>
        </w:rPr>
        <w:t>2023年度一般公共预算支出决算数为</w:t>
      </w:r>
      <w:r>
        <w:rPr>
          <w:rFonts w:hint="eastAsia" w:eastAsia="仿宋"/>
          <w:color w:val="auto"/>
          <w:sz w:val="32"/>
          <w:szCs w:val="32"/>
          <w:highlight w:val="none"/>
          <w:lang w:val="en-US" w:eastAsia="zh-CN"/>
        </w:rPr>
        <w:t>2294.30万元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99.83</w:t>
      </w:r>
      <w:r>
        <w:rPr>
          <w:rStyle w:val="17"/>
          <w:rFonts w:ascii="仿宋" w:hAnsi="仿宋" w:eastAsia="仿宋"/>
          <w:bCs/>
          <w:sz w:val="32"/>
          <w:szCs w:val="32"/>
        </w:rPr>
        <w:t>%</w:t>
      </w:r>
      <w:r>
        <w:rPr>
          <w:rStyle w:val="17"/>
          <w:rFonts w:hint="eastAsia" w:ascii="仿宋" w:hAnsi="仿宋" w:eastAsia="仿宋"/>
          <w:bCs/>
          <w:sz w:val="32"/>
          <w:szCs w:val="32"/>
        </w:rPr>
        <w:t>。其中：</w:t>
      </w:r>
      <w:bookmarkEnd w:id="44"/>
      <w:bookmarkEnd w:id="45"/>
      <w:bookmarkEnd w:id="46"/>
    </w:p>
    <w:p w14:paraId="617DBD87">
      <w:pPr>
        <w:spacing w:line="600" w:lineRule="exact"/>
        <w:ind w:firstLine="643" w:firstLineChars="200"/>
        <w:outlineLvl w:val="9"/>
        <w:rPr>
          <w:rStyle w:val="17"/>
          <w:rFonts w:ascii="仿宋" w:hAnsi="仿宋" w:eastAsia="仿宋"/>
          <w:bCs/>
          <w:color w:val="000000"/>
          <w:sz w:val="32"/>
          <w:szCs w:val="32"/>
        </w:rPr>
      </w:pPr>
      <w:r>
        <w:rPr>
          <w:rStyle w:val="17"/>
          <w:rFonts w:ascii="仿宋" w:hAnsi="仿宋" w:eastAsia="仿宋"/>
          <w:bCs/>
          <w:color w:val="000000"/>
          <w:sz w:val="32"/>
          <w:szCs w:val="32"/>
        </w:rPr>
        <w:t>1.</w:t>
      </w:r>
      <w:r>
        <w:rPr>
          <w:rStyle w:val="17"/>
          <w:rFonts w:hint="eastAsia" w:ascii="仿宋" w:hAnsi="仿宋" w:eastAsia="仿宋"/>
          <w:bCs/>
          <w:color w:val="000000"/>
          <w:sz w:val="32"/>
          <w:szCs w:val="32"/>
        </w:rPr>
        <w:t>公共安全支出(204)司法(06)行政运行（01）：</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1351.28</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99.99</w:t>
      </w:r>
      <w:r>
        <w:rPr>
          <w:rStyle w:val="17"/>
          <w:rFonts w:hint="eastAsia" w:ascii="仿宋" w:hAnsi="仿宋" w:eastAsia="仿宋"/>
          <w:b w:val="0"/>
          <w:bCs/>
          <w:color w:val="000000"/>
          <w:sz w:val="32"/>
          <w:szCs w:val="32"/>
        </w:rPr>
        <w:t>%。</w:t>
      </w:r>
    </w:p>
    <w:p w14:paraId="4A225294">
      <w:pPr>
        <w:spacing w:line="600" w:lineRule="exact"/>
        <w:ind w:firstLine="643" w:firstLineChars="200"/>
        <w:outlineLvl w:val="9"/>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2</w:t>
      </w:r>
      <w:r>
        <w:rPr>
          <w:rStyle w:val="17"/>
          <w:rFonts w:hint="eastAsia" w:ascii="仿宋" w:hAnsi="仿宋" w:eastAsia="仿宋"/>
          <w:bCs/>
          <w:color w:val="000000"/>
          <w:sz w:val="32"/>
          <w:szCs w:val="32"/>
        </w:rPr>
        <w:t>.公共安全支出(204)司法(06)一般行政管理事务（02）：</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318.76</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98.83</w:t>
      </w:r>
      <w:r>
        <w:rPr>
          <w:rStyle w:val="17"/>
          <w:rFonts w:hint="eastAsia" w:ascii="仿宋" w:hAnsi="仿宋" w:eastAsia="仿宋"/>
          <w:b w:val="0"/>
          <w:bCs/>
          <w:color w:val="000000"/>
          <w:sz w:val="32"/>
          <w:szCs w:val="32"/>
        </w:rPr>
        <w:t>%。</w:t>
      </w:r>
    </w:p>
    <w:p w14:paraId="4AA1EE78">
      <w:pPr>
        <w:pStyle w:val="21"/>
        <w:ind w:firstLine="642"/>
        <w:jc w:val="left"/>
        <w:outlineLvl w:val="9"/>
        <w:rPr>
          <w:rStyle w:val="17"/>
          <w:rFonts w:hint="eastAsia" w:ascii="仿宋" w:hAnsi="仿宋" w:eastAsia="仿宋"/>
          <w:b w:val="0"/>
          <w:bCs/>
          <w:color w:val="000000"/>
          <w:sz w:val="32"/>
          <w:szCs w:val="32"/>
        </w:rPr>
      </w:pPr>
      <w:r>
        <w:rPr>
          <w:rStyle w:val="17"/>
          <w:rFonts w:hint="eastAsia" w:ascii="仿宋" w:hAnsi="仿宋" w:eastAsia="仿宋"/>
          <w:b/>
          <w:bCs/>
          <w:color w:val="000000"/>
          <w:sz w:val="32"/>
          <w:szCs w:val="32"/>
          <w:lang w:val="en-US" w:eastAsia="zh-CN"/>
        </w:rPr>
        <w:t>3</w:t>
      </w:r>
      <w:r>
        <w:rPr>
          <w:rStyle w:val="17"/>
          <w:rFonts w:hint="eastAsia" w:ascii="仿宋" w:hAnsi="仿宋" w:eastAsia="仿宋"/>
          <w:b/>
          <w:bCs/>
          <w:color w:val="000000"/>
          <w:sz w:val="32"/>
          <w:szCs w:val="32"/>
        </w:rPr>
        <w:t>.公共安全支出(204)司法(06)</w:t>
      </w:r>
      <w:r>
        <w:rPr>
          <w:rStyle w:val="17"/>
          <w:rFonts w:hint="eastAsia" w:ascii="仿宋" w:hAnsi="仿宋" w:eastAsia="仿宋"/>
          <w:b/>
          <w:bCs/>
          <w:color w:val="000000"/>
          <w:sz w:val="32"/>
          <w:szCs w:val="32"/>
          <w:lang w:eastAsia="zh-CN"/>
        </w:rPr>
        <w:t>普法宣传</w:t>
      </w:r>
      <w:r>
        <w:rPr>
          <w:rStyle w:val="17"/>
          <w:rFonts w:hint="eastAsia" w:ascii="仿宋" w:hAnsi="仿宋" w:eastAsia="仿宋"/>
          <w:b/>
          <w:bCs/>
          <w:color w:val="000000"/>
          <w:sz w:val="32"/>
          <w:szCs w:val="32"/>
        </w:rPr>
        <w:t>（0</w:t>
      </w:r>
      <w:r>
        <w:rPr>
          <w:rStyle w:val="17"/>
          <w:rFonts w:hint="eastAsia" w:ascii="仿宋" w:hAnsi="仿宋" w:eastAsia="仿宋"/>
          <w:b/>
          <w:bCs/>
          <w:color w:val="000000"/>
          <w:sz w:val="32"/>
          <w:szCs w:val="32"/>
          <w:lang w:val="en-US" w:eastAsia="zh-CN"/>
        </w:rPr>
        <w:t>5</w:t>
      </w:r>
      <w:r>
        <w:rPr>
          <w:rStyle w:val="17"/>
          <w:rFonts w:hint="eastAsia" w:ascii="仿宋" w:hAnsi="仿宋" w:eastAsia="仿宋"/>
          <w:b/>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14.42</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hint="eastAsia" w:ascii="仿宋" w:hAnsi="仿宋" w:eastAsia="仿宋"/>
          <w:b w:val="0"/>
          <w:bCs/>
          <w:color w:val="000000"/>
          <w:sz w:val="32"/>
          <w:szCs w:val="32"/>
        </w:rPr>
        <w:t>%。</w:t>
      </w:r>
    </w:p>
    <w:p w14:paraId="7770A822">
      <w:pPr>
        <w:pStyle w:val="21"/>
        <w:ind w:firstLine="642"/>
        <w:jc w:val="left"/>
        <w:outlineLvl w:val="9"/>
        <w:rPr>
          <w:rStyle w:val="17"/>
          <w:rFonts w:hint="eastAsia" w:ascii="仿宋" w:hAnsi="仿宋" w:eastAsia="仿宋"/>
          <w:b w:val="0"/>
          <w:bCs/>
          <w:color w:val="000000"/>
          <w:sz w:val="32"/>
          <w:szCs w:val="32"/>
        </w:rPr>
      </w:pPr>
      <w:r>
        <w:rPr>
          <w:rStyle w:val="17"/>
          <w:rFonts w:hint="eastAsia" w:ascii="仿宋" w:hAnsi="仿宋" w:eastAsia="仿宋"/>
          <w:b/>
          <w:bCs/>
          <w:color w:val="000000"/>
          <w:sz w:val="32"/>
          <w:szCs w:val="32"/>
          <w:lang w:val="en-US" w:eastAsia="zh-CN"/>
        </w:rPr>
        <w:t>4</w:t>
      </w:r>
      <w:r>
        <w:rPr>
          <w:rStyle w:val="17"/>
          <w:rFonts w:hint="eastAsia" w:ascii="仿宋" w:hAnsi="仿宋" w:eastAsia="仿宋"/>
          <w:b/>
          <w:bCs/>
          <w:color w:val="000000"/>
          <w:sz w:val="32"/>
          <w:szCs w:val="32"/>
        </w:rPr>
        <w:t>.公共安全支出(204)司法(06)</w:t>
      </w:r>
      <w:r>
        <w:rPr>
          <w:rStyle w:val="17"/>
          <w:rFonts w:hint="eastAsia" w:ascii="仿宋" w:hAnsi="仿宋" w:eastAsia="仿宋"/>
          <w:b/>
          <w:bCs/>
          <w:color w:val="000000"/>
          <w:sz w:val="32"/>
          <w:szCs w:val="32"/>
          <w:lang w:eastAsia="zh-CN"/>
        </w:rPr>
        <w:t>律师管理</w:t>
      </w:r>
      <w:r>
        <w:rPr>
          <w:rStyle w:val="17"/>
          <w:rFonts w:hint="eastAsia" w:ascii="仿宋" w:hAnsi="仿宋" w:eastAsia="仿宋"/>
          <w:b/>
          <w:bCs/>
          <w:color w:val="000000"/>
          <w:sz w:val="32"/>
          <w:szCs w:val="32"/>
        </w:rPr>
        <w:t>（0</w:t>
      </w:r>
      <w:r>
        <w:rPr>
          <w:rStyle w:val="17"/>
          <w:rFonts w:hint="eastAsia" w:ascii="仿宋" w:hAnsi="仿宋" w:eastAsia="仿宋"/>
          <w:b/>
          <w:bCs/>
          <w:color w:val="000000"/>
          <w:sz w:val="32"/>
          <w:szCs w:val="32"/>
          <w:lang w:val="en-US" w:eastAsia="zh-CN"/>
        </w:rPr>
        <w:t>6</w:t>
      </w:r>
      <w:r>
        <w:rPr>
          <w:rStyle w:val="17"/>
          <w:rFonts w:hint="eastAsia" w:ascii="仿宋" w:hAnsi="仿宋" w:eastAsia="仿宋"/>
          <w:b/>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3.03</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hint="eastAsia" w:ascii="仿宋" w:hAnsi="仿宋" w:eastAsia="仿宋"/>
          <w:b w:val="0"/>
          <w:bCs/>
          <w:color w:val="000000"/>
          <w:sz w:val="32"/>
          <w:szCs w:val="32"/>
        </w:rPr>
        <w:t>%。</w:t>
      </w:r>
    </w:p>
    <w:p w14:paraId="72EB2F5D">
      <w:pPr>
        <w:pStyle w:val="21"/>
        <w:ind w:firstLine="642"/>
        <w:jc w:val="left"/>
        <w:outlineLvl w:val="9"/>
        <w:rPr>
          <w:rStyle w:val="17"/>
          <w:rFonts w:hint="eastAsia" w:ascii="仿宋" w:hAnsi="仿宋" w:eastAsia="仿宋"/>
          <w:b w:val="0"/>
          <w:bCs/>
          <w:color w:val="000000"/>
          <w:sz w:val="32"/>
          <w:szCs w:val="32"/>
        </w:rPr>
      </w:pPr>
      <w:r>
        <w:rPr>
          <w:rStyle w:val="17"/>
          <w:rFonts w:hint="eastAsia" w:ascii="仿宋" w:hAnsi="仿宋" w:eastAsia="仿宋"/>
          <w:b/>
          <w:bCs/>
          <w:color w:val="000000"/>
          <w:sz w:val="32"/>
          <w:szCs w:val="32"/>
          <w:lang w:val="en-US" w:eastAsia="zh-CN"/>
        </w:rPr>
        <w:t>5</w:t>
      </w:r>
      <w:r>
        <w:rPr>
          <w:rStyle w:val="17"/>
          <w:rFonts w:hint="eastAsia" w:ascii="仿宋" w:hAnsi="仿宋" w:eastAsia="仿宋"/>
          <w:b/>
          <w:bCs/>
          <w:color w:val="000000"/>
          <w:sz w:val="32"/>
          <w:szCs w:val="32"/>
        </w:rPr>
        <w:t>.公共安全支出(204)司法(06)</w:t>
      </w:r>
      <w:r>
        <w:rPr>
          <w:rStyle w:val="17"/>
          <w:rFonts w:hint="eastAsia" w:ascii="仿宋" w:hAnsi="仿宋" w:eastAsia="仿宋"/>
          <w:b/>
          <w:bCs/>
          <w:color w:val="000000"/>
          <w:sz w:val="32"/>
          <w:szCs w:val="32"/>
          <w:lang w:eastAsia="zh-CN"/>
        </w:rPr>
        <w:t>公共法律服务</w:t>
      </w:r>
      <w:r>
        <w:rPr>
          <w:rStyle w:val="17"/>
          <w:rFonts w:hint="eastAsia" w:ascii="仿宋" w:hAnsi="仿宋" w:eastAsia="仿宋"/>
          <w:b/>
          <w:bCs/>
          <w:color w:val="000000"/>
          <w:sz w:val="32"/>
          <w:szCs w:val="32"/>
        </w:rPr>
        <w:t>（0</w:t>
      </w:r>
      <w:r>
        <w:rPr>
          <w:rStyle w:val="17"/>
          <w:rFonts w:hint="eastAsia" w:ascii="仿宋" w:hAnsi="仿宋" w:eastAsia="仿宋"/>
          <w:b/>
          <w:bCs/>
          <w:color w:val="000000"/>
          <w:sz w:val="32"/>
          <w:szCs w:val="32"/>
          <w:lang w:val="en-US" w:eastAsia="zh-CN"/>
        </w:rPr>
        <w:t>7</w:t>
      </w:r>
      <w:r>
        <w:rPr>
          <w:rStyle w:val="17"/>
          <w:rFonts w:hint="eastAsia" w:ascii="仿宋" w:hAnsi="仿宋" w:eastAsia="仿宋"/>
          <w:b/>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148.30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hint="eastAsia" w:ascii="仿宋" w:hAnsi="仿宋" w:eastAsia="仿宋"/>
          <w:b w:val="0"/>
          <w:bCs/>
          <w:color w:val="000000"/>
          <w:sz w:val="32"/>
          <w:szCs w:val="32"/>
        </w:rPr>
        <w:t>%。</w:t>
      </w:r>
    </w:p>
    <w:p w14:paraId="5EC2DE50">
      <w:pPr>
        <w:pStyle w:val="21"/>
        <w:ind w:firstLine="642"/>
        <w:jc w:val="left"/>
        <w:outlineLvl w:val="9"/>
        <w:rPr>
          <w:rStyle w:val="17"/>
          <w:rFonts w:hint="eastAsia" w:ascii="仿宋" w:hAnsi="仿宋" w:eastAsia="仿宋"/>
          <w:b w:val="0"/>
          <w:bCs/>
          <w:color w:val="000000"/>
          <w:sz w:val="32"/>
          <w:szCs w:val="32"/>
          <w:lang w:val="en-US" w:eastAsia="zh-CN"/>
        </w:rPr>
      </w:pPr>
    </w:p>
    <w:p w14:paraId="7D23A239">
      <w:pPr>
        <w:pStyle w:val="21"/>
        <w:ind w:firstLine="642"/>
        <w:jc w:val="left"/>
        <w:outlineLvl w:val="9"/>
        <w:rPr>
          <w:rStyle w:val="17"/>
          <w:rFonts w:hint="eastAsia" w:ascii="仿宋" w:hAnsi="仿宋" w:eastAsia="仿宋"/>
          <w:b/>
          <w:bCs/>
          <w:color w:val="000000"/>
          <w:sz w:val="32"/>
          <w:szCs w:val="32"/>
          <w:lang w:val="en-US" w:eastAsia="zh-CN"/>
        </w:rPr>
      </w:pPr>
      <w:r>
        <w:rPr>
          <w:rStyle w:val="17"/>
          <w:rFonts w:hint="eastAsia" w:ascii="仿宋" w:hAnsi="仿宋" w:eastAsia="仿宋"/>
          <w:b/>
          <w:bCs/>
          <w:color w:val="000000"/>
          <w:sz w:val="32"/>
          <w:szCs w:val="32"/>
          <w:lang w:val="en-US" w:eastAsia="zh-CN"/>
        </w:rPr>
        <w:t>6</w:t>
      </w:r>
      <w:r>
        <w:rPr>
          <w:rStyle w:val="17"/>
          <w:rFonts w:hint="eastAsia" w:ascii="仿宋" w:hAnsi="仿宋" w:eastAsia="仿宋"/>
          <w:b/>
          <w:bCs/>
          <w:color w:val="000000"/>
          <w:sz w:val="32"/>
          <w:szCs w:val="32"/>
        </w:rPr>
        <w:t>.公共安全支出(204)司法(06)</w:t>
      </w:r>
      <w:r>
        <w:rPr>
          <w:rStyle w:val="17"/>
          <w:rFonts w:hint="eastAsia" w:ascii="仿宋" w:hAnsi="仿宋" w:eastAsia="仿宋"/>
          <w:b/>
          <w:bCs/>
          <w:color w:val="000000"/>
          <w:sz w:val="32"/>
          <w:szCs w:val="32"/>
          <w:lang w:eastAsia="zh-CN"/>
        </w:rPr>
        <w:t>社区矫正</w:t>
      </w:r>
      <w:r>
        <w:rPr>
          <w:rStyle w:val="17"/>
          <w:rFonts w:hint="eastAsia" w:ascii="仿宋" w:hAnsi="仿宋" w:eastAsia="仿宋"/>
          <w:b/>
          <w:bCs/>
          <w:color w:val="000000"/>
          <w:sz w:val="32"/>
          <w:szCs w:val="32"/>
        </w:rPr>
        <w:t>（</w:t>
      </w:r>
      <w:r>
        <w:rPr>
          <w:rStyle w:val="17"/>
          <w:rFonts w:hint="eastAsia" w:ascii="仿宋" w:hAnsi="仿宋" w:eastAsia="仿宋"/>
          <w:b/>
          <w:bCs/>
          <w:color w:val="000000"/>
          <w:sz w:val="32"/>
          <w:szCs w:val="32"/>
          <w:lang w:val="en-US" w:eastAsia="zh-CN"/>
        </w:rPr>
        <w:t>10</w:t>
      </w:r>
      <w:r>
        <w:rPr>
          <w:rStyle w:val="17"/>
          <w:rFonts w:hint="eastAsia" w:ascii="仿宋" w:hAnsi="仿宋" w:eastAsia="仿宋"/>
          <w:b/>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5.11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hint="eastAsia" w:ascii="仿宋" w:hAnsi="仿宋" w:eastAsia="仿宋"/>
          <w:b w:val="0"/>
          <w:bCs/>
          <w:color w:val="000000"/>
          <w:sz w:val="32"/>
          <w:szCs w:val="32"/>
        </w:rPr>
        <w:t>%。</w:t>
      </w:r>
    </w:p>
    <w:p w14:paraId="795BAC43">
      <w:pPr>
        <w:spacing w:line="600" w:lineRule="exact"/>
        <w:ind w:firstLine="643" w:firstLineChars="200"/>
        <w:outlineLvl w:val="9"/>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7</w:t>
      </w:r>
      <w:r>
        <w:rPr>
          <w:rStyle w:val="17"/>
          <w:rFonts w:hint="eastAsia" w:ascii="仿宋" w:hAnsi="仿宋" w:eastAsia="仿宋"/>
          <w:bCs/>
          <w:color w:val="000000"/>
          <w:sz w:val="32"/>
          <w:szCs w:val="32"/>
        </w:rPr>
        <w:t>.公共安全支出(204)司法(06)</w:t>
      </w:r>
      <w:r>
        <w:rPr>
          <w:rStyle w:val="17"/>
          <w:rFonts w:hint="eastAsia" w:ascii="仿宋" w:hAnsi="仿宋" w:eastAsia="仿宋"/>
          <w:bCs/>
          <w:color w:val="000000"/>
          <w:sz w:val="32"/>
          <w:szCs w:val="32"/>
          <w:lang w:eastAsia="zh-CN"/>
        </w:rPr>
        <w:t>事业运行</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50</w:t>
      </w:r>
      <w:r>
        <w:rPr>
          <w:rStyle w:val="17"/>
          <w:rFonts w:hint="eastAsia"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173.95</w:t>
      </w:r>
      <w:r>
        <w:rPr>
          <w:rStyle w:val="17"/>
          <w:rFonts w:hint="eastAsia" w:ascii="仿宋" w:hAnsi="仿宋" w:eastAsia="仿宋"/>
          <w:b w:val="0"/>
          <w:bCs/>
          <w:color w:val="000000"/>
          <w:sz w:val="32"/>
          <w:szCs w:val="32"/>
        </w:rPr>
        <w:t>万元，完成预算100%。</w:t>
      </w:r>
    </w:p>
    <w:p w14:paraId="668B6008">
      <w:pPr>
        <w:spacing w:line="600" w:lineRule="exact"/>
        <w:ind w:firstLine="643" w:firstLineChars="200"/>
        <w:outlineLvl w:val="9"/>
        <w:rPr>
          <w:rFonts w:hint="eastAsia"/>
        </w:rPr>
      </w:pPr>
      <w:r>
        <w:rPr>
          <w:rStyle w:val="17"/>
          <w:rFonts w:hint="eastAsia" w:ascii="仿宋" w:hAnsi="仿宋" w:eastAsia="仿宋"/>
          <w:bCs/>
          <w:color w:val="000000"/>
          <w:sz w:val="32"/>
          <w:szCs w:val="32"/>
          <w:lang w:val="en-US" w:eastAsia="zh-CN"/>
        </w:rPr>
        <w:t>8.</w:t>
      </w:r>
      <w:r>
        <w:rPr>
          <w:rStyle w:val="17"/>
          <w:rFonts w:hint="eastAsia" w:ascii="仿宋" w:hAnsi="仿宋" w:eastAsia="仿宋"/>
          <w:bCs/>
          <w:color w:val="000000"/>
          <w:sz w:val="32"/>
          <w:szCs w:val="32"/>
        </w:rPr>
        <w:t>社会保障和就业支出(208)行政事业单位养老支出(05)</w:t>
      </w:r>
      <w:r>
        <w:rPr>
          <w:rStyle w:val="17"/>
          <w:rFonts w:hint="eastAsia" w:ascii="仿宋" w:hAnsi="仿宋" w:eastAsia="仿宋"/>
          <w:bCs/>
          <w:color w:val="000000"/>
          <w:sz w:val="32"/>
          <w:szCs w:val="32"/>
          <w:lang w:eastAsia="zh-CN"/>
        </w:rPr>
        <w:t>行政</w:t>
      </w:r>
      <w:r>
        <w:rPr>
          <w:rStyle w:val="17"/>
          <w:rFonts w:hint="eastAsia" w:ascii="仿宋" w:hAnsi="仿宋" w:eastAsia="仿宋"/>
          <w:bCs/>
          <w:color w:val="000000"/>
          <w:sz w:val="32"/>
          <w:szCs w:val="32"/>
        </w:rPr>
        <w:t>单位</w:t>
      </w:r>
      <w:r>
        <w:rPr>
          <w:rStyle w:val="17"/>
          <w:rFonts w:hint="eastAsia" w:ascii="仿宋" w:hAnsi="仿宋" w:eastAsia="仿宋"/>
          <w:bCs/>
          <w:color w:val="000000"/>
          <w:sz w:val="32"/>
          <w:szCs w:val="32"/>
          <w:lang w:eastAsia="zh-CN"/>
        </w:rPr>
        <w:t>离退休</w:t>
      </w:r>
      <w:r>
        <w:rPr>
          <w:rStyle w:val="17"/>
          <w:rFonts w:hint="eastAsia" w:ascii="仿宋" w:hAnsi="仿宋" w:eastAsia="仿宋"/>
          <w:bCs/>
          <w:color w:val="000000"/>
          <w:sz w:val="32"/>
          <w:szCs w:val="32"/>
        </w:rPr>
        <w:t>(0</w:t>
      </w:r>
      <w:r>
        <w:rPr>
          <w:rStyle w:val="17"/>
          <w:rFonts w:hint="eastAsia" w:ascii="仿宋" w:hAnsi="仿宋" w:eastAsia="仿宋"/>
          <w:bCs/>
          <w:color w:val="000000"/>
          <w:sz w:val="32"/>
          <w:szCs w:val="32"/>
          <w:lang w:val="en-US" w:eastAsia="zh-CN"/>
        </w:rPr>
        <w:t>1</w:t>
      </w:r>
      <w:r>
        <w:rPr>
          <w:rStyle w:val="17"/>
          <w:rFonts w:hint="eastAsia"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6.19</w:t>
      </w:r>
      <w:r>
        <w:rPr>
          <w:rStyle w:val="17"/>
          <w:rFonts w:hint="eastAsia" w:ascii="仿宋" w:hAnsi="仿宋" w:eastAsia="仿宋"/>
          <w:b w:val="0"/>
          <w:bCs/>
          <w:color w:val="000000"/>
          <w:sz w:val="32"/>
          <w:szCs w:val="32"/>
        </w:rPr>
        <w:t>万元，完成预算100%。</w:t>
      </w:r>
    </w:p>
    <w:p w14:paraId="4752FC8B">
      <w:pPr>
        <w:spacing w:line="600" w:lineRule="exact"/>
        <w:ind w:firstLine="643" w:firstLineChars="200"/>
        <w:outlineLvl w:val="9"/>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9.</w:t>
      </w:r>
      <w:r>
        <w:rPr>
          <w:rStyle w:val="17"/>
          <w:rFonts w:hint="eastAsia" w:ascii="仿宋" w:hAnsi="仿宋" w:eastAsia="仿宋"/>
          <w:bCs/>
          <w:color w:val="000000"/>
          <w:sz w:val="32"/>
          <w:szCs w:val="32"/>
        </w:rPr>
        <w:t>社会保障和就业支出(208)行政事业单位养老支出(05) 机关事业单位基本养老保险缴费支出(05):</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14.33</w:t>
      </w:r>
      <w:r>
        <w:rPr>
          <w:rStyle w:val="17"/>
          <w:rFonts w:hint="eastAsia" w:ascii="仿宋" w:hAnsi="仿宋" w:eastAsia="仿宋"/>
          <w:b w:val="0"/>
          <w:bCs/>
          <w:color w:val="000000"/>
          <w:sz w:val="32"/>
          <w:szCs w:val="32"/>
        </w:rPr>
        <w:t>万元，完成预算100%。</w:t>
      </w:r>
    </w:p>
    <w:p w14:paraId="064E554E">
      <w:pPr>
        <w:spacing w:line="600" w:lineRule="exact"/>
        <w:ind w:firstLine="643" w:firstLineChars="200"/>
        <w:outlineLvl w:val="9"/>
        <w:rPr>
          <w:rFonts w:hint="default" w:eastAsia="仿宋"/>
          <w:lang w:val="en-US" w:eastAsia="zh-CN"/>
        </w:rPr>
      </w:pPr>
      <w:r>
        <w:rPr>
          <w:rStyle w:val="17"/>
          <w:rFonts w:hint="eastAsia" w:ascii="仿宋" w:hAnsi="仿宋" w:eastAsia="仿宋"/>
          <w:bCs/>
          <w:color w:val="000000"/>
          <w:sz w:val="32"/>
          <w:szCs w:val="32"/>
          <w:lang w:val="en-US" w:eastAsia="zh-CN"/>
        </w:rPr>
        <w:t>10.</w:t>
      </w:r>
      <w:r>
        <w:rPr>
          <w:rStyle w:val="17"/>
          <w:rFonts w:hint="eastAsia" w:ascii="仿宋" w:hAnsi="仿宋" w:eastAsia="仿宋"/>
          <w:bCs/>
          <w:color w:val="000000"/>
          <w:sz w:val="32"/>
          <w:szCs w:val="32"/>
        </w:rPr>
        <w:t>社会保障和就业支出(208)行政事业单位养老支出(05) 机关事业单位职业年金缴费支出(0</w:t>
      </w:r>
      <w:r>
        <w:rPr>
          <w:rStyle w:val="17"/>
          <w:rFonts w:hint="eastAsia" w:ascii="仿宋" w:hAnsi="仿宋" w:eastAsia="仿宋"/>
          <w:bCs/>
          <w:color w:val="000000"/>
          <w:sz w:val="32"/>
          <w:szCs w:val="32"/>
          <w:lang w:val="en-US" w:eastAsia="zh-CN"/>
        </w:rPr>
        <w:t>6</w:t>
      </w:r>
      <w:r>
        <w:rPr>
          <w:rStyle w:val="17"/>
          <w:rFonts w:hint="eastAsia"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14.44</w:t>
      </w:r>
      <w:r>
        <w:rPr>
          <w:rStyle w:val="17"/>
          <w:rFonts w:hint="eastAsia" w:ascii="仿宋" w:hAnsi="仿宋" w:eastAsia="仿宋"/>
          <w:b w:val="0"/>
          <w:bCs/>
          <w:color w:val="000000"/>
          <w:sz w:val="32"/>
          <w:szCs w:val="32"/>
        </w:rPr>
        <w:t>万元，完成预算100%。</w:t>
      </w:r>
    </w:p>
    <w:p w14:paraId="655C7FDE">
      <w:pPr>
        <w:spacing w:line="600" w:lineRule="exact"/>
        <w:ind w:firstLine="643" w:firstLineChars="200"/>
        <w:outlineLvl w:val="9"/>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11</w:t>
      </w:r>
      <w:r>
        <w:rPr>
          <w:rStyle w:val="17"/>
          <w:rFonts w:hint="eastAsia" w:ascii="仿宋" w:hAnsi="仿宋" w:eastAsia="仿宋"/>
          <w:bCs/>
          <w:color w:val="000000"/>
          <w:sz w:val="32"/>
          <w:szCs w:val="32"/>
        </w:rPr>
        <w:t>.社会保障和就业支出(208)行政事业单位养老支出(05) 其他行政事业单位养老支出(</w:t>
      </w:r>
      <w:r>
        <w:rPr>
          <w:rStyle w:val="17"/>
          <w:rFonts w:hint="eastAsia" w:ascii="仿宋" w:hAnsi="仿宋" w:eastAsia="仿宋"/>
          <w:bCs/>
          <w:color w:val="000000"/>
          <w:sz w:val="32"/>
          <w:szCs w:val="32"/>
          <w:lang w:val="en-US" w:eastAsia="zh-CN"/>
        </w:rPr>
        <w:t>99</w:t>
      </w:r>
      <w:r>
        <w:rPr>
          <w:rStyle w:val="17"/>
          <w:rFonts w:hint="eastAsia" w:ascii="仿宋" w:hAnsi="仿宋" w:eastAsia="仿宋"/>
          <w:bCs/>
          <w:color w:val="000000"/>
          <w:sz w:val="32"/>
          <w:szCs w:val="32"/>
        </w:rPr>
        <w:t>)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5.91</w:t>
      </w:r>
      <w:r>
        <w:rPr>
          <w:rStyle w:val="17"/>
          <w:rFonts w:hint="eastAsia" w:ascii="仿宋" w:hAnsi="仿宋" w:eastAsia="仿宋"/>
          <w:b w:val="0"/>
          <w:bCs/>
          <w:color w:val="000000"/>
          <w:sz w:val="32"/>
          <w:szCs w:val="32"/>
        </w:rPr>
        <w:t>万元，完成预算100%。</w:t>
      </w:r>
    </w:p>
    <w:p w14:paraId="69E14385">
      <w:pPr>
        <w:spacing w:line="600" w:lineRule="exact"/>
        <w:ind w:firstLine="643" w:firstLineChars="200"/>
        <w:outlineLvl w:val="9"/>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12</w:t>
      </w:r>
      <w:r>
        <w:rPr>
          <w:rStyle w:val="17"/>
          <w:rFonts w:hint="eastAsia" w:ascii="仿宋" w:hAnsi="仿宋" w:eastAsia="仿宋"/>
          <w:bCs/>
          <w:color w:val="000000"/>
          <w:sz w:val="32"/>
          <w:szCs w:val="32"/>
        </w:rPr>
        <w:t>.社会保障和就业支出(208)</w:t>
      </w:r>
      <w:r>
        <w:rPr>
          <w:rStyle w:val="17"/>
          <w:rFonts w:hint="eastAsia" w:ascii="仿宋" w:hAnsi="仿宋" w:eastAsia="仿宋"/>
          <w:bCs/>
          <w:color w:val="000000"/>
          <w:sz w:val="32"/>
          <w:szCs w:val="32"/>
          <w:lang w:eastAsia="zh-CN"/>
        </w:rPr>
        <w:t>抚恤</w:t>
      </w:r>
      <w:r>
        <w:rPr>
          <w:rStyle w:val="17"/>
          <w:rFonts w:hint="eastAsia" w:ascii="仿宋" w:hAnsi="仿宋" w:eastAsia="仿宋"/>
          <w:bCs/>
          <w:color w:val="000000"/>
          <w:sz w:val="32"/>
          <w:szCs w:val="32"/>
        </w:rPr>
        <w:t>(0</w:t>
      </w:r>
      <w:r>
        <w:rPr>
          <w:rStyle w:val="17"/>
          <w:rFonts w:hint="eastAsia" w:ascii="仿宋" w:hAnsi="仿宋" w:eastAsia="仿宋"/>
          <w:bCs/>
          <w:color w:val="000000"/>
          <w:sz w:val="32"/>
          <w:szCs w:val="32"/>
          <w:lang w:val="en-US" w:eastAsia="zh-CN"/>
        </w:rPr>
        <w:t>8</w:t>
      </w:r>
      <w:r>
        <w:rPr>
          <w:rStyle w:val="17"/>
          <w:rFonts w:hint="eastAsia" w:ascii="仿宋" w:hAnsi="仿宋" w:eastAsia="仿宋"/>
          <w:bCs/>
          <w:color w:val="000000"/>
          <w:sz w:val="32"/>
          <w:szCs w:val="32"/>
        </w:rPr>
        <w:t xml:space="preserve">) </w:t>
      </w:r>
      <w:r>
        <w:rPr>
          <w:rStyle w:val="17"/>
          <w:rFonts w:hint="eastAsia" w:ascii="仿宋" w:hAnsi="仿宋" w:eastAsia="仿宋"/>
          <w:bCs/>
          <w:color w:val="000000"/>
          <w:sz w:val="32"/>
          <w:szCs w:val="32"/>
          <w:lang w:eastAsia="zh-CN"/>
        </w:rPr>
        <w:t>死亡抚恤</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01</w:t>
      </w:r>
      <w:r>
        <w:rPr>
          <w:rStyle w:val="17"/>
          <w:rFonts w:hint="eastAsia" w:ascii="仿宋" w:hAnsi="仿宋" w:eastAsia="仿宋"/>
          <w:bCs/>
          <w:color w:val="000000"/>
          <w:sz w:val="32"/>
          <w:szCs w:val="32"/>
        </w:rPr>
        <w:t>)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63.13</w:t>
      </w:r>
      <w:r>
        <w:rPr>
          <w:rStyle w:val="17"/>
          <w:rFonts w:hint="eastAsia" w:ascii="仿宋" w:hAnsi="仿宋" w:eastAsia="仿宋"/>
          <w:b w:val="0"/>
          <w:bCs/>
          <w:color w:val="000000"/>
          <w:sz w:val="32"/>
          <w:szCs w:val="32"/>
        </w:rPr>
        <w:t>万元，完成预算100%。</w:t>
      </w:r>
    </w:p>
    <w:p w14:paraId="44FF0F58">
      <w:pPr>
        <w:spacing w:line="600" w:lineRule="exact"/>
        <w:ind w:firstLine="643" w:firstLineChars="200"/>
        <w:outlineLvl w:val="9"/>
      </w:pPr>
      <w:r>
        <w:rPr>
          <w:rStyle w:val="17"/>
          <w:rFonts w:hint="eastAsia" w:ascii="仿宋" w:hAnsi="仿宋" w:eastAsia="仿宋"/>
          <w:bCs/>
          <w:color w:val="000000"/>
          <w:sz w:val="32"/>
          <w:szCs w:val="32"/>
          <w:lang w:val="en-US" w:eastAsia="zh-CN"/>
        </w:rPr>
        <w:t>13</w:t>
      </w:r>
      <w:r>
        <w:rPr>
          <w:rStyle w:val="17"/>
          <w:rFonts w:hint="eastAsia" w:ascii="仿宋" w:hAnsi="仿宋" w:eastAsia="仿宋"/>
          <w:bCs/>
          <w:color w:val="000000"/>
          <w:sz w:val="32"/>
          <w:szCs w:val="32"/>
        </w:rPr>
        <w:t>.社会保障和就业支出(208)</w:t>
      </w:r>
      <w:r>
        <w:rPr>
          <w:rStyle w:val="17"/>
          <w:rFonts w:hint="eastAsia" w:ascii="仿宋" w:hAnsi="仿宋" w:eastAsia="仿宋"/>
          <w:bCs/>
          <w:color w:val="000000"/>
          <w:sz w:val="32"/>
          <w:szCs w:val="32"/>
          <w:lang w:eastAsia="zh-CN"/>
        </w:rPr>
        <w:t>其他社会保障和就业支出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99</w:t>
      </w:r>
      <w:r>
        <w:rPr>
          <w:rStyle w:val="17"/>
          <w:rFonts w:hint="eastAsia" w:ascii="仿宋" w:hAnsi="仿宋" w:eastAsia="仿宋"/>
          <w:bCs/>
          <w:color w:val="000000"/>
          <w:sz w:val="32"/>
          <w:szCs w:val="32"/>
        </w:rPr>
        <w:t xml:space="preserve">) </w:t>
      </w:r>
      <w:r>
        <w:rPr>
          <w:rStyle w:val="17"/>
          <w:rFonts w:hint="eastAsia" w:ascii="仿宋" w:hAnsi="仿宋" w:eastAsia="仿宋"/>
          <w:bCs/>
          <w:color w:val="000000"/>
          <w:sz w:val="32"/>
          <w:szCs w:val="32"/>
          <w:lang w:eastAsia="zh-CN"/>
        </w:rPr>
        <w:t>其他社会保障和就业支出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99</w:t>
      </w:r>
      <w:r>
        <w:rPr>
          <w:rStyle w:val="17"/>
          <w:rFonts w:hint="eastAsia" w:ascii="仿宋" w:hAnsi="仿宋" w:eastAsia="仿宋"/>
          <w:bCs/>
          <w:color w:val="000000"/>
          <w:sz w:val="32"/>
          <w:szCs w:val="32"/>
        </w:rPr>
        <w:t>)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5.84</w:t>
      </w:r>
      <w:r>
        <w:rPr>
          <w:rStyle w:val="17"/>
          <w:rFonts w:hint="eastAsia" w:ascii="仿宋" w:hAnsi="仿宋" w:eastAsia="仿宋"/>
          <w:b w:val="0"/>
          <w:bCs/>
          <w:color w:val="000000"/>
          <w:sz w:val="32"/>
          <w:szCs w:val="32"/>
        </w:rPr>
        <w:t>万元，完成预算100%。</w:t>
      </w:r>
    </w:p>
    <w:p w14:paraId="39763E35">
      <w:pPr>
        <w:spacing w:line="600" w:lineRule="exact"/>
        <w:ind w:firstLine="643" w:firstLineChars="200"/>
        <w:outlineLvl w:val="9"/>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14</w:t>
      </w:r>
      <w:r>
        <w:rPr>
          <w:rStyle w:val="17"/>
          <w:rFonts w:hint="eastAsia" w:ascii="仿宋" w:hAnsi="仿宋" w:eastAsia="仿宋"/>
          <w:bCs/>
          <w:color w:val="000000"/>
          <w:sz w:val="32"/>
          <w:szCs w:val="32"/>
        </w:rPr>
        <w:t>.卫生健康支出(210)行政事业单位医疗(11)行政单位医疗(01):</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52.18</w:t>
      </w:r>
      <w:r>
        <w:rPr>
          <w:rStyle w:val="17"/>
          <w:rFonts w:hint="eastAsia" w:ascii="仿宋" w:hAnsi="仿宋" w:eastAsia="仿宋"/>
          <w:b w:val="0"/>
          <w:bCs/>
          <w:color w:val="000000"/>
          <w:sz w:val="32"/>
          <w:szCs w:val="32"/>
        </w:rPr>
        <w:t>万元，完成预算100%。</w:t>
      </w:r>
    </w:p>
    <w:p w14:paraId="623F2CE8">
      <w:pPr>
        <w:spacing w:line="600" w:lineRule="exact"/>
        <w:outlineLvl w:val="9"/>
        <w:rPr>
          <w:rFonts w:hint="default" w:eastAsia="仿宋"/>
          <w:lang w:val="en-US" w:eastAsia="zh-CN"/>
        </w:rPr>
      </w:pPr>
      <w:r>
        <w:rPr>
          <w:rStyle w:val="17"/>
          <w:rFonts w:hint="eastAsia" w:ascii="仿宋" w:hAnsi="仿宋" w:eastAsia="仿宋"/>
          <w:b w:val="0"/>
          <w:bCs/>
          <w:color w:val="000000"/>
          <w:sz w:val="32"/>
          <w:szCs w:val="32"/>
          <w:lang w:val="en-US" w:eastAsia="zh-CN"/>
        </w:rPr>
        <w:t xml:space="preserve">    </w:t>
      </w:r>
      <w:r>
        <w:rPr>
          <w:rStyle w:val="17"/>
          <w:rFonts w:hint="eastAsia" w:ascii="仿宋" w:hAnsi="仿宋" w:eastAsia="仿宋"/>
          <w:bCs/>
          <w:color w:val="000000"/>
          <w:sz w:val="32"/>
          <w:szCs w:val="32"/>
          <w:lang w:val="en-US" w:eastAsia="zh-CN"/>
        </w:rPr>
        <w:t>15</w:t>
      </w:r>
      <w:r>
        <w:rPr>
          <w:rStyle w:val="17"/>
          <w:rFonts w:hint="eastAsia" w:ascii="仿宋" w:hAnsi="仿宋" w:eastAsia="仿宋"/>
          <w:bCs/>
          <w:color w:val="000000"/>
          <w:sz w:val="32"/>
          <w:szCs w:val="32"/>
        </w:rPr>
        <w:t>.卫生健康支出(210)行政事业单位医疗(11)</w:t>
      </w:r>
      <w:r>
        <w:rPr>
          <w:rStyle w:val="17"/>
          <w:rFonts w:hint="eastAsia" w:ascii="仿宋" w:hAnsi="仿宋" w:eastAsia="仿宋"/>
          <w:bCs/>
          <w:color w:val="000000"/>
          <w:sz w:val="32"/>
          <w:szCs w:val="32"/>
          <w:lang w:eastAsia="zh-CN"/>
        </w:rPr>
        <w:t>事业</w:t>
      </w:r>
      <w:r>
        <w:rPr>
          <w:rStyle w:val="17"/>
          <w:rFonts w:hint="eastAsia" w:ascii="仿宋" w:hAnsi="仿宋" w:eastAsia="仿宋"/>
          <w:bCs/>
          <w:color w:val="000000"/>
          <w:sz w:val="32"/>
          <w:szCs w:val="32"/>
        </w:rPr>
        <w:t>单位医疗(0</w:t>
      </w:r>
      <w:r>
        <w:rPr>
          <w:rStyle w:val="17"/>
          <w:rFonts w:hint="eastAsia" w:ascii="仿宋" w:hAnsi="仿宋" w:eastAsia="仿宋"/>
          <w:bCs/>
          <w:color w:val="000000"/>
          <w:sz w:val="32"/>
          <w:szCs w:val="32"/>
          <w:lang w:val="en-US" w:eastAsia="zh-CN"/>
        </w:rPr>
        <w:t>2</w:t>
      </w:r>
      <w:r>
        <w:rPr>
          <w:rStyle w:val="17"/>
          <w:rFonts w:hint="eastAsia"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8.17</w:t>
      </w:r>
      <w:r>
        <w:rPr>
          <w:rStyle w:val="17"/>
          <w:rFonts w:hint="eastAsia" w:ascii="仿宋" w:hAnsi="仿宋" w:eastAsia="仿宋"/>
          <w:b w:val="0"/>
          <w:bCs/>
          <w:color w:val="000000"/>
          <w:sz w:val="32"/>
          <w:szCs w:val="32"/>
        </w:rPr>
        <w:t>万元，完成预算100%。</w:t>
      </w:r>
    </w:p>
    <w:p w14:paraId="5327951B">
      <w:pPr>
        <w:spacing w:line="600" w:lineRule="exact"/>
        <w:ind w:firstLine="643" w:firstLineChars="200"/>
        <w:outlineLvl w:val="9"/>
        <w:rPr>
          <w:rStyle w:val="17"/>
          <w:rFonts w:hint="eastAsia" w:ascii="仿宋" w:hAnsi="仿宋" w:eastAsia="仿宋"/>
          <w:bCs/>
          <w:color w:val="000000"/>
          <w:sz w:val="32"/>
          <w:szCs w:val="32"/>
        </w:rPr>
      </w:pPr>
      <w:r>
        <w:rPr>
          <w:rStyle w:val="17"/>
          <w:rFonts w:hint="eastAsia" w:ascii="仿宋" w:hAnsi="仿宋" w:eastAsia="仿宋"/>
          <w:bCs/>
          <w:color w:val="000000"/>
          <w:sz w:val="32"/>
          <w:szCs w:val="32"/>
          <w:lang w:val="en-US" w:eastAsia="zh-CN"/>
        </w:rPr>
        <w:t>16</w:t>
      </w:r>
      <w:r>
        <w:rPr>
          <w:rStyle w:val="17"/>
          <w:rFonts w:hint="eastAsia" w:ascii="仿宋" w:hAnsi="仿宋" w:eastAsia="仿宋"/>
          <w:bCs/>
          <w:color w:val="000000"/>
          <w:sz w:val="32"/>
          <w:szCs w:val="32"/>
        </w:rPr>
        <w:t>.卫生健康支出(210)行政事业单位医疗(11)公务员医疗补助(0</w:t>
      </w:r>
      <w:r>
        <w:rPr>
          <w:rStyle w:val="17"/>
          <w:rFonts w:hint="eastAsia" w:ascii="仿宋" w:hAnsi="仿宋" w:eastAsia="仿宋"/>
          <w:bCs/>
          <w:color w:val="000000"/>
          <w:sz w:val="32"/>
          <w:szCs w:val="32"/>
          <w:lang w:val="en-US" w:eastAsia="zh-CN"/>
        </w:rPr>
        <w:t>3</w:t>
      </w:r>
      <w:r>
        <w:rPr>
          <w:rStyle w:val="17"/>
          <w:rFonts w:hint="eastAsia"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24.11</w:t>
      </w:r>
      <w:r>
        <w:rPr>
          <w:rStyle w:val="17"/>
          <w:rFonts w:hint="eastAsia" w:ascii="仿宋" w:hAnsi="仿宋" w:eastAsia="仿宋"/>
          <w:b w:val="0"/>
          <w:bCs/>
          <w:color w:val="000000"/>
          <w:sz w:val="32"/>
          <w:szCs w:val="32"/>
        </w:rPr>
        <w:t>万元，完成预算100%。</w:t>
      </w:r>
    </w:p>
    <w:p w14:paraId="3DA4E0C7">
      <w:pPr>
        <w:spacing w:line="600" w:lineRule="exact"/>
        <w:ind w:firstLine="643" w:firstLineChars="200"/>
        <w:outlineLvl w:val="9"/>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17</w:t>
      </w:r>
      <w:r>
        <w:rPr>
          <w:rStyle w:val="17"/>
          <w:rFonts w:hint="eastAsia" w:ascii="仿宋" w:hAnsi="仿宋" w:eastAsia="仿宋"/>
          <w:bCs/>
          <w:color w:val="000000"/>
          <w:sz w:val="32"/>
          <w:szCs w:val="32"/>
        </w:rPr>
        <w:t>.住房保障支出(221)住房改革支出(02)住房公积金(01):</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85.16</w:t>
      </w:r>
      <w:r>
        <w:rPr>
          <w:rStyle w:val="17"/>
          <w:rFonts w:hint="eastAsia" w:ascii="仿宋" w:hAnsi="仿宋" w:eastAsia="仿宋"/>
          <w:b w:val="0"/>
          <w:bCs/>
          <w:color w:val="000000"/>
          <w:sz w:val="32"/>
          <w:szCs w:val="32"/>
        </w:rPr>
        <w:t>万元，完成预算100%。</w:t>
      </w:r>
    </w:p>
    <w:p w14:paraId="42A48C5B">
      <w:pPr>
        <w:spacing w:line="600" w:lineRule="exact"/>
        <w:ind w:firstLine="643" w:firstLineChars="200"/>
        <w:outlineLvl w:val="9"/>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1-1表和财决08表，仅罗列本部门涉及的全部功能分类科目，至项级。上述“预算”口径为全年预算数。增减变动原因为决算数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1782613D">
      <w:pPr>
        <w:spacing w:line="600" w:lineRule="exact"/>
        <w:ind w:firstLine="640"/>
        <w:outlineLvl w:val="9"/>
        <w:rPr>
          <w:rFonts w:ascii="仿宋" w:hAnsi="仿宋" w:eastAsia="仿宋"/>
          <w:b/>
          <w:sz w:val="32"/>
          <w:szCs w:val="32"/>
        </w:rPr>
      </w:pPr>
    </w:p>
    <w:p w14:paraId="412B9E60">
      <w:pPr>
        <w:tabs>
          <w:tab w:val="right" w:pos="8306"/>
        </w:tabs>
        <w:spacing w:line="600" w:lineRule="exact"/>
        <w:ind w:firstLine="640"/>
        <w:outlineLvl w:val="1"/>
        <w:rPr>
          <w:rStyle w:val="31"/>
        </w:rPr>
      </w:pPr>
      <w:bookmarkStart w:id="47" w:name="_Toc26674"/>
      <w:bookmarkStart w:id="48" w:name="_Toc15396608"/>
      <w:bookmarkStart w:id="4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47"/>
      <w:bookmarkEnd w:id="48"/>
      <w:bookmarkEnd w:id="49"/>
      <w:r>
        <w:rPr>
          <w:rStyle w:val="31"/>
          <w:rFonts w:ascii="黑体" w:hAnsi="黑体" w:eastAsia="黑体"/>
          <w:b w:val="0"/>
        </w:rPr>
        <w:tab/>
      </w:r>
    </w:p>
    <w:p w14:paraId="7D12D76E">
      <w:pPr>
        <w:spacing w:line="600" w:lineRule="exact"/>
        <w:ind w:firstLine="645"/>
        <w:outlineLvl w:val="9"/>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eastAsia="仿宋"/>
          <w:sz w:val="32"/>
          <w:szCs w:val="32"/>
          <w:lang w:val="en-US" w:eastAsia="zh-CN"/>
        </w:rPr>
        <w:t>1804.69</w:t>
      </w:r>
      <w:r>
        <w:rPr>
          <w:rFonts w:hint="eastAsia" w:ascii="仿宋" w:hAnsi="仿宋" w:eastAsia="仿宋"/>
          <w:sz w:val="32"/>
          <w:szCs w:val="32"/>
        </w:rPr>
        <w:t>万元，其中：</w:t>
      </w:r>
    </w:p>
    <w:p w14:paraId="7990EC3A">
      <w:pPr>
        <w:spacing w:line="600" w:lineRule="exact"/>
        <w:ind w:firstLine="645"/>
        <w:outlineLvl w:val="9"/>
        <w:rPr>
          <w:rFonts w:ascii="仿宋" w:hAnsi="仿宋" w:eastAsia="仿宋"/>
          <w:sz w:val="32"/>
          <w:szCs w:val="32"/>
        </w:rPr>
      </w:pPr>
      <w:r>
        <w:rPr>
          <w:rFonts w:hint="eastAsia" w:ascii="仿宋" w:hAnsi="仿宋" w:eastAsia="仿宋"/>
          <w:sz w:val="32"/>
          <w:szCs w:val="32"/>
        </w:rPr>
        <w:t>人员经费</w:t>
      </w:r>
      <w:r>
        <w:rPr>
          <w:rFonts w:hint="eastAsia" w:eastAsia="仿宋"/>
          <w:sz w:val="32"/>
          <w:szCs w:val="32"/>
          <w:lang w:val="en-US" w:eastAsia="zh-CN"/>
        </w:rPr>
        <w:t>1574.99</w:t>
      </w:r>
      <w:r>
        <w:rPr>
          <w:rFonts w:hint="eastAsia" w:ascii="仿宋" w:hAnsi="仿宋" w:eastAsia="仿宋"/>
          <w:sz w:val="32"/>
          <w:szCs w:val="32"/>
        </w:rPr>
        <w:t>万元，主要包括：基本工资</w:t>
      </w:r>
      <w:r>
        <w:rPr>
          <w:rFonts w:hint="eastAsia" w:ascii="仿宋" w:hAnsi="仿宋" w:eastAsia="仿宋"/>
          <w:sz w:val="32"/>
          <w:szCs w:val="32"/>
          <w:lang w:val="en-US" w:eastAsia="zh-CN"/>
        </w:rPr>
        <w:t>349.63万元</w:t>
      </w:r>
      <w:r>
        <w:rPr>
          <w:rFonts w:hint="eastAsia" w:ascii="仿宋" w:hAnsi="仿宋" w:eastAsia="仿宋"/>
          <w:sz w:val="32"/>
          <w:szCs w:val="32"/>
        </w:rPr>
        <w:t>、津贴补贴</w:t>
      </w:r>
      <w:r>
        <w:rPr>
          <w:rFonts w:hint="eastAsia" w:ascii="仿宋" w:hAnsi="仿宋" w:eastAsia="仿宋"/>
          <w:sz w:val="32"/>
          <w:szCs w:val="32"/>
          <w:lang w:val="en-US" w:eastAsia="zh-CN"/>
        </w:rPr>
        <w:t>332.41万元</w:t>
      </w:r>
      <w:r>
        <w:rPr>
          <w:rFonts w:hint="eastAsia" w:ascii="仿宋" w:hAnsi="仿宋" w:eastAsia="仿宋"/>
          <w:sz w:val="32"/>
          <w:szCs w:val="32"/>
        </w:rPr>
        <w:t>、奖金</w:t>
      </w:r>
      <w:r>
        <w:rPr>
          <w:rFonts w:hint="eastAsia" w:ascii="仿宋" w:hAnsi="仿宋" w:eastAsia="仿宋"/>
          <w:sz w:val="32"/>
          <w:szCs w:val="32"/>
          <w:lang w:val="en-US" w:eastAsia="zh-CN"/>
        </w:rPr>
        <w:t>373.83万元</w:t>
      </w:r>
      <w:r>
        <w:rPr>
          <w:rFonts w:hint="eastAsia" w:ascii="仿宋" w:hAnsi="仿宋" w:eastAsia="仿宋"/>
          <w:sz w:val="32"/>
          <w:szCs w:val="32"/>
        </w:rPr>
        <w:t>、伙食补助费</w:t>
      </w:r>
      <w:r>
        <w:rPr>
          <w:rFonts w:hint="eastAsia" w:ascii="仿宋" w:hAnsi="仿宋" w:eastAsia="仿宋"/>
          <w:sz w:val="32"/>
          <w:szCs w:val="32"/>
          <w:lang w:val="en-US" w:eastAsia="zh-CN"/>
        </w:rPr>
        <w:t>0万元</w:t>
      </w:r>
      <w:r>
        <w:rPr>
          <w:rFonts w:hint="eastAsia" w:ascii="仿宋" w:hAnsi="仿宋" w:eastAsia="仿宋"/>
          <w:sz w:val="32"/>
          <w:szCs w:val="32"/>
        </w:rPr>
        <w:t>、绩效工资</w:t>
      </w:r>
      <w:r>
        <w:rPr>
          <w:rFonts w:hint="eastAsia" w:ascii="仿宋" w:hAnsi="仿宋" w:eastAsia="仿宋"/>
          <w:sz w:val="32"/>
          <w:szCs w:val="32"/>
          <w:lang w:val="en-US" w:eastAsia="zh-CN"/>
        </w:rPr>
        <w:t>45.55万元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14.33万元</w:t>
      </w:r>
      <w:r>
        <w:rPr>
          <w:rFonts w:hint="eastAsia" w:ascii="仿宋" w:hAnsi="仿宋" w:eastAsia="仿宋"/>
          <w:sz w:val="32"/>
          <w:szCs w:val="32"/>
        </w:rPr>
        <w:t>、职业年金缴费</w:t>
      </w:r>
      <w:r>
        <w:rPr>
          <w:rFonts w:hint="eastAsia" w:ascii="仿宋" w:hAnsi="仿宋" w:eastAsia="仿宋"/>
          <w:sz w:val="32"/>
          <w:szCs w:val="32"/>
          <w:lang w:val="en-US" w:eastAsia="zh-CN"/>
        </w:rPr>
        <w:t>14.44万元</w:t>
      </w:r>
      <w:r>
        <w:rPr>
          <w:rFonts w:hint="eastAsia" w:ascii="仿宋" w:hAnsi="仿宋" w:eastAsia="仿宋"/>
          <w:sz w:val="32"/>
          <w:szCs w:val="32"/>
        </w:rPr>
        <w:t>、</w:t>
      </w:r>
      <w:r>
        <w:rPr>
          <w:rFonts w:hint="eastAsia" w:ascii="仿宋" w:hAnsi="仿宋" w:eastAsia="仿宋"/>
          <w:sz w:val="32"/>
          <w:szCs w:val="32"/>
          <w:lang w:eastAsia="zh-CN"/>
        </w:rPr>
        <w:t>职工基本医疗保险缴费</w:t>
      </w:r>
      <w:r>
        <w:rPr>
          <w:rFonts w:hint="eastAsia" w:ascii="仿宋" w:hAnsi="仿宋" w:eastAsia="仿宋"/>
          <w:sz w:val="32"/>
          <w:szCs w:val="32"/>
          <w:lang w:val="en-US" w:eastAsia="zh-CN"/>
        </w:rPr>
        <w:t>60.34万元、公务员医疗补助缴费24.11万元、</w:t>
      </w:r>
      <w:r>
        <w:rPr>
          <w:rFonts w:hint="eastAsia" w:ascii="仿宋" w:hAnsi="仿宋" w:eastAsia="仿宋"/>
          <w:sz w:val="32"/>
          <w:szCs w:val="32"/>
        </w:rPr>
        <w:t>其他社会保障缴费</w:t>
      </w:r>
      <w:r>
        <w:rPr>
          <w:rFonts w:hint="eastAsia" w:ascii="仿宋" w:hAnsi="仿宋" w:eastAsia="仿宋"/>
          <w:sz w:val="32"/>
          <w:szCs w:val="32"/>
          <w:lang w:val="en-US" w:eastAsia="zh-CN"/>
        </w:rPr>
        <w:t>5.84万元</w:t>
      </w:r>
      <w:r>
        <w:rPr>
          <w:rFonts w:hint="eastAsia" w:ascii="仿宋" w:hAnsi="仿宋" w:eastAsia="仿宋"/>
          <w:sz w:val="32"/>
          <w:szCs w:val="32"/>
        </w:rPr>
        <w:t>、其他工资福利支出</w:t>
      </w:r>
      <w:r>
        <w:rPr>
          <w:rFonts w:hint="eastAsia" w:ascii="仿宋" w:hAnsi="仿宋" w:eastAsia="仿宋"/>
          <w:sz w:val="32"/>
          <w:szCs w:val="32"/>
          <w:lang w:val="en-US" w:eastAsia="zh-CN"/>
        </w:rPr>
        <w:t>130.91万元</w:t>
      </w:r>
      <w:r>
        <w:rPr>
          <w:rFonts w:hint="eastAsia" w:ascii="仿宋" w:hAnsi="仿宋" w:eastAsia="仿宋"/>
          <w:sz w:val="32"/>
          <w:szCs w:val="32"/>
        </w:rPr>
        <w:t>、退休费</w:t>
      </w:r>
      <w:r>
        <w:rPr>
          <w:rFonts w:hint="eastAsia" w:ascii="仿宋" w:hAnsi="仿宋" w:eastAsia="仿宋"/>
          <w:sz w:val="32"/>
          <w:szCs w:val="32"/>
          <w:lang w:val="en-US" w:eastAsia="zh-CN"/>
        </w:rPr>
        <w:t>6.19万元</w:t>
      </w:r>
      <w:r>
        <w:rPr>
          <w:rFonts w:hint="eastAsia" w:ascii="仿宋" w:hAnsi="仿宋" w:eastAsia="仿宋"/>
          <w:sz w:val="32"/>
          <w:szCs w:val="32"/>
        </w:rPr>
        <w:t>、抚恤金</w:t>
      </w:r>
      <w:r>
        <w:rPr>
          <w:rFonts w:hint="eastAsia" w:ascii="仿宋" w:hAnsi="仿宋" w:eastAsia="仿宋"/>
          <w:sz w:val="32"/>
          <w:szCs w:val="32"/>
          <w:lang w:val="en-US" w:eastAsia="zh-CN"/>
        </w:rPr>
        <w:t>63.13万元</w:t>
      </w:r>
      <w:r>
        <w:rPr>
          <w:rFonts w:hint="eastAsia" w:ascii="仿宋" w:hAnsi="仿宋" w:eastAsia="仿宋"/>
          <w:sz w:val="32"/>
          <w:szCs w:val="32"/>
        </w:rPr>
        <w:t>、生活补助</w:t>
      </w:r>
      <w:r>
        <w:rPr>
          <w:rFonts w:hint="eastAsia" w:ascii="仿宋" w:hAnsi="仿宋" w:eastAsia="仿宋"/>
          <w:sz w:val="32"/>
          <w:szCs w:val="32"/>
          <w:lang w:val="en-US" w:eastAsia="zh-CN"/>
        </w:rPr>
        <w:t>68.98万元</w:t>
      </w:r>
      <w:r>
        <w:rPr>
          <w:rFonts w:hint="eastAsia" w:ascii="仿宋" w:hAnsi="仿宋" w:eastAsia="仿宋"/>
          <w:sz w:val="32"/>
          <w:szCs w:val="32"/>
        </w:rPr>
        <w:t>、奖励金</w:t>
      </w:r>
      <w:r>
        <w:rPr>
          <w:rFonts w:hint="eastAsia" w:ascii="仿宋" w:hAnsi="仿宋" w:eastAsia="仿宋"/>
          <w:sz w:val="32"/>
          <w:szCs w:val="32"/>
          <w:lang w:val="en-US" w:eastAsia="zh-CN"/>
        </w:rPr>
        <w:t>0.12万元</w:t>
      </w:r>
      <w:r>
        <w:rPr>
          <w:rFonts w:hint="eastAsia" w:ascii="仿宋" w:hAnsi="仿宋" w:eastAsia="仿宋"/>
          <w:sz w:val="32"/>
          <w:szCs w:val="32"/>
        </w:rPr>
        <w:t>、住房公积金</w:t>
      </w:r>
      <w:r>
        <w:rPr>
          <w:rFonts w:hint="eastAsia" w:ascii="仿宋" w:hAnsi="仿宋" w:eastAsia="仿宋"/>
          <w:sz w:val="32"/>
          <w:szCs w:val="32"/>
          <w:lang w:val="en-US" w:eastAsia="zh-CN"/>
        </w:rPr>
        <w:t>85.16万元</w:t>
      </w:r>
      <w:r>
        <w:rPr>
          <w:rFonts w:hint="eastAsia" w:ascii="仿宋" w:hAnsi="仿宋" w:eastAsia="仿宋"/>
          <w:sz w:val="32"/>
          <w:szCs w:val="32"/>
        </w:rPr>
        <w:t>等。</w:t>
      </w:r>
      <w:r>
        <w:rPr>
          <w:rFonts w:ascii="仿宋" w:hAnsi="仿宋" w:eastAsia="仿宋"/>
          <w:sz w:val="32"/>
          <w:szCs w:val="32"/>
        </w:rPr>
        <w:br w:type="textWrapping"/>
      </w:r>
      <w:r>
        <w:rPr>
          <w:rFonts w:hint="eastAsia" w:ascii="仿宋" w:hAnsi="仿宋" w:eastAsia="仿宋"/>
          <w:sz w:val="32"/>
          <w:szCs w:val="32"/>
        </w:rPr>
        <w:t>　　公用经费</w:t>
      </w:r>
      <w:r>
        <w:rPr>
          <w:rFonts w:hint="eastAsia" w:eastAsia="仿宋"/>
          <w:sz w:val="32"/>
          <w:szCs w:val="32"/>
          <w:lang w:val="en-US" w:eastAsia="zh-CN"/>
        </w:rPr>
        <w:t>229.70</w:t>
      </w:r>
      <w:r>
        <w:rPr>
          <w:rFonts w:hint="eastAsia" w:ascii="仿宋" w:hAnsi="仿宋" w:eastAsia="仿宋"/>
          <w:sz w:val="32"/>
          <w:szCs w:val="32"/>
        </w:rPr>
        <w:t>万元，主要包括：办公费</w:t>
      </w:r>
      <w:r>
        <w:rPr>
          <w:rFonts w:hint="eastAsia" w:ascii="仿宋" w:hAnsi="仿宋" w:eastAsia="仿宋"/>
          <w:sz w:val="32"/>
          <w:szCs w:val="32"/>
          <w:lang w:val="en-US" w:eastAsia="zh-CN"/>
        </w:rPr>
        <w:t>45.74万元</w:t>
      </w:r>
      <w:r>
        <w:rPr>
          <w:rFonts w:hint="eastAsia" w:ascii="仿宋" w:hAnsi="仿宋" w:eastAsia="仿宋"/>
          <w:sz w:val="32"/>
          <w:szCs w:val="32"/>
        </w:rPr>
        <w:t>、印刷费</w:t>
      </w:r>
      <w:r>
        <w:rPr>
          <w:rFonts w:hint="eastAsia" w:ascii="仿宋" w:hAnsi="仿宋" w:eastAsia="仿宋"/>
          <w:sz w:val="32"/>
          <w:szCs w:val="32"/>
          <w:lang w:val="en-US" w:eastAsia="zh-CN"/>
        </w:rPr>
        <w:t>2.01万元</w:t>
      </w:r>
      <w:r>
        <w:rPr>
          <w:rFonts w:hint="eastAsia" w:ascii="仿宋" w:hAnsi="仿宋" w:eastAsia="仿宋"/>
          <w:sz w:val="32"/>
          <w:szCs w:val="32"/>
        </w:rPr>
        <w:t>、水费</w:t>
      </w:r>
      <w:r>
        <w:rPr>
          <w:rFonts w:hint="eastAsia" w:ascii="仿宋" w:hAnsi="仿宋" w:eastAsia="仿宋"/>
          <w:sz w:val="32"/>
          <w:szCs w:val="32"/>
          <w:lang w:val="en-US" w:eastAsia="zh-CN"/>
        </w:rPr>
        <w:t>3.95万元</w:t>
      </w:r>
      <w:r>
        <w:rPr>
          <w:rFonts w:hint="eastAsia" w:ascii="仿宋" w:hAnsi="仿宋" w:eastAsia="仿宋"/>
          <w:sz w:val="32"/>
          <w:szCs w:val="32"/>
        </w:rPr>
        <w:t>、电费</w:t>
      </w:r>
      <w:r>
        <w:rPr>
          <w:rFonts w:hint="eastAsia" w:ascii="仿宋" w:hAnsi="仿宋" w:eastAsia="仿宋"/>
          <w:sz w:val="32"/>
          <w:szCs w:val="32"/>
          <w:lang w:val="en-US" w:eastAsia="zh-CN"/>
        </w:rPr>
        <w:t>5.59万元</w:t>
      </w:r>
      <w:r>
        <w:rPr>
          <w:rFonts w:hint="eastAsia" w:ascii="仿宋" w:hAnsi="仿宋" w:eastAsia="仿宋"/>
          <w:sz w:val="32"/>
          <w:szCs w:val="32"/>
        </w:rPr>
        <w:t>、邮电费</w:t>
      </w:r>
      <w:r>
        <w:rPr>
          <w:rFonts w:hint="eastAsia" w:ascii="仿宋" w:hAnsi="仿宋" w:eastAsia="仿宋"/>
          <w:sz w:val="32"/>
          <w:szCs w:val="32"/>
          <w:lang w:val="en-US" w:eastAsia="zh-CN"/>
        </w:rPr>
        <w:t>18.10万元</w:t>
      </w:r>
      <w:r>
        <w:rPr>
          <w:rFonts w:hint="eastAsia" w:ascii="仿宋" w:hAnsi="仿宋" w:eastAsia="仿宋"/>
          <w:sz w:val="32"/>
          <w:szCs w:val="32"/>
        </w:rPr>
        <w:t>、差旅费</w:t>
      </w:r>
      <w:r>
        <w:rPr>
          <w:rFonts w:hint="eastAsia" w:ascii="仿宋" w:hAnsi="仿宋" w:eastAsia="仿宋"/>
          <w:sz w:val="32"/>
          <w:szCs w:val="32"/>
          <w:lang w:val="en-US" w:eastAsia="zh-CN"/>
        </w:rPr>
        <w:t>22.81万元</w:t>
      </w:r>
      <w:r>
        <w:rPr>
          <w:rFonts w:hint="eastAsia" w:ascii="仿宋" w:hAnsi="仿宋" w:eastAsia="仿宋"/>
          <w:sz w:val="32"/>
          <w:szCs w:val="32"/>
        </w:rPr>
        <w:t>、维修（护）费</w:t>
      </w:r>
      <w:r>
        <w:rPr>
          <w:rFonts w:hint="eastAsia" w:ascii="仿宋" w:hAnsi="仿宋" w:eastAsia="仿宋"/>
          <w:sz w:val="32"/>
          <w:szCs w:val="32"/>
          <w:lang w:val="en-US" w:eastAsia="zh-CN"/>
        </w:rPr>
        <w:t>2万元</w:t>
      </w:r>
      <w:r>
        <w:rPr>
          <w:rFonts w:hint="eastAsia" w:ascii="仿宋" w:hAnsi="仿宋" w:eastAsia="仿宋"/>
          <w:sz w:val="32"/>
          <w:szCs w:val="32"/>
        </w:rPr>
        <w:t>、会议费</w:t>
      </w:r>
      <w:r>
        <w:rPr>
          <w:rFonts w:hint="eastAsia" w:ascii="仿宋" w:hAnsi="仿宋" w:eastAsia="仿宋"/>
          <w:sz w:val="32"/>
          <w:szCs w:val="32"/>
          <w:lang w:val="en-US" w:eastAsia="zh-CN"/>
        </w:rPr>
        <w:t>1万元</w:t>
      </w:r>
      <w:r>
        <w:rPr>
          <w:rFonts w:hint="eastAsia" w:ascii="仿宋" w:hAnsi="仿宋" w:eastAsia="仿宋"/>
          <w:sz w:val="32"/>
          <w:szCs w:val="32"/>
        </w:rPr>
        <w:t>、培训费</w:t>
      </w:r>
      <w:r>
        <w:rPr>
          <w:rFonts w:hint="eastAsia" w:ascii="仿宋" w:hAnsi="仿宋" w:eastAsia="仿宋"/>
          <w:sz w:val="32"/>
          <w:szCs w:val="32"/>
          <w:lang w:val="en-US" w:eastAsia="zh-CN"/>
        </w:rPr>
        <w:t>4.15万元</w:t>
      </w:r>
      <w:r>
        <w:rPr>
          <w:rFonts w:hint="eastAsia" w:ascii="仿宋" w:hAnsi="仿宋" w:eastAsia="仿宋"/>
          <w:sz w:val="32"/>
          <w:szCs w:val="32"/>
        </w:rPr>
        <w:t>、公务接待费</w:t>
      </w:r>
      <w:r>
        <w:rPr>
          <w:rFonts w:hint="eastAsia" w:ascii="仿宋" w:hAnsi="仿宋" w:eastAsia="仿宋"/>
          <w:sz w:val="32"/>
          <w:szCs w:val="32"/>
          <w:lang w:val="en-US" w:eastAsia="zh-CN"/>
        </w:rPr>
        <w:t>2.26万元</w:t>
      </w:r>
      <w:r>
        <w:rPr>
          <w:rFonts w:hint="eastAsia" w:ascii="仿宋" w:hAnsi="仿宋" w:eastAsia="仿宋"/>
          <w:sz w:val="32"/>
          <w:szCs w:val="32"/>
        </w:rPr>
        <w:t>、劳务费</w:t>
      </w:r>
      <w:r>
        <w:rPr>
          <w:rFonts w:hint="eastAsia" w:ascii="仿宋" w:hAnsi="仿宋" w:eastAsia="仿宋"/>
          <w:sz w:val="32"/>
          <w:szCs w:val="32"/>
          <w:lang w:val="en-US" w:eastAsia="zh-CN"/>
        </w:rPr>
        <w:t>1.91万元</w:t>
      </w:r>
      <w:r>
        <w:rPr>
          <w:rFonts w:hint="eastAsia" w:ascii="仿宋" w:hAnsi="仿宋" w:eastAsia="仿宋"/>
          <w:sz w:val="32"/>
          <w:szCs w:val="32"/>
        </w:rPr>
        <w:t>、工会经费</w:t>
      </w:r>
      <w:r>
        <w:rPr>
          <w:rFonts w:hint="eastAsia" w:ascii="仿宋" w:hAnsi="仿宋" w:eastAsia="仿宋"/>
          <w:sz w:val="32"/>
          <w:szCs w:val="32"/>
          <w:lang w:val="en-US" w:eastAsia="zh-CN"/>
        </w:rPr>
        <w:t>16.48万元</w:t>
      </w:r>
      <w:r>
        <w:rPr>
          <w:rFonts w:hint="eastAsia" w:ascii="仿宋" w:hAnsi="仿宋" w:eastAsia="仿宋"/>
          <w:sz w:val="32"/>
          <w:szCs w:val="32"/>
        </w:rPr>
        <w:t>、福利费</w:t>
      </w:r>
      <w:r>
        <w:rPr>
          <w:rFonts w:hint="eastAsia" w:ascii="仿宋" w:hAnsi="仿宋" w:eastAsia="仿宋"/>
          <w:sz w:val="32"/>
          <w:szCs w:val="32"/>
          <w:lang w:val="en-US" w:eastAsia="zh-CN"/>
        </w:rPr>
        <w:t>15.86万元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11.56万元</w:t>
      </w:r>
      <w:r>
        <w:rPr>
          <w:rFonts w:hint="eastAsia" w:ascii="仿宋" w:hAnsi="仿宋" w:eastAsia="仿宋"/>
          <w:sz w:val="32"/>
          <w:szCs w:val="32"/>
        </w:rPr>
        <w:t>、其他交通费</w:t>
      </w:r>
      <w:r>
        <w:rPr>
          <w:rFonts w:hint="eastAsia" w:ascii="仿宋" w:hAnsi="仿宋" w:eastAsia="仿宋"/>
          <w:sz w:val="32"/>
          <w:szCs w:val="32"/>
          <w:lang w:val="en-US" w:eastAsia="zh-CN"/>
        </w:rPr>
        <w:t>54.65万元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21.15万元</w:t>
      </w:r>
      <w:r>
        <w:rPr>
          <w:rFonts w:hint="eastAsia" w:ascii="仿宋" w:hAnsi="仿宋" w:eastAsia="仿宋"/>
          <w:sz w:val="32"/>
          <w:szCs w:val="32"/>
        </w:rPr>
        <w:t>、办公设备购置</w:t>
      </w:r>
      <w:r>
        <w:rPr>
          <w:rFonts w:hint="eastAsia" w:ascii="仿宋" w:hAnsi="仿宋" w:eastAsia="仿宋"/>
          <w:sz w:val="32"/>
          <w:szCs w:val="32"/>
          <w:lang w:val="en-US" w:eastAsia="zh-CN"/>
        </w:rPr>
        <w:t>0.48万元</w:t>
      </w:r>
      <w:r>
        <w:rPr>
          <w:rFonts w:hint="eastAsia" w:ascii="仿宋" w:hAnsi="仿宋" w:eastAsia="仿宋"/>
          <w:sz w:val="32"/>
          <w:szCs w:val="32"/>
        </w:rPr>
        <w:t>等。</w:t>
      </w:r>
    </w:p>
    <w:p w14:paraId="6E5BEB66">
      <w:pPr>
        <w:spacing w:line="600" w:lineRule="exact"/>
        <w:ind w:firstLine="645"/>
        <w:outlineLvl w:val="9"/>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p>
    <w:p w14:paraId="4E29F740">
      <w:pPr>
        <w:spacing w:line="600" w:lineRule="exact"/>
        <w:ind w:firstLine="640"/>
        <w:outlineLvl w:val="9"/>
        <w:rPr>
          <w:rFonts w:ascii="仿宋" w:hAnsi="仿宋" w:eastAsia="仿宋"/>
          <w:b/>
          <w:sz w:val="32"/>
          <w:szCs w:val="32"/>
        </w:rPr>
      </w:pPr>
    </w:p>
    <w:p w14:paraId="74399C7A">
      <w:pPr>
        <w:spacing w:line="600" w:lineRule="exact"/>
        <w:ind w:firstLine="640"/>
        <w:outlineLvl w:val="1"/>
        <w:rPr>
          <w:rStyle w:val="31"/>
          <w:rFonts w:ascii="黑体" w:hAnsi="黑体" w:eastAsia="黑体"/>
          <w:b w:val="0"/>
        </w:rPr>
      </w:pPr>
      <w:bookmarkStart w:id="50" w:name="_Toc15396609"/>
      <w:bookmarkStart w:id="51" w:name="_Toc5966"/>
      <w:bookmarkStart w:id="52" w:name="_Toc15377215"/>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50"/>
      <w:bookmarkEnd w:id="51"/>
      <w:bookmarkEnd w:id="52"/>
    </w:p>
    <w:p w14:paraId="1AE0CC31">
      <w:pPr>
        <w:spacing w:line="600" w:lineRule="exact"/>
        <w:ind w:firstLine="640"/>
        <w:outlineLvl w:val="2"/>
        <w:rPr>
          <w:rFonts w:ascii="仿宋" w:hAnsi="仿宋" w:eastAsia="仿宋"/>
          <w:b/>
          <w:sz w:val="32"/>
          <w:szCs w:val="32"/>
        </w:rPr>
      </w:pPr>
      <w:bookmarkStart w:id="53" w:name="_Toc9572"/>
      <w:bookmarkStart w:id="54" w:name="_Toc15377216"/>
      <w:r>
        <w:rPr>
          <w:rFonts w:hint="eastAsia" w:ascii="仿宋" w:hAnsi="仿宋" w:eastAsia="仿宋"/>
          <w:b/>
          <w:sz w:val="32"/>
          <w:szCs w:val="32"/>
        </w:rPr>
        <w:t>（一）“三公”经费财政拨款支出决算总体情况说明</w:t>
      </w:r>
      <w:bookmarkEnd w:id="53"/>
      <w:bookmarkEnd w:id="54"/>
    </w:p>
    <w:p w14:paraId="548DB55E">
      <w:pPr>
        <w:spacing w:line="600" w:lineRule="exact"/>
        <w:ind w:firstLine="640"/>
        <w:rPr>
          <w:rFonts w:ascii="仿宋" w:hAnsi="仿宋" w:eastAsia="仿宋"/>
          <w:b/>
          <w:sz w:val="32"/>
          <w:szCs w:val="32"/>
        </w:rPr>
      </w:pPr>
      <w:r>
        <w:rPr>
          <w:rFonts w:hint="eastAsia" w:ascii="仿宋" w:hAnsi="仿宋" w:eastAsia="仿宋"/>
          <w:sz w:val="32"/>
          <w:szCs w:val="32"/>
          <w:highlight w:val="none"/>
        </w:rPr>
        <w:t>2023年度“三公”经费财政拨款支出决算为</w:t>
      </w:r>
      <w:r>
        <w:rPr>
          <w:rFonts w:hint="eastAsia" w:eastAsia="仿宋"/>
          <w:sz w:val="32"/>
          <w:szCs w:val="32"/>
          <w:highlight w:val="none"/>
          <w:lang w:val="en-US" w:eastAsia="zh-CN"/>
        </w:rPr>
        <w:t>13.82</w:t>
      </w:r>
      <w:r>
        <w:rPr>
          <w:rFonts w:hint="eastAsia" w:ascii="仿宋" w:hAnsi="仿宋" w:eastAsia="仿宋"/>
          <w:sz w:val="32"/>
          <w:szCs w:val="32"/>
          <w:highlight w:val="none"/>
        </w:rPr>
        <w:t>万元，完成预算</w:t>
      </w:r>
      <w:r>
        <w:rPr>
          <w:sz w:val="32"/>
          <w:szCs w:val="32"/>
          <w:highlight w:val="none"/>
        </w:rPr>
        <w:t>100</w:t>
      </w:r>
      <w:r>
        <w:rPr>
          <w:rFonts w:ascii="仿宋" w:hAnsi="仿宋" w:eastAsia="仿宋"/>
          <w:sz w:val="32"/>
          <w:szCs w:val="32"/>
          <w:highlight w:val="none"/>
        </w:rPr>
        <w:t>%</w:t>
      </w:r>
      <w:r>
        <w:rPr>
          <w:rFonts w:hint="eastAsia" w:ascii="仿宋" w:hAnsi="仿宋" w:eastAsia="仿宋"/>
          <w:sz w:val="32"/>
          <w:szCs w:val="32"/>
          <w:highlight w:val="none"/>
        </w:rPr>
        <w:t>，较上年度减少</w:t>
      </w:r>
      <w:r>
        <w:rPr>
          <w:rFonts w:hint="eastAsia" w:ascii="仿宋" w:hAnsi="仿宋" w:eastAsia="仿宋"/>
          <w:sz w:val="32"/>
          <w:szCs w:val="32"/>
          <w:highlight w:val="none"/>
          <w:lang w:val="en-US" w:eastAsia="zh-CN"/>
        </w:rPr>
        <w:t>4.43</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24.27</w:t>
      </w:r>
      <w:r>
        <w:rPr>
          <w:rFonts w:hint="eastAsia" w:ascii="仿宋" w:hAnsi="仿宋" w:eastAsia="仿宋"/>
          <w:sz w:val="32"/>
          <w:szCs w:val="32"/>
          <w:highlight w:val="none"/>
        </w:rPr>
        <w:t>%。</w:t>
      </w:r>
      <w:r>
        <w:rPr>
          <w:rFonts w:hint="eastAsia" w:ascii="仿宋" w:hAnsi="仿宋" w:eastAsia="仿宋"/>
          <w:b/>
          <w:sz w:val="32"/>
          <w:szCs w:val="32"/>
        </w:rPr>
        <w:t>（注：上述“预算”口径为全年预算数，包括一般公共预算和政府性基金预算财政拨款支出决算情况。）</w:t>
      </w:r>
    </w:p>
    <w:p w14:paraId="202FEE55">
      <w:pPr>
        <w:spacing w:line="600" w:lineRule="exact"/>
        <w:ind w:firstLine="640"/>
        <w:outlineLvl w:val="2"/>
        <w:rPr>
          <w:rFonts w:ascii="仿宋" w:hAnsi="仿宋" w:eastAsia="仿宋"/>
          <w:b/>
          <w:sz w:val="32"/>
          <w:szCs w:val="32"/>
        </w:rPr>
      </w:pPr>
      <w:bookmarkStart w:id="55" w:name="_Toc15377217"/>
      <w:bookmarkStart w:id="56" w:name="_Toc25424"/>
      <w:r>
        <w:rPr>
          <w:rFonts w:hint="eastAsia" w:ascii="仿宋" w:hAnsi="仿宋" w:eastAsia="仿宋"/>
          <w:b/>
          <w:sz w:val="32"/>
          <w:szCs w:val="32"/>
        </w:rPr>
        <w:t>（二）“三公”经费财政拨款支出决算具体情况说明</w:t>
      </w:r>
      <w:bookmarkEnd w:id="55"/>
      <w:bookmarkEnd w:id="56"/>
    </w:p>
    <w:p w14:paraId="3FAECE15">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eastAsia="仿宋"/>
          <w:sz w:val="32"/>
          <w:szCs w:val="32"/>
          <w:lang w:val="en-US" w:eastAsia="zh-CN"/>
        </w:rPr>
        <w:t>11.56</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eastAsia="仿宋"/>
          <w:sz w:val="32"/>
          <w:szCs w:val="32"/>
          <w:lang w:val="en-US" w:eastAsia="zh-CN"/>
        </w:rPr>
        <w:t>2.26</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。具体情况如下：</w:t>
      </w:r>
    </w:p>
    <w:p w14:paraId="07250C28">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14:paraId="14B5C873">
      <w:pPr>
        <w:pStyle w:val="21"/>
        <w:rPr>
          <w:rFonts w:hint="eastAsia" w:eastAsia="宋体"/>
          <w:lang w:eastAsia="zh-CN"/>
        </w:rPr>
      </w:pPr>
      <w:r>
        <w:rPr>
          <w:rFonts w:hint="eastAsia" w:eastAsia="宋体"/>
          <w:lang w:eastAsia="zh-CN"/>
        </w:rPr>
        <w:drawing>
          <wp:inline distT="0" distB="0" distL="114300" distR="114300">
            <wp:extent cx="5256530" cy="2988310"/>
            <wp:effectExtent l="5080" t="4445" r="1143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87782C">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w:t>
      </w:r>
    </w:p>
    <w:p w14:paraId="642238F0">
      <w:pPr>
        <w:spacing w:line="600" w:lineRule="exact"/>
        <w:ind w:firstLine="640"/>
        <w:rPr>
          <w:rFonts w:ascii="仿宋_GB2312" w:eastAsia="仿宋_GB2312"/>
          <w:b/>
          <w:sz w:val="32"/>
          <w:szCs w:val="32"/>
          <w:highlight w:val="none"/>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rFonts w:hint="eastAsia" w:eastAsia="仿宋_GB2312"/>
          <w:sz w:val="32"/>
          <w:szCs w:val="32"/>
          <w:highlight w:val="none"/>
          <w:lang w:val="en-US" w:eastAsia="zh-CN"/>
        </w:rPr>
        <w:t>11.56</w:t>
      </w:r>
      <w:r>
        <w:rPr>
          <w:rFonts w:hint="eastAsia" w:ascii="仿宋_GB2312" w:eastAsia="仿宋_GB2312"/>
          <w:sz w:val="32"/>
          <w:szCs w:val="32"/>
          <w:highlight w:val="none"/>
        </w:rPr>
        <w:t>万元,</w:t>
      </w:r>
      <w:r>
        <w:rPr>
          <w:rStyle w:val="17"/>
          <w:rFonts w:hint="eastAsia" w:ascii="仿宋" w:hAnsi="仿宋" w:eastAsia="仿宋"/>
          <w:b w:val="0"/>
          <w:bCs/>
          <w:sz w:val="32"/>
          <w:szCs w:val="32"/>
          <w:highlight w:val="none"/>
        </w:rPr>
        <w:t>完成预算</w:t>
      </w:r>
      <w:r>
        <w:rPr>
          <w:rStyle w:val="17"/>
          <w:rFonts w:hint="eastAsia" w:ascii="仿宋" w:hAnsi="仿宋" w:eastAsia="仿宋"/>
          <w:b w:val="0"/>
          <w:bCs/>
          <w:sz w:val="32"/>
          <w:szCs w:val="32"/>
          <w:highlight w:val="none"/>
          <w:lang w:val="en-US" w:eastAsia="zh-CN"/>
        </w:rPr>
        <w:t>10</w:t>
      </w:r>
      <w:r>
        <w:rPr>
          <w:sz w:val="32"/>
          <w:szCs w:val="32"/>
          <w:highlight w:val="none"/>
        </w:rPr>
        <w:t>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_GB2312" w:eastAsia="仿宋_GB2312"/>
          <w:sz w:val="32"/>
          <w:szCs w:val="32"/>
          <w:highlight w:val="none"/>
        </w:rPr>
        <w:t>公务用车购置及运行维护费支出决算比2022年度减少</w:t>
      </w:r>
      <w:r>
        <w:rPr>
          <w:rFonts w:hint="eastAsia" w:ascii="仿宋_GB2312" w:eastAsia="仿宋_GB2312"/>
          <w:sz w:val="32"/>
          <w:szCs w:val="32"/>
          <w:highlight w:val="none"/>
          <w:lang w:val="en-US" w:eastAsia="zh-CN"/>
        </w:rPr>
        <w:t>2.71</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18.99</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_GB2312" w:eastAsia="仿宋_GB2312"/>
          <w:color w:val="auto"/>
          <w:sz w:val="32"/>
          <w:szCs w:val="32"/>
          <w:highlight w:val="none"/>
          <w:lang w:val="en-US" w:eastAsia="zh-CN"/>
        </w:rPr>
        <w:t>在车辆维修维护和运行方面厉行勤俭节约</w:t>
      </w:r>
      <w:r>
        <w:rPr>
          <w:rFonts w:hint="eastAsia" w:ascii="仿宋_GB2312" w:eastAsia="仿宋_GB2312"/>
          <w:sz w:val="32"/>
          <w:szCs w:val="32"/>
          <w:highlight w:val="none"/>
        </w:rPr>
        <w:t>。</w:t>
      </w:r>
    </w:p>
    <w:p w14:paraId="18434DB1">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sz w:val="32"/>
          <w:szCs w:val="32"/>
          <w:highlight w:val="none"/>
        </w:rPr>
        <w:t>0</w:t>
      </w:r>
      <w:r>
        <w:rPr>
          <w:rFonts w:hint="eastAsia" w:ascii="仿宋_GB2312" w:eastAsia="仿宋_GB2312"/>
          <w:sz w:val="32"/>
          <w:szCs w:val="32"/>
          <w:highlight w:val="none"/>
        </w:rPr>
        <w:t>万元。全年按规定更新购置公务用车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月31日，单位共有公务用车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14:paraId="069F3AFB">
      <w:pPr>
        <w:spacing w:line="600" w:lineRule="exact"/>
        <w:ind w:firstLine="640"/>
        <w:outlineLvl w:val="9"/>
        <w:rPr>
          <w:rFonts w:ascii="仿宋_GB2312" w:eastAsia="仿宋_GB2312"/>
          <w:color w:val="auto"/>
          <w:sz w:val="32"/>
          <w:szCs w:val="32"/>
          <w:highlight w:val="none"/>
        </w:rPr>
      </w:pPr>
      <w:r>
        <w:rPr>
          <w:rFonts w:hint="eastAsia" w:ascii="仿宋_GB2312" w:eastAsia="仿宋_GB2312"/>
          <w:b/>
          <w:sz w:val="32"/>
          <w:szCs w:val="32"/>
          <w:highlight w:val="none"/>
        </w:rPr>
        <w:t>公务用车运行维护费支出</w:t>
      </w:r>
      <w:r>
        <w:rPr>
          <w:rFonts w:hint="eastAsia" w:eastAsia="仿宋_GB2312"/>
          <w:sz w:val="32"/>
          <w:szCs w:val="32"/>
          <w:highlight w:val="none"/>
          <w:lang w:val="en-US" w:eastAsia="zh-CN"/>
        </w:rPr>
        <w:t>11.56</w:t>
      </w:r>
      <w:r>
        <w:rPr>
          <w:rFonts w:hint="eastAsia" w:ascii="仿宋_GB2312" w:eastAsia="仿宋_GB2312"/>
          <w:sz w:val="32"/>
          <w:szCs w:val="32"/>
          <w:highlight w:val="none"/>
        </w:rPr>
        <w:t>万元。</w:t>
      </w:r>
      <w:r>
        <w:rPr>
          <w:rFonts w:ascii="仿宋_GB2312" w:hAnsi="仿宋_GB2312" w:eastAsia="仿宋_GB2312" w:cs="仿宋_GB2312"/>
          <w:color w:val="auto"/>
          <w:kern w:val="1"/>
          <w:sz w:val="32"/>
          <w:szCs w:val="32"/>
          <w:highlight w:val="none"/>
        </w:rPr>
        <w:t>开展法</w:t>
      </w:r>
      <w:r>
        <w:rPr>
          <w:rFonts w:hint="eastAsia" w:ascii="仿宋_GB2312" w:hAnsi="仿宋_GB2312" w:eastAsia="仿宋_GB2312" w:cs="仿宋_GB2312"/>
          <w:color w:val="auto"/>
          <w:kern w:val="1"/>
          <w:sz w:val="32"/>
          <w:szCs w:val="32"/>
          <w:highlight w:val="none"/>
          <w:lang w:eastAsia="zh-CN"/>
        </w:rPr>
        <w:t>治</w:t>
      </w:r>
      <w:r>
        <w:rPr>
          <w:rFonts w:ascii="仿宋_GB2312" w:hAnsi="仿宋_GB2312" w:eastAsia="仿宋_GB2312" w:cs="仿宋_GB2312"/>
          <w:color w:val="auto"/>
          <w:kern w:val="1"/>
          <w:sz w:val="32"/>
          <w:szCs w:val="32"/>
          <w:highlight w:val="none"/>
        </w:rPr>
        <w:t>宣传、安置帮教、社区矫正、人民调解、司法鉴定、法律援助、法律服务等所需的公务用车燃料费、维修费、过路过桥费等支出。</w:t>
      </w:r>
    </w:p>
    <w:p w14:paraId="7D82803B">
      <w:pPr>
        <w:spacing w:line="600" w:lineRule="exact"/>
        <w:ind w:firstLine="640"/>
        <w:rPr>
          <w:rFonts w:ascii="仿宋_GB2312" w:eastAsia="仿宋_GB2312"/>
          <w:sz w:val="32"/>
          <w:szCs w:val="32"/>
          <w:highlight w:val="none"/>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eastAsia="仿宋_GB2312"/>
          <w:sz w:val="32"/>
          <w:szCs w:val="32"/>
          <w:highlight w:val="none"/>
          <w:lang w:val="en-US" w:eastAsia="zh-CN"/>
        </w:rPr>
        <w:t>2.26</w:t>
      </w:r>
      <w:r>
        <w:rPr>
          <w:rFonts w:hint="eastAsia" w:ascii="仿宋_GB2312" w:eastAsia="仿宋_GB2312"/>
          <w:sz w:val="32"/>
          <w:szCs w:val="32"/>
          <w:highlight w:val="none"/>
        </w:rPr>
        <w:t>万元，</w:t>
      </w:r>
      <w:r>
        <w:rPr>
          <w:rStyle w:val="17"/>
          <w:rFonts w:hint="eastAsia" w:ascii="仿宋" w:hAnsi="仿宋" w:eastAsia="仿宋"/>
          <w:b w:val="0"/>
          <w:bCs/>
          <w:sz w:val="32"/>
          <w:szCs w:val="32"/>
          <w:highlight w:val="none"/>
        </w:rPr>
        <w:t>完成预算</w:t>
      </w:r>
      <w:r>
        <w:rPr>
          <w:sz w:val="32"/>
          <w:szCs w:val="32"/>
          <w:highlight w:val="none"/>
        </w:rPr>
        <w:t>100%</w:t>
      </w:r>
      <w:r>
        <w:rPr>
          <w:rStyle w:val="17"/>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公务接待费支出决算比2022年度减少</w:t>
      </w:r>
      <w:r>
        <w:rPr>
          <w:rFonts w:hint="eastAsia" w:ascii="仿宋_GB2312" w:eastAsia="仿宋_GB2312"/>
          <w:sz w:val="32"/>
          <w:szCs w:val="32"/>
          <w:highlight w:val="none"/>
          <w:lang w:val="en-US" w:eastAsia="zh-CN"/>
        </w:rPr>
        <w:t>1.72</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43.21</w:t>
      </w:r>
      <w:r>
        <w:rPr>
          <w:rFonts w:ascii="仿宋_GB2312" w:eastAsia="仿宋_GB2312"/>
          <w:sz w:val="32"/>
          <w:szCs w:val="32"/>
          <w:highlight w:val="none"/>
        </w:rPr>
        <w:t>%</w:t>
      </w:r>
      <w:r>
        <w:rPr>
          <w:rFonts w:hint="eastAsia" w:ascii="仿宋_GB2312" w:eastAsia="仿宋_GB2312"/>
          <w:sz w:val="32"/>
          <w:szCs w:val="32"/>
          <w:highlight w:val="none"/>
        </w:rPr>
        <w:t>。主要原因</w:t>
      </w:r>
      <w:r>
        <w:rPr>
          <w:rFonts w:hint="eastAsia" w:ascii="仿宋_GB2312" w:eastAsia="仿宋_GB2312"/>
          <w:color w:val="auto"/>
          <w:sz w:val="32"/>
          <w:szCs w:val="32"/>
          <w:highlight w:val="none"/>
        </w:rPr>
        <w:t>是</w:t>
      </w:r>
      <w:r>
        <w:rPr>
          <w:rFonts w:hint="eastAsia" w:ascii="仿宋_GB2312" w:eastAsia="仿宋_GB2312"/>
          <w:color w:val="auto"/>
          <w:sz w:val="32"/>
          <w:szCs w:val="32"/>
          <w:highlight w:val="none"/>
          <w:lang w:eastAsia="zh-CN"/>
        </w:rPr>
        <w:t>厉行节约反对浪费压缩经费开支</w:t>
      </w:r>
      <w:r>
        <w:rPr>
          <w:rFonts w:hint="eastAsia" w:ascii="仿宋_GB2312" w:eastAsia="仿宋_GB2312"/>
          <w:sz w:val="32"/>
          <w:szCs w:val="32"/>
          <w:highlight w:val="none"/>
        </w:rPr>
        <w:t>。其中：</w:t>
      </w:r>
    </w:p>
    <w:p w14:paraId="5D64C9DE">
      <w:pPr>
        <w:spacing w:line="600" w:lineRule="exact"/>
        <w:ind w:firstLine="640"/>
        <w:rPr>
          <w:rFonts w:ascii="仿宋_GB2312" w:eastAsia="仿宋_GB2312"/>
          <w:sz w:val="32"/>
          <w:szCs w:val="32"/>
          <w:highlight w:val="none"/>
        </w:rPr>
      </w:pP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2.26</w:t>
      </w:r>
      <w:r>
        <w:rPr>
          <w:rFonts w:hint="eastAsia" w:ascii="仿宋_GB2312" w:eastAsia="仿宋_GB2312"/>
          <w:sz w:val="32"/>
          <w:szCs w:val="32"/>
          <w:highlight w:val="none"/>
        </w:rPr>
        <w:t>万元，</w:t>
      </w:r>
      <w:r>
        <w:rPr>
          <w:rFonts w:hint="eastAsia" w:ascii="仿宋_GB2312" w:eastAsia="仿宋_GB2312"/>
          <w:color w:val="auto"/>
          <w:sz w:val="32"/>
          <w:szCs w:val="32"/>
          <w:highlight w:val="none"/>
        </w:rPr>
        <w:t>主要用于执行公务、开展业务活动开支的交通费、住宿费、用餐费等</w:t>
      </w:r>
      <w:r>
        <w:rPr>
          <w:rFonts w:hint="eastAsia" w:ascii="仿宋_GB2312" w:eastAsia="仿宋_GB2312"/>
          <w:sz w:val="32"/>
          <w:szCs w:val="32"/>
          <w:highlight w:val="none"/>
        </w:rPr>
        <w:t>。国内公务接待</w:t>
      </w:r>
      <w:r>
        <w:rPr>
          <w:rFonts w:hint="eastAsia" w:ascii="仿宋_GB2312" w:eastAsia="仿宋_GB2312"/>
          <w:sz w:val="32"/>
          <w:szCs w:val="32"/>
          <w:highlight w:val="none"/>
          <w:lang w:val="en-US" w:eastAsia="zh-CN"/>
        </w:rPr>
        <w:t>50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453</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2.26</w:t>
      </w:r>
      <w:r>
        <w:rPr>
          <w:rFonts w:hint="eastAsia" w:ascii="仿宋_GB2312" w:eastAsia="仿宋_GB2312"/>
          <w:sz w:val="32"/>
          <w:szCs w:val="32"/>
          <w:highlight w:val="none"/>
        </w:rPr>
        <w:t>万元，具体内容包括：</w:t>
      </w:r>
      <w:r>
        <w:rPr>
          <w:rFonts w:hint="eastAsia" w:ascii="仿宋_GB2312" w:eastAsia="仿宋_GB2312"/>
          <w:color w:val="auto"/>
          <w:sz w:val="32"/>
          <w:szCs w:val="32"/>
          <w:highlight w:val="none"/>
          <w:lang w:eastAsia="zh-CN"/>
        </w:rPr>
        <w:t>安全维稳、脱贫攻坚、信访、党建、交叉检查等工作用餐</w:t>
      </w:r>
      <w:r>
        <w:rPr>
          <w:rFonts w:hint="eastAsia" w:ascii="仿宋_GB2312" w:eastAsia="仿宋_GB2312"/>
          <w:sz w:val="32"/>
          <w:szCs w:val="32"/>
          <w:highlight w:val="none"/>
        </w:rPr>
        <w:t>。</w:t>
      </w:r>
    </w:p>
    <w:p w14:paraId="26FB3BFE">
      <w:pPr>
        <w:spacing w:line="600" w:lineRule="exact"/>
        <w:ind w:firstLine="643" w:firstLineChars="200"/>
        <w:rPr>
          <w:rFonts w:ascii="仿宋_GB2312" w:eastAsia="仿宋_GB2312"/>
          <w:sz w:val="32"/>
          <w:szCs w:val="32"/>
          <w:highlight w:val="none"/>
        </w:rPr>
      </w:pPr>
      <w:r>
        <w:rPr>
          <w:rFonts w:hint="eastAsia" w:ascii="仿宋" w:hAnsi="仿宋" w:eastAsia="仿宋"/>
          <w:b/>
          <w:sz w:val="32"/>
          <w:szCs w:val="32"/>
          <w:highlight w:val="none"/>
        </w:rPr>
        <w:t>外事接待支出</w:t>
      </w:r>
      <w:r>
        <w:rPr>
          <w:rFonts w:hint="eastAsia" w:ascii="仿宋" w:hAnsi="仿宋" w:eastAsia="仿宋"/>
          <w:b/>
          <w:sz w:val="32"/>
          <w:szCs w:val="32"/>
          <w:highlight w:val="none"/>
          <w:lang w:val="en-US" w:eastAsia="zh-CN"/>
        </w:rPr>
        <w:t>0</w:t>
      </w:r>
      <w:r>
        <w:rPr>
          <w:rFonts w:hint="eastAsia" w:ascii="仿宋_GB2312" w:eastAsia="仿宋_GB2312"/>
          <w:sz w:val="32"/>
          <w:szCs w:val="32"/>
          <w:highlight w:val="none"/>
        </w:rPr>
        <w:t>万元，外事接待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14:paraId="4EB07CA6">
      <w:pPr>
        <w:spacing w:line="600" w:lineRule="exact"/>
        <w:ind w:firstLine="640"/>
        <w:outlineLvl w:val="9"/>
        <w:rPr>
          <w:rFonts w:ascii="黑体" w:eastAsia="黑体"/>
          <w:sz w:val="32"/>
          <w:szCs w:val="32"/>
        </w:rPr>
      </w:pPr>
      <w:bookmarkStart w:id="57" w:name="_Toc15396610"/>
      <w:bookmarkStart w:id="58" w:name="_Toc15377218"/>
    </w:p>
    <w:p w14:paraId="6F73B6F6">
      <w:pPr>
        <w:spacing w:line="600" w:lineRule="exact"/>
        <w:ind w:firstLine="640"/>
        <w:outlineLvl w:val="1"/>
        <w:rPr>
          <w:rStyle w:val="31"/>
          <w:rFonts w:ascii="黑体" w:hAnsi="黑体" w:eastAsia="黑体"/>
        </w:rPr>
      </w:pPr>
      <w:bookmarkStart w:id="59" w:name="_Toc438"/>
      <w:r>
        <w:rPr>
          <w:rFonts w:hint="eastAsia" w:ascii="黑体" w:eastAsia="黑体"/>
          <w:sz w:val="32"/>
          <w:szCs w:val="32"/>
        </w:rPr>
        <w:t>八、</w:t>
      </w:r>
      <w:r>
        <w:rPr>
          <w:rStyle w:val="31"/>
          <w:rFonts w:hint="eastAsia" w:ascii="黑体" w:hAnsi="黑体" w:eastAsia="黑体"/>
          <w:b w:val="0"/>
        </w:rPr>
        <w:t>政府性基金预算支出决算情况说明</w:t>
      </w:r>
      <w:bookmarkEnd w:id="57"/>
      <w:bookmarkEnd w:id="58"/>
      <w:bookmarkEnd w:id="59"/>
    </w:p>
    <w:p w14:paraId="2B07817E">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14:paraId="336EF594">
      <w:pPr>
        <w:spacing w:line="600" w:lineRule="exact"/>
        <w:ind w:firstLine="640"/>
        <w:rPr>
          <w:rFonts w:ascii="仿宋_GB2312" w:eastAsia="仿宋_GB2312"/>
          <w:sz w:val="32"/>
          <w:szCs w:val="32"/>
        </w:rPr>
      </w:pPr>
    </w:p>
    <w:p w14:paraId="751DCA70">
      <w:pPr>
        <w:numPr>
          <w:ilvl w:val="0"/>
          <w:numId w:val="0"/>
        </w:numPr>
        <w:spacing w:line="600" w:lineRule="exact"/>
        <w:ind w:firstLine="640" w:firstLineChars="200"/>
        <w:outlineLvl w:val="1"/>
        <w:rPr>
          <w:rStyle w:val="31"/>
          <w:rFonts w:ascii="黑体" w:hAnsi="黑体" w:eastAsia="黑体"/>
          <w:b w:val="0"/>
        </w:rPr>
      </w:pPr>
      <w:bookmarkStart w:id="60" w:name="_Toc11251"/>
      <w:bookmarkStart w:id="61" w:name="_Toc15377219"/>
      <w:bookmarkStart w:id="62" w:name="_Toc15396611"/>
      <w:r>
        <w:rPr>
          <w:rStyle w:val="31"/>
          <w:rFonts w:hint="eastAsia" w:ascii="黑体" w:hAnsi="黑体" w:eastAsia="黑体"/>
          <w:b w:val="0"/>
          <w:lang w:eastAsia="zh-CN"/>
        </w:rPr>
        <w:t>九、</w:t>
      </w:r>
      <w:r>
        <w:rPr>
          <w:rStyle w:val="31"/>
          <w:rFonts w:hint="eastAsia" w:ascii="黑体" w:hAnsi="黑体" w:eastAsia="黑体"/>
          <w:b w:val="0"/>
        </w:rPr>
        <w:t>国有资本经营预算支出决算情况说明</w:t>
      </w:r>
      <w:bookmarkEnd w:id="60"/>
      <w:bookmarkEnd w:id="61"/>
      <w:bookmarkEnd w:id="62"/>
    </w:p>
    <w:p w14:paraId="7AC6797E">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14:paraId="77D2C3C8">
      <w:pPr>
        <w:spacing w:line="580" w:lineRule="exact"/>
        <w:jc w:val="center"/>
        <w:rPr>
          <w:rFonts w:ascii="方正小标宋简体" w:hAnsi="方正小标宋简体" w:eastAsia="方正小标宋简体" w:cs="方正小标宋简体"/>
          <w:sz w:val="44"/>
          <w:szCs w:val="44"/>
        </w:rPr>
      </w:pPr>
    </w:p>
    <w:p w14:paraId="2B04E30E">
      <w:pPr>
        <w:numPr>
          <w:ilvl w:val="0"/>
          <w:numId w:val="0"/>
        </w:numPr>
        <w:spacing w:line="600" w:lineRule="exact"/>
        <w:ind w:firstLine="640" w:firstLineChars="0"/>
        <w:outlineLvl w:val="1"/>
        <w:rPr>
          <w:rStyle w:val="31"/>
          <w:rFonts w:ascii="黑体" w:hAnsi="黑体" w:eastAsia="黑体"/>
          <w:b w:val="0"/>
        </w:rPr>
      </w:pPr>
      <w:bookmarkStart w:id="63" w:name="_Toc15377221"/>
      <w:bookmarkStart w:id="64" w:name="_Toc13084"/>
      <w:bookmarkStart w:id="65" w:name="_Toc15396612"/>
      <w:r>
        <w:rPr>
          <w:rFonts w:hint="eastAsia" w:ascii="黑体" w:hAnsi="黑体" w:eastAsia="黑体" w:cstheme="majorBidi"/>
          <w:b w:val="0"/>
          <w:bCs/>
          <w:kern w:val="2"/>
          <w:sz w:val="32"/>
          <w:szCs w:val="32"/>
          <w:lang w:val="en-US" w:eastAsia="zh-CN" w:bidi="ar-SA"/>
        </w:rPr>
        <w:t>十、</w:t>
      </w:r>
      <w:r>
        <w:rPr>
          <w:rStyle w:val="31"/>
          <w:rFonts w:hint="eastAsia" w:ascii="黑体" w:hAnsi="黑体" w:eastAsia="黑体"/>
          <w:b w:val="0"/>
        </w:rPr>
        <w:t>其他重要事项的情况说明</w:t>
      </w:r>
      <w:bookmarkEnd w:id="63"/>
      <w:bookmarkEnd w:id="64"/>
      <w:bookmarkEnd w:id="65"/>
    </w:p>
    <w:p w14:paraId="56DD488A">
      <w:pPr>
        <w:spacing w:line="600" w:lineRule="exact"/>
        <w:ind w:firstLine="643" w:firstLineChars="200"/>
        <w:outlineLvl w:val="2"/>
        <w:rPr>
          <w:rFonts w:ascii="仿宋" w:hAnsi="仿宋" w:eastAsia="仿宋"/>
          <w:sz w:val="32"/>
          <w:szCs w:val="32"/>
        </w:rPr>
      </w:pPr>
      <w:bookmarkStart w:id="66" w:name="_Toc2417"/>
      <w:bookmarkStart w:id="67" w:name="_Toc15377222"/>
      <w:r>
        <w:rPr>
          <w:rFonts w:hint="eastAsia" w:ascii="仿宋" w:hAnsi="仿宋" w:eastAsia="仿宋"/>
          <w:b/>
          <w:sz w:val="32"/>
          <w:szCs w:val="32"/>
        </w:rPr>
        <w:t>（一）机关运行经费支出情况</w:t>
      </w:r>
      <w:bookmarkEnd w:id="66"/>
      <w:bookmarkEnd w:id="67"/>
    </w:p>
    <w:p w14:paraId="6DF33FE1">
      <w:pPr>
        <w:spacing w:line="600" w:lineRule="exact"/>
        <w:ind w:firstLine="640" w:firstLineChars="200"/>
        <w:rPr>
          <w:rFonts w:ascii="仿宋_GB2312" w:eastAsia="仿宋_GB2312"/>
          <w:sz w:val="32"/>
          <w:szCs w:val="32"/>
          <w:highlight w:val="yellow"/>
        </w:rPr>
      </w:pPr>
      <w:r>
        <w:rPr>
          <w:rFonts w:hint="eastAsia" w:ascii="仿宋_GB2312" w:eastAsia="仿宋_GB2312"/>
          <w:sz w:val="32"/>
          <w:szCs w:val="32"/>
        </w:rPr>
        <w:t>2023年度，</w:t>
      </w:r>
      <w:r>
        <w:rPr>
          <w:rFonts w:hint="eastAsia" w:eastAsia="仿宋_GB2312"/>
          <w:sz w:val="32"/>
          <w:szCs w:val="32"/>
          <w:lang w:eastAsia="zh-CN"/>
        </w:rPr>
        <w:t>大竹县司法局</w:t>
      </w:r>
      <w:r>
        <w:rPr>
          <w:rFonts w:hint="eastAsia" w:ascii="仿宋_GB2312" w:eastAsia="仿宋_GB2312"/>
          <w:sz w:val="32"/>
          <w:szCs w:val="32"/>
        </w:rPr>
        <w:t>机关运行经费支出</w:t>
      </w:r>
      <w:r>
        <w:rPr>
          <w:rFonts w:hint="eastAsia" w:eastAsia="仿宋_GB2312"/>
          <w:sz w:val="32"/>
          <w:szCs w:val="32"/>
          <w:lang w:val="en-US" w:eastAsia="zh-CN"/>
        </w:rPr>
        <w:t>229.70</w:t>
      </w:r>
      <w:r>
        <w:rPr>
          <w:rFonts w:hint="eastAsia" w:ascii="仿宋_GB2312" w:eastAsia="仿宋_GB2312"/>
          <w:sz w:val="32"/>
          <w:szCs w:val="32"/>
        </w:rPr>
        <w:t>万</w:t>
      </w:r>
      <w:r>
        <w:rPr>
          <w:rFonts w:hint="eastAsia" w:ascii="仿宋_GB2312" w:eastAsia="仿宋_GB2312"/>
          <w:sz w:val="32"/>
          <w:szCs w:val="32"/>
          <w:highlight w:val="none"/>
        </w:rPr>
        <w:t>元，比2022年度减少</w:t>
      </w:r>
      <w:r>
        <w:rPr>
          <w:rFonts w:hint="eastAsia" w:ascii="仿宋_GB2312" w:eastAsia="仿宋_GB2312"/>
          <w:sz w:val="32"/>
          <w:szCs w:val="32"/>
          <w:highlight w:val="none"/>
          <w:lang w:val="en-US" w:eastAsia="zh-CN"/>
        </w:rPr>
        <w:t>8.45</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3.54</w:t>
      </w:r>
      <w:r>
        <w:rPr>
          <w:rFonts w:ascii="仿宋_GB2312" w:eastAsia="仿宋_GB2312"/>
          <w:sz w:val="32"/>
          <w:szCs w:val="32"/>
          <w:highlight w:val="none"/>
        </w:rPr>
        <w:t>%</w:t>
      </w:r>
      <w:r>
        <w:rPr>
          <w:rFonts w:hint="eastAsia" w:ascii="仿宋_GB2312" w:eastAsia="仿宋_GB2312"/>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厉行节约反对浪费压缩经费开支。</w:t>
      </w:r>
    </w:p>
    <w:p w14:paraId="6C8F0474">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45A2BAD4">
      <w:pPr>
        <w:autoSpaceDE w:val="0"/>
        <w:autoSpaceDN w:val="0"/>
        <w:adjustRightInd w:val="0"/>
        <w:spacing w:line="600" w:lineRule="exact"/>
        <w:ind w:firstLine="643" w:firstLineChars="200"/>
        <w:jc w:val="left"/>
        <w:outlineLvl w:val="2"/>
        <w:rPr>
          <w:rFonts w:ascii="仿宋" w:hAnsi="仿宋" w:eastAsia="仿宋"/>
          <w:b/>
          <w:sz w:val="32"/>
          <w:szCs w:val="32"/>
        </w:rPr>
      </w:pPr>
      <w:bookmarkStart w:id="68" w:name="_Toc15377223"/>
      <w:bookmarkStart w:id="69" w:name="_Toc2743"/>
      <w:r>
        <w:rPr>
          <w:rFonts w:hint="eastAsia" w:ascii="仿宋" w:hAnsi="仿宋" w:eastAsia="仿宋"/>
          <w:b/>
          <w:sz w:val="32"/>
          <w:szCs w:val="32"/>
        </w:rPr>
        <w:t>（二）政府采购支出情况</w:t>
      </w:r>
      <w:bookmarkEnd w:id="68"/>
      <w:bookmarkEnd w:id="69"/>
    </w:p>
    <w:p w14:paraId="4DAF49A6">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w:t>
      </w:r>
      <w:r>
        <w:rPr>
          <w:rFonts w:hint="eastAsia" w:eastAsia="仿宋_GB2312"/>
          <w:sz w:val="32"/>
          <w:szCs w:val="32"/>
          <w:highlight w:val="none"/>
          <w:lang w:eastAsia="zh-CN"/>
        </w:rPr>
        <w:t>大竹县司法局</w:t>
      </w:r>
      <w:r>
        <w:rPr>
          <w:rFonts w:hint="eastAsia" w:ascii="仿宋_GB2312" w:eastAsia="仿宋_GB2312"/>
          <w:sz w:val="32"/>
          <w:szCs w:val="32"/>
          <w:highlight w:val="none"/>
        </w:rPr>
        <w:t>政府采购支出总额</w:t>
      </w:r>
      <w:r>
        <w:rPr>
          <w:sz w:val="32"/>
          <w:szCs w:val="32"/>
          <w:highlight w:val="none"/>
        </w:rPr>
        <w:t>0</w:t>
      </w:r>
      <w:r>
        <w:rPr>
          <w:rFonts w:hint="eastAsia" w:ascii="仿宋_GB2312" w:eastAsia="仿宋_GB2312"/>
          <w:sz w:val="32"/>
          <w:szCs w:val="32"/>
          <w:highlight w:val="none"/>
        </w:rPr>
        <w:t>万元，其中：政府采购货物支出</w:t>
      </w:r>
      <w:r>
        <w:rPr>
          <w:sz w:val="32"/>
          <w:szCs w:val="32"/>
          <w:highlight w:val="none"/>
        </w:rPr>
        <w:t>0</w:t>
      </w:r>
      <w:r>
        <w:rPr>
          <w:rFonts w:hint="eastAsia" w:ascii="仿宋_GB2312" w:eastAsia="仿宋_GB2312"/>
          <w:sz w:val="32"/>
          <w:szCs w:val="32"/>
          <w:highlight w:val="none"/>
        </w:rPr>
        <w:t>万元、政府采购工程支出</w:t>
      </w:r>
      <w:r>
        <w:rPr>
          <w:sz w:val="32"/>
          <w:szCs w:val="32"/>
          <w:highlight w:val="none"/>
        </w:rPr>
        <w:t>0</w:t>
      </w:r>
      <w:r>
        <w:rPr>
          <w:rFonts w:hint="eastAsia" w:ascii="仿宋_GB2312" w:eastAsia="仿宋_GB2312"/>
          <w:sz w:val="32"/>
          <w:szCs w:val="32"/>
          <w:highlight w:val="none"/>
        </w:rPr>
        <w:t>万元、政府采购服务支出</w:t>
      </w:r>
      <w:r>
        <w:rPr>
          <w:sz w:val="32"/>
          <w:szCs w:val="32"/>
          <w:highlight w:val="none"/>
        </w:rPr>
        <w:t>0</w:t>
      </w:r>
      <w:r>
        <w:rPr>
          <w:rFonts w:hint="eastAsia" w:ascii="仿宋_GB2312" w:eastAsia="仿宋_GB2312"/>
          <w:sz w:val="32"/>
          <w:szCs w:val="32"/>
          <w:highlight w:val="none"/>
        </w:rPr>
        <w:t>万元。授予中小企业合同金额</w:t>
      </w:r>
      <w:r>
        <w:rPr>
          <w:sz w:val="32"/>
          <w:szCs w:val="32"/>
          <w:highlight w:val="none"/>
        </w:rPr>
        <w:t>0</w:t>
      </w:r>
      <w:r>
        <w:rPr>
          <w:rFonts w:hint="eastAsia" w:ascii="仿宋_GB2312" w:eastAsia="仿宋_GB2312"/>
          <w:sz w:val="32"/>
          <w:szCs w:val="32"/>
          <w:highlight w:val="none"/>
        </w:rPr>
        <w:t>万元，占政府采购支出总额的</w:t>
      </w:r>
      <w:r>
        <w:rPr>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，其中：授予小微企业合同金额</w:t>
      </w:r>
      <w:r>
        <w:rPr>
          <w:sz w:val="32"/>
          <w:szCs w:val="32"/>
          <w:highlight w:val="none"/>
        </w:rPr>
        <w:t>0</w:t>
      </w:r>
      <w:r>
        <w:rPr>
          <w:rFonts w:hint="eastAsia" w:ascii="仿宋_GB2312" w:eastAsia="仿宋_GB2312"/>
          <w:sz w:val="32"/>
          <w:szCs w:val="32"/>
          <w:highlight w:val="none"/>
        </w:rPr>
        <w:t>万元，占政府采购支出总额的</w:t>
      </w:r>
      <w:r>
        <w:rPr>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w:t>
      </w:r>
    </w:p>
    <w:p w14:paraId="425797CA">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29EDD737">
      <w:pPr>
        <w:autoSpaceDE w:val="0"/>
        <w:autoSpaceDN w:val="0"/>
        <w:adjustRightInd w:val="0"/>
        <w:spacing w:line="600" w:lineRule="exact"/>
        <w:ind w:firstLine="643" w:firstLineChars="200"/>
        <w:jc w:val="left"/>
        <w:outlineLvl w:val="2"/>
        <w:rPr>
          <w:rFonts w:ascii="仿宋" w:hAnsi="仿宋" w:eastAsia="仿宋"/>
          <w:b/>
          <w:sz w:val="32"/>
          <w:szCs w:val="32"/>
        </w:rPr>
      </w:pPr>
      <w:bookmarkStart w:id="70" w:name="_Toc25347"/>
      <w:bookmarkStart w:id="71" w:name="_Toc15377224"/>
      <w:r>
        <w:rPr>
          <w:rFonts w:hint="eastAsia" w:ascii="仿宋" w:hAnsi="仿宋" w:eastAsia="仿宋"/>
          <w:b/>
          <w:sz w:val="32"/>
          <w:szCs w:val="32"/>
        </w:rPr>
        <w:t>（三）国有资产占有使用情况</w:t>
      </w:r>
      <w:bookmarkEnd w:id="70"/>
      <w:bookmarkEnd w:id="71"/>
    </w:p>
    <w:p w14:paraId="6AE4C513">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w:t>
      </w:r>
      <w:r>
        <w:rPr>
          <w:rFonts w:hint="eastAsia" w:eastAsia="仿宋_GB2312"/>
          <w:sz w:val="32"/>
          <w:szCs w:val="32"/>
          <w:highlight w:val="none"/>
          <w:lang w:eastAsia="zh-CN"/>
        </w:rPr>
        <w:t>大竹县司法局</w:t>
      </w:r>
      <w:r>
        <w:rPr>
          <w:rFonts w:hint="eastAsia" w:ascii="仿宋_GB2312" w:eastAsia="仿宋_GB2312"/>
          <w:sz w:val="32"/>
          <w:szCs w:val="32"/>
          <w:highlight w:val="none"/>
        </w:rPr>
        <w:t>共有车辆</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辆，其中：主要领导干部用车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r>
        <w:rPr>
          <w:rFonts w:hint="eastAsia" w:ascii="仿宋_GB2312" w:eastAsia="仿宋_GB2312"/>
          <w:color w:val="auto"/>
          <w:sz w:val="32"/>
          <w:szCs w:val="32"/>
          <w:highlight w:val="none"/>
        </w:rPr>
        <w:t>执法执勤用车</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辆</w:t>
      </w:r>
      <w:r>
        <w:rPr>
          <w:rFonts w:hint="eastAsia" w:ascii="仿宋_GB2312" w:eastAsia="仿宋_GB2312"/>
          <w:sz w:val="32"/>
          <w:szCs w:val="32"/>
          <w:highlight w:val="none"/>
        </w:rPr>
        <w:t>。单价</w:t>
      </w:r>
      <w:r>
        <w:rPr>
          <w:rFonts w:ascii="仿宋_GB2312" w:eastAsia="仿宋_GB2312"/>
          <w:sz w:val="32"/>
          <w:szCs w:val="32"/>
          <w:highlight w:val="none"/>
        </w:rPr>
        <w:t>100</w:t>
      </w:r>
      <w:r>
        <w:rPr>
          <w:rFonts w:hint="eastAsia" w:ascii="仿宋_GB2312" w:eastAsia="仿宋_GB2312"/>
          <w:sz w:val="32"/>
          <w:szCs w:val="32"/>
          <w:highlight w:val="none"/>
        </w:rPr>
        <w:t>万元以上设备（不含车辆）</w:t>
      </w:r>
      <w:r>
        <w:rPr>
          <w:rFonts w:hint="eastAsia" w:eastAsia="仿宋_GB2312"/>
          <w:sz w:val="32"/>
          <w:szCs w:val="32"/>
          <w:highlight w:val="none"/>
          <w:lang w:val="en-US" w:eastAsia="zh-CN"/>
        </w:rPr>
        <w:t>0</w:t>
      </w:r>
      <w:r>
        <w:rPr>
          <w:rFonts w:hint="eastAsia" w:ascii="仿宋_GB2312" w:eastAsia="仿宋_GB2312"/>
          <w:sz w:val="32"/>
          <w:szCs w:val="32"/>
          <w:highlight w:val="none"/>
        </w:rPr>
        <w:t>台（套）。</w:t>
      </w:r>
    </w:p>
    <w:p w14:paraId="668BA3FA">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14:paraId="7CCD4CDF">
      <w:pPr>
        <w:autoSpaceDE w:val="0"/>
        <w:autoSpaceDN w:val="0"/>
        <w:adjustRightInd w:val="0"/>
        <w:spacing w:line="600" w:lineRule="exact"/>
        <w:ind w:firstLine="643" w:firstLineChars="200"/>
        <w:jc w:val="left"/>
        <w:outlineLvl w:val="2"/>
        <w:rPr>
          <w:rFonts w:ascii="仿宋" w:hAnsi="仿宋" w:eastAsia="仿宋"/>
          <w:b/>
          <w:sz w:val="32"/>
          <w:szCs w:val="32"/>
        </w:rPr>
      </w:pPr>
      <w:bookmarkStart w:id="72" w:name="_Toc19185"/>
      <w:r>
        <w:rPr>
          <w:rFonts w:hint="eastAsia" w:ascii="仿宋" w:hAnsi="仿宋" w:eastAsia="仿宋"/>
          <w:b/>
          <w:sz w:val="32"/>
          <w:szCs w:val="32"/>
        </w:rPr>
        <w:t>（四）预算绩效管理情况</w:t>
      </w:r>
      <w:bookmarkEnd w:id="72"/>
    </w:p>
    <w:p w14:paraId="01C7071C">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根据预算绩效管理要求，本部门对202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年度一般公共预算全面开展绩效自评，形成</w:t>
      </w:r>
      <w:r>
        <w:rPr>
          <w:rFonts w:hint="eastAsia" w:ascii="仿宋_GB2312" w:hAnsi="仿宋_GB2312" w:eastAsia="仿宋_GB2312" w:cs="仿宋_GB2312"/>
          <w:color w:val="auto"/>
          <w:sz w:val="32"/>
          <w:szCs w:val="32"/>
          <w:highlight w:val="none"/>
          <w:lang w:eastAsia="zh-CN"/>
        </w:rPr>
        <w:t>大竹县司法局</w:t>
      </w:r>
      <w:r>
        <w:rPr>
          <w:rFonts w:hint="eastAsia" w:ascii="仿宋_GB2312" w:hAnsi="仿宋_GB2312" w:eastAsia="仿宋_GB2312" w:cs="仿宋_GB2312"/>
          <w:color w:val="auto"/>
          <w:sz w:val="32"/>
          <w:szCs w:val="32"/>
          <w:highlight w:val="none"/>
        </w:rPr>
        <w:t>部门整体绩效自评报告、</w:t>
      </w:r>
      <w:r>
        <w:rPr>
          <w:rFonts w:hint="eastAsia" w:ascii="仿宋_GB2312" w:hAnsi="仿宋_GB2312" w:eastAsia="仿宋_GB2312" w:cs="仿宋_GB2312"/>
          <w:color w:val="auto"/>
          <w:sz w:val="32"/>
          <w:szCs w:val="32"/>
          <w:highlight w:val="none"/>
          <w:lang w:eastAsia="zh-CN"/>
        </w:rPr>
        <w:t>社区矫正、法治宣传</w:t>
      </w:r>
      <w:r>
        <w:rPr>
          <w:rFonts w:hint="eastAsia" w:ascii="仿宋_GB2312" w:hAnsi="仿宋_GB2312" w:eastAsia="仿宋_GB2312" w:cs="仿宋_GB2312"/>
          <w:color w:val="auto"/>
          <w:sz w:val="32"/>
          <w:szCs w:val="32"/>
          <w:highlight w:val="none"/>
        </w:rPr>
        <w:t>等专项预算项目绩效自评报告，其中，</w:t>
      </w:r>
      <w:r>
        <w:rPr>
          <w:rFonts w:hint="eastAsia" w:ascii="仿宋_GB2312" w:hAnsi="仿宋_GB2312" w:eastAsia="仿宋_GB2312" w:cs="仿宋_GB2312"/>
          <w:color w:val="auto"/>
          <w:sz w:val="32"/>
          <w:szCs w:val="32"/>
          <w:highlight w:val="none"/>
          <w:lang w:eastAsia="zh-CN"/>
        </w:rPr>
        <w:t>大竹县司法局</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分，绩效自评综述：</w:t>
      </w:r>
      <w:r>
        <w:rPr>
          <w:rFonts w:hint="eastAsia" w:ascii="仿宋_GB2312" w:hAnsi="宋体" w:eastAsia="仿宋_GB2312" w:cs="宋体"/>
          <w:color w:val="000000"/>
          <w:kern w:val="0"/>
          <w:sz w:val="32"/>
          <w:szCs w:val="32"/>
          <w:lang w:val="zh-CN"/>
        </w:rPr>
        <w:t>20</w:t>
      </w:r>
      <w:r>
        <w:rPr>
          <w:rFonts w:hint="eastAsia" w:ascii="仿宋_GB2312" w:hAnsi="宋体" w:cs="宋体"/>
          <w:color w:val="000000"/>
          <w:kern w:val="0"/>
          <w:sz w:val="32"/>
          <w:szCs w:val="32"/>
          <w:lang w:val="en-US" w:eastAsia="zh-CN"/>
        </w:rPr>
        <w:t>23</w:t>
      </w:r>
      <w:r>
        <w:rPr>
          <w:rFonts w:hint="eastAsia" w:ascii="仿宋_GB2312" w:hAnsi="宋体" w:eastAsia="仿宋_GB2312" w:cs="宋体"/>
          <w:color w:val="000000"/>
          <w:kern w:val="0"/>
          <w:sz w:val="32"/>
          <w:szCs w:val="32"/>
          <w:lang w:val="zh-CN"/>
        </w:rPr>
        <w:t>年我局在预算编制、预算执行和支出绩效方面，都按照规定严格执行，合理安排支出，使财政资金发挥最大效益，能基本保障人员经费支出和单位全年司法行政工作任务完成。按照公开单位预算、决算、“三公”经费等要求公开的信息，固定资产由专人进行管理，做到账账、账证、账实相符，基本无闲置浪费现象。经过认真对照《大竹县20</w:t>
      </w:r>
      <w:r>
        <w:rPr>
          <w:rFonts w:hint="eastAsia" w:ascii="仿宋_GB2312" w:hAnsi="宋体" w:eastAsia="仿宋_GB2312" w:cs="宋体"/>
          <w:color w:val="000000"/>
          <w:kern w:val="0"/>
          <w:sz w:val="32"/>
          <w:szCs w:val="32"/>
          <w:lang w:val="en-US" w:eastAsia="zh-CN"/>
        </w:rPr>
        <w:t>2</w:t>
      </w:r>
      <w:r>
        <w:rPr>
          <w:rFonts w:hint="eastAsia" w:ascii="仿宋_GB2312" w:hAnsi="宋体" w:cs="宋体"/>
          <w:color w:val="000000"/>
          <w:kern w:val="0"/>
          <w:sz w:val="32"/>
          <w:szCs w:val="32"/>
          <w:lang w:val="en-US" w:eastAsia="zh-CN"/>
        </w:rPr>
        <w:t>4</w:t>
      </w:r>
      <w:r>
        <w:rPr>
          <w:rFonts w:hint="eastAsia" w:ascii="仿宋_GB2312" w:hAnsi="宋体" w:eastAsia="仿宋_GB2312" w:cs="宋体"/>
          <w:color w:val="000000"/>
          <w:kern w:val="0"/>
          <w:sz w:val="32"/>
          <w:szCs w:val="32"/>
          <w:lang w:val="zh-CN"/>
        </w:rPr>
        <w:t>年部门整体支出绩效评价指标体系》，我局各项指标都较好达到了相关要求，自评得分为</w:t>
      </w:r>
      <w:r>
        <w:rPr>
          <w:rFonts w:hint="eastAsia" w:ascii="仿宋_GB2312" w:hAnsi="宋体" w:cs="宋体"/>
          <w:color w:val="000000"/>
          <w:kern w:val="0"/>
          <w:sz w:val="32"/>
          <w:szCs w:val="32"/>
          <w:lang w:val="en-US" w:eastAsia="zh-CN"/>
        </w:rPr>
        <w:t>99</w:t>
      </w:r>
      <w:r>
        <w:rPr>
          <w:rFonts w:hint="eastAsia" w:ascii="仿宋_GB2312" w:hAnsi="宋体" w:eastAsia="仿宋_GB2312" w:cs="宋体"/>
          <w:color w:val="000000"/>
          <w:kern w:val="0"/>
          <w:sz w:val="32"/>
          <w:szCs w:val="32"/>
          <w:lang w:val="zh-CN"/>
        </w:rPr>
        <w:t>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社区矫正、法治宣传等</w:t>
      </w:r>
      <w:r>
        <w:rPr>
          <w:rFonts w:hint="eastAsia" w:ascii="仿宋_GB2312" w:hAnsi="仿宋_GB2312" w:eastAsia="仿宋_GB2312" w:cs="仿宋_GB2312"/>
          <w:color w:val="auto"/>
          <w:sz w:val="32"/>
          <w:szCs w:val="32"/>
          <w:highlight w:val="none"/>
        </w:rPr>
        <w:t>专项预算项目</w:t>
      </w:r>
      <w:r>
        <w:rPr>
          <w:rFonts w:hint="eastAsia" w:ascii="仿宋_GB2312" w:hAnsi="仿宋_GB2312" w:eastAsia="仿宋_GB2312" w:cs="仿宋_GB2312"/>
          <w:color w:val="auto"/>
          <w:sz w:val="32"/>
          <w:szCs w:val="32"/>
          <w:highlight w:val="none"/>
          <w:lang w:eastAsia="zh-CN"/>
        </w:rPr>
        <w:t>均按照要求进行了自评</w:t>
      </w:r>
      <w:r>
        <w:rPr>
          <w:rFonts w:hint="eastAsia" w:ascii="仿宋_GB2312" w:hAnsi="仿宋_GB2312" w:eastAsia="仿宋_GB2312" w:cs="仿宋_GB2312"/>
          <w:color w:val="auto"/>
          <w:sz w:val="32"/>
          <w:szCs w:val="32"/>
          <w:highlight w:val="none"/>
        </w:rPr>
        <w:t>。</w:t>
      </w:r>
    </w:p>
    <w:p w14:paraId="0811B2E7">
      <w:pPr>
        <w:pStyle w:val="3"/>
        <w:jc w:val="center"/>
        <w:outlineLvl w:val="9"/>
        <w:rPr>
          <w:rFonts w:hint="eastAsia"/>
        </w:rPr>
      </w:pPr>
    </w:p>
    <w:p w14:paraId="44EB399C">
      <w:pPr>
        <w:pStyle w:val="3"/>
        <w:jc w:val="center"/>
      </w:pPr>
      <w:bookmarkStart w:id="73" w:name="_Toc28964"/>
      <w:r>
        <w:rPr>
          <w:rFonts w:hint="eastAsia"/>
        </w:rPr>
        <w:t>第三部分 名词解释</w:t>
      </w:r>
      <w:bookmarkEnd w:id="73"/>
    </w:p>
    <w:p w14:paraId="458297E5">
      <w:pPr>
        <w:outlineLvl w:val="9"/>
      </w:pPr>
    </w:p>
    <w:p w14:paraId="7A71B712">
      <w:pPr>
        <w:pStyle w:val="28"/>
        <w:spacing w:line="560" w:lineRule="exact"/>
        <w:ind w:firstLine="640" w:firstLineChars="200"/>
        <w:outlineLvl w:val="9"/>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39A4AF0C">
      <w:pPr>
        <w:pStyle w:val="28"/>
        <w:spacing w:line="560" w:lineRule="exact"/>
        <w:ind w:firstLine="640" w:firstLineChars="200"/>
        <w:outlineLvl w:val="9"/>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0EF170A8">
      <w:pPr>
        <w:ind w:firstLine="640" w:firstLineChars="200"/>
        <w:outlineLvl w:val="9"/>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ascii="仿宋_GB2312" w:hAnsi="仿宋_GB2312" w:eastAsia="仿宋_GB2312"/>
          <w:kern w:val="1"/>
          <w:sz w:val="32"/>
          <w:szCs w:val="32"/>
        </w:rPr>
        <w:t>公共安全</w:t>
      </w:r>
      <w:r>
        <w:rPr>
          <w:rFonts w:hint="eastAsia" w:ascii="仿宋_GB2312" w:hAnsi="仿宋_GB2312" w:eastAsia="仿宋_GB2312"/>
          <w:kern w:val="1"/>
          <w:sz w:val="32"/>
          <w:szCs w:val="32"/>
        </w:rPr>
        <w:t>（204）</w:t>
      </w:r>
      <w:r>
        <w:rPr>
          <w:rFonts w:ascii="仿宋_GB2312" w:hAnsi="仿宋_GB2312" w:eastAsia="仿宋_GB2312"/>
          <w:kern w:val="1"/>
          <w:sz w:val="32"/>
          <w:szCs w:val="32"/>
        </w:rPr>
        <w:t>司法</w:t>
      </w:r>
      <w:r>
        <w:rPr>
          <w:rFonts w:hint="eastAsia" w:ascii="仿宋_GB2312" w:hAnsi="仿宋_GB2312" w:eastAsia="仿宋_GB2312"/>
          <w:kern w:val="1"/>
          <w:sz w:val="32"/>
          <w:szCs w:val="32"/>
        </w:rPr>
        <w:t>（06）</w:t>
      </w:r>
      <w:r>
        <w:rPr>
          <w:rFonts w:ascii="仿宋_GB2312" w:hAnsi="仿宋_GB2312" w:eastAsia="仿宋_GB2312"/>
          <w:kern w:val="1"/>
          <w:sz w:val="32"/>
          <w:szCs w:val="32"/>
        </w:rPr>
        <w:t>行政运行</w:t>
      </w:r>
      <w:r>
        <w:rPr>
          <w:rFonts w:hint="eastAsia" w:ascii="仿宋_GB2312" w:hAnsi="仿宋_GB2312" w:eastAsia="仿宋_GB2312"/>
          <w:kern w:val="1"/>
          <w:sz w:val="32"/>
          <w:szCs w:val="32"/>
        </w:rPr>
        <w:t>（01）</w:t>
      </w:r>
      <w:r>
        <w:rPr>
          <w:rFonts w:ascii="仿宋_GB2312" w:hAnsi="仿宋_GB2312" w:eastAsia="仿宋_GB2312"/>
          <w:kern w:val="1"/>
          <w:sz w:val="32"/>
          <w:szCs w:val="32"/>
        </w:rPr>
        <w:t>：指反映行政单位(包括实行公务员管理的事业单位)的基本支出。</w:t>
      </w:r>
    </w:p>
    <w:p w14:paraId="125EB490">
      <w:pPr>
        <w:ind w:firstLine="640" w:firstLineChars="200"/>
        <w:outlineLvl w:val="9"/>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ascii="仿宋_GB2312" w:hAnsi="仿宋_GB2312" w:eastAsia="仿宋_GB2312"/>
          <w:kern w:val="1"/>
          <w:sz w:val="32"/>
          <w:szCs w:val="32"/>
        </w:rPr>
        <w:t>公共安全</w:t>
      </w:r>
      <w:r>
        <w:rPr>
          <w:rFonts w:hint="eastAsia" w:ascii="仿宋_GB2312" w:hAnsi="仿宋_GB2312" w:eastAsia="仿宋_GB2312"/>
          <w:kern w:val="1"/>
          <w:sz w:val="32"/>
          <w:szCs w:val="32"/>
        </w:rPr>
        <w:t>（204）</w:t>
      </w:r>
      <w:r>
        <w:rPr>
          <w:rFonts w:ascii="仿宋_GB2312" w:hAnsi="仿宋_GB2312" w:eastAsia="仿宋_GB2312"/>
          <w:kern w:val="1"/>
          <w:sz w:val="32"/>
          <w:szCs w:val="32"/>
        </w:rPr>
        <w:t>司法</w:t>
      </w:r>
      <w:r>
        <w:rPr>
          <w:rFonts w:hint="eastAsia" w:ascii="仿宋_GB2312" w:hAnsi="仿宋_GB2312" w:eastAsia="仿宋_GB2312"/>
          <w:kern w:val="1"/>
          <w:sz w:val="32"/>
          <w:szCs w:val="32"/>
        </w:rPr>
        <w:t>（06）一般行政管理事务（02）</w:t>
      </w:r>
      <w:r>
        <w:rPr>
          <w:rFonts w:ascii="仿宋_GB2312" w:hAnsi="仿宋_GB2312" w:eastAsia="仿宋_GB2312"/>
          <w:kern w:val="1"/>
          <w:sz w:val="32"/>
          <w:szCs w:val="32"/>
        </w:rPr>
        <w:t>：指司法行政</w:t>
      </w:r>
      <w:r>
        <w:rPr>
          <w:rFonts w:hint="eastAsia" w:ascii="仿宋_GB2312" w:hAnsi="仿宋_GB2312" w:eastAsia="仿宋_GB2312"/>
          <w:kern w:val="1"/>
          <w:sz w:val="32"/>
          <w:szCs w:val="32"/>
        </w:rPr>
        <w:t>单位未单独设置项级科目的其他项目</w:t>
      </w:r>
      <w:r>
        <w:rPr>
          <w:rFonts w:ascii="仿宋_GB2312" w:hAnsi="仿宋_GB2312" w:eastAsia="仿宋_GB2312"/>
          <w:kern w:val="1"/>
          <w:sz w:val="32"/>
          <w:szCs w:val="32"/>
        </w:rPr>
        <w:t>支出。</w:t>
      </w:r>
    </w:p>
    <w:p w14:paraId="6672D3B5">
      <w:pPr>
        <w:ind w:firstLine="640" w:firstLineChars="200"/>
        <w:outlineLvl w:val="9"/>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ascii="仿宋_GB2312" w:hAnsi="仿宋_GB2312" w:eastAsia="仿宋_GB2312"/>
          <w:kern w:val="1"/>
          <w:sz w:val="32"/>
          <w:szCs w:val="32"/>
        </w:rPr>
        <w:t>公共安全</w:t>
      </w:r>
      <w:r>
        <w:rPr>
          <w:rFonts w:hint="eastAsia" w:ascii="仿宋_GB2312" w:hAnsi="仿宋_GB2312" w:eastAsia="仿宋_GB2312"/>
          <w:kern w:val="1"/>
          <w:sz w:val="32"/>
          <w:szCs w:val="32"/>
        </w:rPr>
        <w:t>（204）</w:t>
      </w:r>
      <w:r>
        <w:rPr>
          <w:rFonts w:ascii="仿宋_GB2312" w:hAnsi="仿宋_GB2312" w:eastAsia="仿宋_GB2312"/>
          <w:kern w:val="1"/>
          <w:sz w:val="32"/>
          <w:szCs w:val="32"/>
        </w:rPr>
        <w:t>司法</w:t>
      </w:r>
      <w:r>
        <w:rPr>
          <w:rFonts w:hint="eastAsia" w:ascii="仿宋_GB2312" w:hAnsi="仿宋_GB2312" w:eastAsia="仿宋_GB2312"/>
          <w:kern w:val="1"/>
          <w:sz w:val="32"/>
          <w:szCs w:val="32"/>
        </w:rPr>
        <w:t>（06）</w:t>
      </w:r>
      <w:r>
        <w:rPr>
          <w:rFonts w:hint="eastAsia" w:ascii="仿宋_GB2312" w:hAnsi="仿宋_GB2312" w:eastAsia="仿宋_GB2312"/>
          <w:kern w:val="1"/>
          <w:sz w:val="32"/>
          <w:szCs w:val="32"/>
          <w:lang w:eastAsia="zh-CN"/>
        </w:rPr>
        <w:t>事业运行</w:t>
      </w:r>
      <w:r>
        <w:rPr>
          <w:rFonts w:hint="eastAsia" w:ascii="仿宋_GB2312" w:hAnsi="仿宋_GB2312" w:eastAsia="仿宋_GB2312"/>
          <w:kern w:val="1"/>
          <w:sz w:val="32"/>
          <w:szCs w:val="32"/>
        </w:rPr>
        <w:t>（</w:t>
      </w:r>
      <w:r>
        <w:rPr>
          <w:rFonts w:hint="eastAsia" w:ascii="仿宋_GB2312" w:hAnsi="仿宋_GB2312" w:eastAsia="仿宋_GB2312"/>
          <w:kern w:val="1"/>
          <w:sz w:val="32"/>
          <w:szCs w:val="32"/>
          <w:lang w:val="en-US" w:eastAsia="zh-CN"/>
        </w:rPr>
        <w:t>50</w:t>
      </w:r>
      <w:r>
        <w:rPr>
          <w:rFonts w:hint="eastAsia" w:ascii="仿宋_GB2312" w:hAnsi="仿宋_GB2312" w:eastAsia="仿宋_GB2312"/>
          <w:kern w:val="1"/>
          <w:sz w:val="32"/>
          <w:szCs w:val="32"/>
        </w:rPr>
        <w:t>）</w:t>
      </w:r>
      <w:r>
        <w:rPr>
          <w:rFonts w:ascii="仿宋_GB2312" w:hAnsi="仿宋_GB2312" w:eastAsia="仿宋_GB2312"/>
          <w:kern w:val="1"/>
          <w:sz w:val="32"/>
          <w:szCs w:val="32"/>
        </w:rPr>
        <w:t>：</w:t>
      </w:r>
      <w:r>
        <w:rPr>
          <w:rFonts w:hint="eastAsia" w:ascii="仿宋_GB2312" w:hAnsi="仿宋_GB2312" w:eastAsia="仿宋_GB2312"/>
          <w:kern w:val="1"/>
          <w:sz w:val="32"/>
          <w:szCs w:val="32"/>
          <w:lang w:eastAsia="zh-CN"/>
        </w:rPr>
        <w:t>反映事业单位的基本支出，不包括行政单位（包括实行公务员管理的事业单位）后勤服务中心、医务室</w:t>
      </w:r>
      <w:r>
        <w:rPr>
          <w:rFonts w:hint="eastAsia" w:ascii="仿宋_GB2312" w:hAnsi="仿宋_GB2312" w:eastAsia="仿宋_GB2312"/>
          <w:kern w:val="1"/>
          <w:sz w:val="32"/>
          <w:szCs w:val="32"/>
        </w:rPr>
        <w:t>等</w:t>
      </w:r>
      <w:r>
        <w:rPr>
          <w:rFonts w:hint="eastAsia" w:ascii="仿宋_GB2312" w:hAnsi="仿宋_GB2312" w:eastAsia="仿宋_GB2312"/>
          <w:kern w:val="1"/>
          <w:sz w:val="32"/>
          <w:szCs w:val="32"/>
          <w:lang w:eastAsia="zh-CN"/>
        </w:rPr>
        <w:t>附属事业单位</w:t>
      </w:r>
      <w:r>
        <w:rPr>
          <w:rFonts w:hint="eastAsia" w:ascii="仿宋_GB2312" w:hAnsi="仿宋_GB2312" w:eastAsia="仿宋_GB2312"/>
          <w:kern w:val="1"/>
          <w:sz w:val="32"/>
          <w:szCs w:val="32"/>
        </w:rPr>
        <w:t>支出</w:t>
      </w:r>
      <w:r>
        <w:rPr>
          <w:rFonts w:hint="eastAsia" w:ascii="仿宋_GB2312" w:eastAsia="仿宋_GB2312"/>
          <w:color w:val="auto"/>
          <w:sz w:val="32"/>
          <w:szCs w:val="32"/>
          <w:highlight w:val="none"/>
        </w:rPr>
        <w:t>。</w:t>
      </w:r>
    </w:p>
    <w:p w14:paraId="79389940">
      <w:pPr>
        <w:ind w:firstLine="640" w:firstLineChars="200"/>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ascii="仿宋_GB2312" w:hAnsi="仿宋_GB2312" w:eastAsia="仿宋_GB2312"/>
          <w:kern w:val="1"/>
          <w:sz w:val="32"/>
          <w:szCs w:val="32"/>
        </w:rPr>
        <w:t>社会保障和就业</w:t>
      </w:r>
      <w:r>
        <w:rPr>
          <w:rFonts w:hint="eastAsia" w:ascii="仿宋_GB2312" w:hAnsi="仿宋_GB2312" w:eastAsia="仿宋_GB2312"/>
          <w:kern w:val="1"/>
          <w:sz w:val="32"/>
          <w:szCs w:val="32"/>
        </w:rPr>
        <w:t>（208）行政事业单位养老支出（05）机关事业单位基本养老保险缴费支出（05）：</w:t>
      </w:r>
      <w:r>
        <w:rPr>
          <w:rFonts w:ascii="仿宋_GB2312" w:hAnsi="仿宋_GB2312" w:eastAsia="仿宋_GB2312"/>
          <w:kern w:val="1"/>
          <w:sz w:val="32"/>
          <w:szCs w:val="32"/>
        </w:rPr>
        <w:t>指</w:t>
      </w:r>
      <w:r>
        <w:rPr>
          <w:rFonts w:hint="eastAsia" w:ascii="仿宋_GB2312" w:hAnsi="仿宋_GB2312" w:eastAsia="仿宋_GB2312"/>
          <w:kern w:val="1"/>
          <w:sz w:val="32"/>
          <w:szCs w:val="32"/>
        </w:rPr>
        <w:t>反映机关事业单位单位缴纳的基本养老保险费支出</w:t>
      </w:r>
      <w:r>
        <w:rPr>
          <w:rFonts w:hint="eastAsia" w:ascii="仿宋_GB2312" w:eastAsia="仿宋_GB2312"/>
          <w:color w:val="auto"/>
          <w:sz w:val="32"/>
          <w:szCs w:val="32"/>
          <w:highlight w:val="none"/>
        </w:rPr>
        <w:t>。</w:t>
      </w:r>
    </w:p>
    <w:p w14:paraId="5BA8869D">
      <w:pPr>
        <w:pStyle w:val="6"/>
        <w:outlineLvl w:val="9"/>
        <w:rPr>
          <w:rFonts w:hint="default" w:eastAsia="仿宋_GB2312"/>
          <w:lang w:val="en-US" w:eastAsia="zh-CN"/>
        </w:rPr>
      </w:pPr>
      <w:r>
        <w:rPr>
          <w:rFonts w:hint="eastAsia"/>
          <w:color w:val="auto"/>
          <w:sz w:val="32"/>
          <w:szCs w:val="32"/>
          <w:highlight w:val="none"/>
          <w:lang w:val="en-US" w:eastAsia="zh-CN"/>
        </w:rPr>
        <w:t xml:space="preserve">    7.</w:t>
      </w:r>
      <w:r>
        <w:rPr>
          <w:rFonts w:ascii="仿宋_GB2312" w:hAnsi="仿宋_GB2312" w:eastAsia="仿宋_GB2312"/>
          <w:kern w:val="1"/>
          <w:sz w:val="32"/>
          <w:szCs w:val="32"/>
        </w:rPr>
        <w:t>社会保障和就业</w:t>
      </w:r>
      <w:r>
        <w:rPr>
          <w:rFonts w:hint="eastAsia" w:ascii="仿宋_GB2312" w:hAnsi="仿宋_GB2312" w:eastAsia="仿宋_GB2312"/>
          <w:kern w:val="1"/>
          <w:sz w:val="32"/>
          <w:szCs w:val="32"/>
        </w:rPr>
        <w:t>（208）行政事业单位养老支出（05）机关事业单位</w:t>
      </w:r>
      <w:r>
        <w:rPr>
          <w:rFonts w:hint="eastAsia" w:hAnsi="仿宋_GB2312"/>
          <w:kern w:val="1"/>
          <w:sz w:val="32"/>
          <w:szCs w:val="32"/>
          <w:lang w:eastAsia="zh-CN"/>
        </w:rPr>
        <w:t>职业年金</w:t>
      </w:r>
      <w:r>
        <w:rPr>
          <w:rFonts w:hint="eastAsia" w:ascii="仿宋_GB2312" w:hAnsi="仿宋_GB2312" w:eastAsia="仿宋_GB2312"/>
          <w:kern w:val="1"/>
          <w:sz w:val="32"/>
          <w:szCs w:val="32"/>
        </w:rPr>
        <w:t>缴费支出（0</w:t>
      </w:r>
      <w:r>
        <w:rPr>
          <w:rFonts w:hint="eastAsia" w:hAnsi="仿宋_GB2312"/>
          <w:kern w:val="1"/>
          <w:sz w:val="32"/>
          <w:szCs w:val="32"/>
          <w:lang w:val="en-US" w:eastAsia="zh-CN"/>
        </w:rPr>
        <w:t>6</w:t>
      </w:r>
      <w:r>
        <w:rPr>
          <w:rFonts w:hint="eastAsia" w:ascii="仿宋_GB2312" w:hAnsi="仿宋_GB2312" w:eastAsia="仿宋_GB2312"/>
          <w:kern w:val="1"/>
          <w:sz w:val="32"/>
          <w:szCs w:val="32"/>
        </w:rPr>
        <w:t>）：</w:t>
      </w:r>
      <w:r>
        <w:rPr>
          <w:rFonts w:ascii="仿宋_GB2312" w:hAnsi="仿宋_GB2312" w:eastAsia="仿宋_GB2312"/>
          <w:kern w:val="1"/>
          <w:sz w:val="32"/>
          <w:szCs w:val="32"/>
        </w:rPr>
        <w:t>指</w:t>
      </w:r>
      <w:r>
        <w:rPr>
          <w:rFonts w:hint="eastAsia" w:ascii="仿宋_GB2312" w:hAnsi="仿宋_GB2312" w:eastAsia="仿宋_GB2312"/>
          <w:kern w:val="1"/>
          <w:sz w:val="32"/>
          <w:szCs w:val="32"/>
        </w:rPr>
        <w:t>反映机关事业单位</w:t>
      </w:r>
      <w:r>
        <w:rPr>
          <w:rFonts w:hint="eastAsia" w:hAnsi="仿宋_GB2312"/>
          <w:kern w:val="1"/>
          <w:sz w:val="32"/>
          <w:szCs w:val="32"/>
          <w:lang w:eastAsia="zh-CN"/>
        </w:rPr>
        <w:t>实施养老保险制度由单位实际缴纳的职业年金支出</w:t>
      </w:r>
      <w:r>
        <w:rPr>
          <w:rFonts w:hint="eastAsia" w:ascii="仿宋_GB2312" w:eastAsia="仿宋_GB2312"/>
          <w:color w:val="auto"/>
          <w:sz w:val="32"/>
          <w:szCs w:val="32"/>
          <w:highlight w:val="none"/>
        </w:rPr>
        <w:t>。</w:t>
      </w:r>
    </w:p>
    <w:p w14:paraId="2A2A7B4B">
      <w:pPr>
        <w:ind w:firstLine="640" w:firstLineChars="200"/>
        <w:outlineLvl w:val="9"/>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ascii="仿宋_GB2312" w:hAnsi="仿宋_GB2312" w:eastAsia="仿宋_GB2312"/>
          <w:kern w:val="1"/>
          <w:sz w:val="32"/>
          <w:szCs w:val="32"/>
        </w:rPr>
        <w:t>社会保障和就业</w:t>
      </w:r>
      <w:r>
        <w:rPr>
          <w:rFonts w:hint="eastAsia" w:ascii="仿宋_GB2312" w:hAnsi="仿宋_GB2312" w:eastAsia="仿宋_GB2312"/>
          <w:kern w:val="1"/>
          <w:sz w:val="32"/>
          <w:szCs w:val="32"/>
        </w:rPr>
        <w:t>（208）行政事业单位养老支出（05）机关事业单位基本养老保险缴费支出（</w:t>
      </w:r>
      <w:r>
        <w:rPr>
          <w:rFonts w:hint="eastAsia" w:ascii="仿宋_GB2312" w:hAnsi="仿宋_GB2312" w:eastAsia="仿宋_GB2312"/>
          <w:kern w:val="1"/>
          <w:sz w:val="32"/>
          <w:szCs w:val="32"/>
          <w:lang w:val="en-US" w:eastAsia="zh-CN"/>
        </w:rPr>
        <w:t>99</w:t>
      </w:r>
      <w:r>
        <w:rPr>
          <w:rFonts w:hint="eastAsia" w:ascii="仿宋_GB2312" w:hAnsi="仿宋_GB2312" w:eastAsia="仿宋_GB2312"/>
          <w:kern w:val="1"/>
          <w:sz w:val="32"/>
          <w:szCs w:val="32"/>
        </w:rPr>
        <w:t>）：</w:t>
      </w:r>
      <w:r>
        <w:rPr>
          <w:rFonts w:hint="eastAsia" w:ascii="仿宋_GB2312" w:hAnsi="仿宋_GB2312" w:eastAsia="仿宋_GB2312" w:cs="仿宋_GB2312"/>
          <w:sz w:val="32"/>
          <w:szCs w:val="32"/>
        </w:rPr>
        <w:t>指反映除上述项目以外其他用于</w:t>
      </w:r>
      <w:r>
        <w:rPr>
          <w:rFonts w:hint="eastAsia" w:ascii="仿宋_GB2312" w:hAnsi="仿宋_GB2312" w:eastAsia="仿宋_GB2312"/>
          <w:kern w:val="1"/>
          <w:sz w:val="32"/>
          <w:szCs w:val="32"/>
        </w:rPr>
        <w:t>机关事业单位单位缴纳的基本养老保险费支出。</w:t>
      </w:r>
    </w:p>
    <w:p w14:paraId="6528E8ED">
      <w:pPr>
        <w:ind w:firstLine="640" w:firstLineChars="200"/>
        <w:outlineLvl w:val="9"/>
        <w:rPr>
          <w:rFonts w:hint="eastAsia" w:ascii="仿宋_GB2312" w:hAnsi="仿宋_GB2312" w:eastAsia="仿宋_GB2312"/>
          <w:kern w:val="1"/>
          <w:sz w:val="32"/>
          <w:szCs w:val="32"/>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hAnsi="仿宋_GB2312" w:eastAsia="仿宋_GB2312"/>
          <w:kern w:val="1"/>
          <w:sz w:val="32"/>
          <w:szCs w:val="32"/>
        </w:rPr>
        <w:t>卫生健康支出（21</w:t>
      </w:r>
      <w:r>
        <w:rPr>
          <w:rFonts w:hint="eastAsia" w:ascii="仿宋_GB2312" w:hAnsi="仿宋_GB2312" w:eastAsia="仿宋_GB2312"/>
          <w:kern w:val="1"/>
          <w:sz w:val="32"/>
          <w:szCs w:val="32"/>
          <w:lang w:val="en-US" w:eastAsia="zh-CN"/>
        </w:rPr>
        <w:t>0</w:t>
      </w:r>
      <w:r>
        <w:rPr>
          <w:rFonts w:hint="eastAsia" w:ascii="仿宋_GB2312" w:hAnsi="仿宋_GB2312" w:eastAsia="仿宋_GB2312"/>
          <w:kern w:val="1"/>
          <w:sz w:val="32"/>
          <w:szCs w:val="32"/>
        </w:rPr>
        <w:t>）行政事业单位医疗（11）行政单位医疗（01）：指反映财政部门安排的行政单位（包括实行公务员事业单位）基本医疗保险缴费经费，未参加医疗保险的行政单位的公费医疗经费，按国家规定享受离休人员、红军老战士待遇人员的医疗经费。</w:t>
      </w:r>
    </w:p>
    <w:p w14:paraId="328C71D6">
      <w:pPr>
        <w:pStyle w:val="6"/>
        <w:outlineLvl w:val="9"/>
        <w:rPr>
          <w:rFonts w:hint="eastAsia" w:eastAsia="仿宋_GB2312"/>
          <w:lang w:val="en-US" w:eastAsia="zh-CN"/>
        </w:rPr>
      </w:pPr>
      <w:r>
        <w:rPr>
          <w:rFonts w:hint="eastAsia"/>
          <w:lang w:val="en-US" w:eastAsia="zh-CN"/>
        </w:rPr>
        <w:t xml:space="preserve">    </w:t>
      </w:r>
      <w:r>
        <w:rPr>
          <w:rFonts w:hint="eastAsia"/>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hAnsi="仿宋_GB2312" w:eastAsia="仿宋_GB2312"/>
          <w:kern w:val="1"/>
          <w:sz w:val="32"/>
          <w:szCs w:val="32"/>
        </w:rPr>
        <w:t>卫生健康支出（21</w:t>
      </w:r>
      <w:r>
        <w:rPr>
          <w:rFonts w:hint="eastAsia" w:hAnsi="仿宋_GB2312"/>
          <w:kern w:val="1"/>
          <w:sz w:val="32"/>
          <w:szCs w:val="32"/>
          <w:lang w:val="en-US" w:eastAsia="zh-CN"/>
        </w:rPr>
        <w:t>0</w:t>
      </w:r>
      <w:r>
        <w:rPr>
          <w:rFonts w:hint="eastAsia" w:ascii="仿宋_GB2312" w:hAnsi="仿宋_GB2312" w:eastAsia="仿宋_GB2312"/>
          <w:kern w:val="1"/>
          <w:sz w:val="32"/>
          <w:szCs w:val="32"/>
        </w:rPr>
        <w:t>）行政事业单位医疗（11）行政单位医疗（0</w:t>
      </w:r>
      <w:r>
        <w:rPr>
          <w:rFonts w:hint="eastAsia" w:hAnsi="仿宋_GB2312"/>
          <w:kern w:val="1"/>
          <w:sz w:val="32"/>
          <w:szCs w:val="32"/>
          <w:lang w:val="en-US" w:eastAsia="zh-CN"/>
        </w:rPr>
        <w:t>2</w:t>
      </w:r>
      <w:r>
        <w:rPr>
          <w:rFonts w:hint="eastAsia" w:ascii="仿宋_GB2312" w:hAnsi="仿宋_GB2312" w:eastAsia="仿宋_GB2312"/>
          <w:kern w:val="1"/>
          <w:sz w:val="32"/>
          <w:szCs w:val="32"/>
        </w:rPr>
        <w:t>）：</w:t>
      </w:r>
      <w:r>
        <w:rPr>
          <w:rFonts w:hint="eastAsia" w:hAnsi="仿宋_GB2312"/>
          <w:kern w:val="1"/>
          <w:sz w:val="32"/>
          <w:szCs w:val="32"/>
          <w:lang w:eastAsia="zh-CN"/>
        </w:rPr>
        <w:t>反映财政部门集中安排的事业单位基本医疗保险缴费经费，未参加医疗保险的事业单位的公费医疗经费，按国家规定享受离休人员待遇的医疗经费。</w:t>
      </w:r>
    </w:p>
    <w:p w14:paraId="0A2B0C65">
      <w:pPr>
        <w:numPr>
          <w:ilvl w:val="0"/>
          <w:numId w:val="0"/>
        </w:numPr>
        <w:spacing w:line="600" w:lineRule="exact"/>
        <w:ind w:firstLine="640" w:firstLineChars="200"/>
        <w:outlineLvl w:val="9"/>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hAnsi="仿宋_GB2312" w:eastAsia="仿宋_GB2312"/>
          <w:kern w:val="1"/>
          <w:sz w:val="32"/>
          <w:szCs w:val="32"/>
        </w:rPr>
        <w:t>卫生健康支出（21</w:t>
      </w:r>
      <w:r>
        <w:rPr>
          <w:rFonts w:hint="eastAsia" w:ascii="仿宋_GB2312" w:hAnsi="仿宋_GB2312" w:eastAsia="仿宋_GB2312"/>
          <w:kern w:val="1"/>
          <w:sz w:val="32"/>
          <w:szCs w:val="32"/>
          <w:lang w:val="en-US" w:eastAsia="zh-CN"/>
        </w:rPr>
        <w:t>0</w:t>
      </w:r>
      <w:r>
        <w:rPr>
          <w:rFonts w:hint="eastAsia" w:ascii="仿宋_GB2312" w:hAnsi="仿宋_GB2312" w:eastAsia="仿宋_GB2312"/>
          <w:kern w:val="1"/>
          <w:sz w:val="32"/>
          <w:szCs w:val="32"/>
        </w:rPr>
        <w:t>）行政事业单位医疗（11）公务员医疗补助（03）：指反映财政部门安排的公务员医疗补助经费。</w:t>
      </w:r>
    </w:p>
    <w:p w14:paraId="5AC517C0">
      <w:pPr>
        <w:ind w:firstLine="640" w:firstLineChars="200"/>
        <w:outlineLvl w:val="9"/>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2.</w:t>
      </w:r>
      <w:r>
        <w:rPr>
          <w:rFonts w:hint="eastAsia" w:ascii="仿宋_GB2312" w:hAnsi="仿宋_GB2312" w:eastAsia="仿宋_GB2312" w:cs="仿宋_GB2312"/>
          <w:sz w:val="32"/>
          <w:szCs w:val="32"/>
        </w:rPr>
        <w:t>住房保障支出</w:t>
      </w:r>
      <w:r>
        <w:rPr>
          <w:rFonts w:hint="eastAsia" w:ascii="仿宋_GB2312" w:hAnsi="仿宋_GB2312" w:eastAsia="仿宋_GB2312"/>
          <w:kern w:val="1"/>
          <w:sz w:val="32"/>
          <w:szCs w:val="32"/>
        </w:rPr>
        <w:t>（221）</w:t>
      </w:r>
      <w:r>
        <w:rPr>
          <w:rFonts w:hint="eastAsia" w:ascii="仿宋_GB2312" w:hAnsi="仿宋_GB2312" w:eastAsia="仿宋_GB2312" w:cs="仿宋_GB2312"/>
          <w:sz w:val="32"/>
          <w:szCs w:val="32"/>
        </w:rPr>
        <w:t>住房改革支出(02)住房公积金</w:t>
      </w:r>
      <w:r>
        <w:rPr>
          <w:rFonts w:hint="eastAsia" w:ascii="仿宋_GB2312" w:hAnsi="仿宋_GB2312" w:eastAsia="仿宋_GB2312"/>
          <w:kern w:val="1"/>
          <w:sz w:val="32"/>
          <w:szCs w:val="32"/>
        </w:rPr>
        <w:t>（01）:指行政事业单位按人力资源和社会保障部</w:t>
      </w:r>
      <w:r>
        <w:rPr>
          <w:rFonts w:hint="eastAsia" w:ascii="仿宋_GB2312" w:hAnsi="仿宋_GB2312" w:eastAsia="仿宋_GB2312" w:cs="仿宋_GB2312"/>
          <w:sz w:val="32"/>
          <w:szCs w:val="32"/>
        </w:rPr>
        <w:t>、财政部规定的基本工资和津贴补贴以及规定比例为职工缴纳的住房公积金</w:t>
      </w:r>
      <w:r>
        <w:rPr>
          <w:rFonts w:hint="eastAsia" w:ascii="仿宋_GB2312" w:hAnsi="仿宋_GB2312" w:eastAsia="仿宋_GB2312"/>
          <w:kern w:val="1"/>
          <w:sz w:val="32"/>
          <w:szCs w:val="32"/>
        </w:rPr>
        <w:t>。</w:t>
      </w:r>
    </w:p>
    <w:p w14:paraId="2EE73117">
      <w:pPr>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3.</w:t>
      </w:r>
      <w:r>
        <w:rPr>
          <w:rFonts w:hint="eastAsia" w:ascii="仿宋_GB2312" w:hAnsi="仿宋_GB2312" w:eastAsia="仿宋_GB2312" w:cs="仿宋_GB2312"/>
          <w:sz w:val="32"/>
          <w:szCs w:val="32"/>
        </w:rPr>
        <w:t>基本支出：指为保障机构正常运转、完成日常工作任务而发生的人员支出和公用支出。</w:t>
      </w:r>
    </w:p>
    <w:p w14:paraId="60C5A72F">
      <w:pPr>
        <w:spacing w:line="600" w:lineRule="exact"/>
        <w:ind w:firstLine="640"/>
        <w:outlineLvl w:val="9"/>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4.</w:t>
      </w:r>
      <w:r>
        <w:rPr>
          <w:rFonts w:hint="eastAsia" w:ascii="仿宋_GB2312" w:hAnsi="仿宋_GB2312" w:eastAsia="仿宋_GB2312" w:cs="仿宋_GB2312"/>
          <w:sz w:val="32"/>
          <w:szCs w:val="32"/>
        </w:rPr>
        <w:t xml:space="preserve">项目支出：指在基本支出之外为完成特定行政任务和事业发展目标所发生的支出。 </w:t>
      </w:r>
    </w:p>
    <w:p w14:paraId="5628A1D5">
      <w:pPr>
        <w:ind w:firstLine="640" w:firstLineChars="200"/>
        <w:outlineLvl w:val="9"/>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eastAsia="仿宋_GB2312"/>
          <w:color w:val="auto"/>
          <w:sz w:val="32"/>
          <w:szCs w:val="32"/>
          <w:highlight w:val="none"/>
        </w:rPr>
        <w:t>。</w:t>
      </w:r>
    </w:p>
    <w:p w14:paraId="3C3FBC5E">
      <w:pPr>
        <w:pStyle w:val="28"/>
        <w:spacing w:line="560" w:lineRule="exact"/>
        <w:ind w:firstLine="640" w:firstLineChars="200"/>
        <w:outlineLvl w:val="9"/>
        <w:rPr>
          <w:rFonts w:ascii="仿宋_GB2312" w:eastAsia="仿宋_GB2312" w:cs="黑体"/>
          <w:sz w:val="32"/>
          <w:szCs w:val="32"/>
        </w:rPr>
      </w:pPr>
      <w:r>
        <w:rPr>
          <w:rFonts w:hint="eastAsia" w:ascii="仿宋_GB2312" w:eastAsia="仿宋_GB2312"/>
          <w:color w:val="auto"/>
          <w:sz w:val="32"/>
          <w:szCs w:val="32"/>
          <w:highlight w:val="none"/>
          <w:lang w:val="en-US" w:eastAsia="zh-CN"/>
        </w:rPr>
        <w:t>16.</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A837A4F">
      <w:pPr>
        <w:ind w:firstLine="643" w:firstLineChars="200"/>
        <w:outlineLvl w:val="9"/>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（名词解释部分请根据各部门实际列支情况罗列，并根据本部门职责职能增减名词解释内容。）</w:t>
      </w:r>
    </w:p>
    <w:p w14:paraId="72D0A5C4">
      <w:pPr>
        <w:ind w:firstLine="643" w:firstLineChars="200"/>
        <w:outlineLvl w:val="9"/>
        <w:rPr>
          <w:rFonts w:ascii="仿宋" w:hAnsi="仿宋" w:eastAsia="仿宋"/>
          <w:b/>
          <w:sz w:val="32"/>
          <w:szCs w:val="32"/>
        </w:rPr>
      </w:pPr>
      <w:r>
        <w:rPr>
          <w:rFonts w:ascii="仿宋" w:hAnsi="仿宋" w:eastAsia="仿宋"/>
          <w:b/>
          <w:sz w:val="32"/>
          <w:szCs w:val="32"/>
        </w:rPr>
        <w:br w:type="page"/>
      </w:r>
    </w:p>
    <w:p w14:paraId="5C85B8EB">
      <w:pPr>
        <w:pStyle w:val="3"/>
        <w:jc w:val="center"/>
        <w:rPr>
          <w:rFonts w:ascii="黑体" w:hAnsi="黑体" w:eastAsia="黑体"/>
          <w:b w:val="0"/>
        </w:rPr>
      </w:pPr>
      <w:bookmarkStart w:id="74" w:name="_Toc4935"/>
      <w:r>
        <w:rPr>
          <w:rFonts w:hint="eastAsia" w:ascii="黑体" w:hAnsi="黑体" w:eastAsia="黑体"/>
          <w:b w:val="0"/>
        </w:rPr>
        <w:t>第四部分 附件</w:t>
      </w:r>
      <w:bookmarkEnd w:id="74"/>
    </w:p>
    <w:p w14:paraId="199BF208"/>
    <w:p w14:paraId="59CB64CC">
      <w:pPr>
        <w:outlineLvl w:val="9"/>
        <w:rPr>
          <w:rFonts w:ascii="黑体" w:hAnsi="黑体" w:eastAsia="黑体"/>
          <w:sz w:val="32"/>
          <w:szCs w:val="32"/>
        </w:rPr>
      </w:pPr>
      <w:r>
        <w:rPr>
          <w:rFonts w:hint="eastAsia" w:ascii="黑体" w:hAnsi="黑体" w:eastAsia="黑体"/>
          <w:sz w:val="32"/>
          <w:szCs w:val="32"/>
        </w:rPr>
        <w:t>附件1</w:t>
      </w:r>
    </w:p>
    <w:p w14:paraId="0D17B224">
      <w:pPr>
        <w:jc w:val="center"/>
        <w:outlineLvl w:val="9"/>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部门预算绩效评价报告</w:t>
      </w:r>
    </w:p>
    <w:p w14:paraId="0BC12596">
      <w:pPr>
        <w:outlineLvl w:val="9"/>
      </w:pPr>
    </w:p>
    <w:p w14:paraId="54E3C80C">
      <w:pPr>
        <w:outlineLvl w:val="9"/>
        <w:rPr>
          <w:rFonts w:ascii="黑体" w:hAnsi="黑体" w:eastAsia="黑体"/>
          <w:sz w:val="32"/>
          <w:szCs w:val="32"/>
          <w:highlight w:val="none"/>
        </w:rPr>
      </w:pPr>
      <w:r>
        <w:rPr>
          <w:rFonts w:hint="eastAsia" w:ascii="黑体" w:hAnsi="黑体" w:eastAsia="黑体"/>
          <w:sz w:val="32"/>
          <w:szCs w:val="32"/>
        </w:rPr>
        <w:t>一</w:t>
      </w:r>
      <w:r>
        <w:rPr>
          <w:rFonts w:hint="eastAsia" w:ascii="黑体" w:hAnsi="黑体" w:eastAsia="黑体"/>
          <w:sz w:val="32"/>
          <w:szCs w:val="32"/>
          <w:highlight w:val="none"/>
        </w:rPr>
        <w:t>、部门（单位）基本情况</w:t>
      </w:r>
    </w:p>
    <w:p w14:paraId="04E2DD5E">
      <w:pPr>
        <w:ind w:firstLine="643" w:firstLineChars="200"/>
        <w:outlineLvl w:val="9"/>
        <w:rPr>
          <w:rFonts w:hint="default" w:ascii="Times New Roman" w:hAnsi="Times New Roman" w:eastAsia="仿宋_GB2312" w:cs="Times New Roman"/>
          <w:sz w:val="32"/>
          <w:szCs w:val="32"/>
          <w:highlight w:val="none"/>
        </w:rPr>
      </w:pPr>
      <w:r>
        <w:rPr>
          <w:rFonts w:hint="eastAsia" w:ascii="楷体_GB2312" w:eastAsia="楷体_GB2312"/>
          <w:b/>
          <w:sz w:val="32"/>
          <w:szCs w:val="32"/>
          <w:highlight w:val="none"/>
        </w:rPr>
        <w:t>（一）机构组成。</w:t>
      </w:r>
      <w:r>
        <w:rPr>
          <w:rFonts w:hint="eastAsia" w:ascii="仿宋_GB2312" w:hAnsi="宋体" w:eastAsia="仿宋_GB2312" w:cs="宋体"/>
          <w:color w:val="000000"/>
          <w:kern w:val="0"/>
          <w:sz w:val="32"/>
          <w:szCs w:val="32"/>
          <w:highlight w:val="none"/>
          <w:lang w:val="zh-CN"/>
        </w:rPr>
        <w:t>大竹县司法局是全额拨款的行政单位,经三定方案核定，包括以下内设机构</w:t>
      </w:r>
      <w:r>
        <w:rPr>
          <w:rFonts w:hint="eastAsia" w:ascii="仿宋_GB2312" w:hAnsi="宋体" w:cs="宋体"/>
          <w:color w:val="000000"/>
          <w:kern w:val="0"/>
          <w:sz w:val="32"/>
          <w:szCs w:val="32"/>
          <w:highlight w:val="none"/>
          <w:lang w:val="en-US" w:eastAsia="zh-CN"/>
        </w:rPr>
        <w:t>:</w:t>
      </w:r>
      <w:r>
        <w:rPr>
          <w:rFonts w:hint="default" w:ascii="Times New Roman" w:hAnsi="Times New Roman" w:eastAsia="仿宋_GB2312" w:cs="Times New Roman"/>
          <w:sz w:val="32"/>
          <w:szCs w:val="32"/>
          <w:highlight w:val="none"/>
        </w:rPr>
        <w:t>办公室、法治督察股（依法治县办秘书股）、合法性审查股、社区矫正管理股（社区矫正管理局）、行政复议与应诉股、行政执法协调监督股、普法与依法治理股、人民参与和促进法治股、公共法律服务管理股、装备财务保障股，设置乡镇（街道）司法所，作为县司法局的派出机构。</w:t>
      </w:r>
    </w:p>
    <w:p w14:paraId="17F044A5">
      <w:pPr>
        <w:ind w:firstLine="643" w:firstLineChars="200"/>
        <w:outlineLvl w:val="9"/>
        <w:rPr>
          <w:rFonts w:hint="default" w:ascii="Times New Roman" w:hAnsi="Times New Roman" w:eastAsia="仿宋_GB2312" w:cs="Times New Roman"/>
          <w:sz w:val="32"/>
          <w:szCs w:val="32"/>
        </w:rPr>
      </w:pPr>
      <w:r>
        <w:rPr>
          <w:rFonts w:hint="eastAsia" w:ascii="楷体_GB2312" w:eastAsia="楷体_GB2312"/>
          <w:b/>
          <w:sz w:val="32"/>
          <w:szCs w:val="32"/>
          <w:highlight w:val="none"/>
        </w:rPr>
        <w:t>（二）机构职能。</w:t>
      </w:r>
      <w:r>
        <w:rPr>
          <w:rFonts w:hint="default" w:ascii="Times New Roman" w:hAnsi="Times New Roman" w:eastAsia="仿宋_GB2312" w:cs="Times New Roman"/>
          <w:sz w:val="32"/>
          <w:szCs w:val="32"/>
          <w:highlight w:val="none"/>
        </w:rPr>
        <w:t>大竹县司法局是大竹县人民政府的工作部门，主要职责一是承担全面依法治国、依法治省、依法治市、依法治县重大问题的政策研</w:t>
      </w:r>
      <w:r>
        <w:rPr>
          <w:rFonts w:hint="default" w:ascii="Times New Roman" w:hAnsi="Times New Roman" w:eastAsia="仿宋_GB2312" w:cs="Times New Roman"/>
          <w:sz w:val="32"/>
          <w:szCs w:val="32"/>
        </w:rPr>
        <w:t>究，协调有关方面提出全面依法治县规划建议，负责有关重大决策部署督察工作</w:t>
      </w:r>
      <w:r>
        <w:rPr>
          <w:rFonts w:hint="eastAsia" w:cs="Times New Roman"/>
          <w:sz w:val="32"/>
          <w:szCs w:val="32"/>
          <w:lang w:val="en-US" w:eastAsia="zh-CN"/>
        </w:rPr>
        <w:t>;</w:t>
      </w:r>
      <w:r>
        <w:rPr>
          <w:rFonts w:hint="default" w:ascii="Times New Roman" w:hAnsi="Times New Roman" w:eastAsia="仿宋_GB2312" w:cs="Times New Roman"/>
          <w:sz w:val="32"/>
          <w:szCs w:val="32"/>
        </w:rPr>
        <w:t>二是负责政府规范性文件、重大决策发布前的合法性审查</w:t>
      </w:r>
      <w:r>
        <w:rPr>
          <w:rFonts w:hint="eastAsia" w:cs="Times New Roman"/>
          <w:sz w:val="32"/>
          <w:szCs w:val="32"/>
          <w:lang w:val="en-US" w:eastAsia="zh-CN"/>
        </w:rPr>
        <w:t>;</w:t>
      </w:r>
      <w:r>
        <w:rPr>
          <w:rFonts w:hint="default" w:ascii="Times New Roman" w:hAnsi="Times New Roman" w:eastAsia="仿宋_GB2312" w:cs="Times New Roman"/>
          <w:sz w:val="32"/>
          <w:szCs w:val="32"/>
        </w:rPr>
        <w:t>三是承担统筹推进法治政府建设的责任</w:t>
      </w:r>
      <w:r>
        <w:rPr>
          <w:rFonts w:hint="eastAsia" w:cs="Times New Roman"/>
          <w:sz w:val="32"/>
          <w:szCs w:val="32"/>
          <w:lang w:val="en-US" w:eastAsia="zh-CN"/>
        </w:rPr>
        <w:t>;</w:t>
      </w:r>
      <w:r>
        <w:rPr>
          <w:rFonts w:hint="default" w:ascii="Times New Roman" w:hAnsi="Times New Roman" w:eastAsia="仿宋_GB2312" w:cs="Times New Roman"/>
          <w:sz w:val="32"/>
          <w:szCs w:val="32"/>
        </w:rPr>
        <w:t>四是承担统筹规划法治社会建设的责任</w:t>
      </w:r>
      <w:r>
        <w:rPr>
          <w:rFonts w:hint="eastAsia" w:cs="Times New Roman"/>
          <w:sz w:val="32"/>
          <w:szCs w:val="32"/>
          <w:lang w:val="en-US" w:eastAsia="zh-CN"/>
        </w:rPr>
        <w:t>;</w:t>
      </w:r>
      <w:r>
        <w:rPr>
          <w:rFonts w:hint="default" w:ascii="Times New Roman" w:hAnsi="Times New Roman" w:eastAsia="仿宋_GB2312" w:cs="Times New Roman"/>
          <w:sz w:val="32"/>
          <w:szCs w:val="32"/>
        </w:rPr>
        <w:t>五是负责管理和组织实施社区矫正工作</w:t>
      </w:r>
      <w:r>
        <w:rPr>
          <w:rFonts w:hint="eastAsia" w:cs="Times New Roman"/>
          <w:sz w:val="32"/>
          <w:szCs w:val="32"/>
          <w:lang w:val="en-US" w:eastAsia="zh-CN"/>
        </w:rPr>
        <w:t>;</w:t>
      </w:r>
      <w:r>
        <w:rPr>
          <w:rFonts w:hint="default" w:ascii="Times New Roman" w:hAnsi="Times New Roman" w:eastAsia="仿宋_GB2312" w:cs="Times New Roman"/>
          <w:sz w:val="32"/>
          <w:szCs w:val="32"/>
        </w:rPr>
        <w:t>六是负责拟订全县公共法律服务体系建设规划并组织实施，统筹和布局全县法律服务资源</w:t>
      </w:r>
      <w:r>
        <w:rPr>
          <w:rFonts w:hint="eastAsia" w:cs="Times New Roman"/>
          <w:sz w:val="32"/>
          <w:szCs w:val="32"/>
          <w:lang w:val="en-US" w:eastAsia="zh-CN"/>
        </w:rPr>
        <w:t>;</w:t>
      </w:r>
      <w:r>
        <w:rPr>
          <w:rFonts w:hint="default" w:ascii="Times New Roman" w:hAnsi="Times New Roman" w:eastAsia="仿宋_GB2312" w:cs="Times New Roman"/>
          <w:sz w:val="32"/>
          <w:szCs w:val="32"/>
        </w:rPr>
        <w:t>七是负责本系统财务和装备管理工作</w:t>
      </w:r>
      <w:r>
        <w:rPr>
          <w:rFonts w:hint="eastAsia" w:cs="Times New Roman"/>
          <w:sz w:val="32"/>
          <w:szCs w:val="32"/>
          <w:lang w:val="en-US" w:eastAsia="zh-CN"/>
        </w:rPr>
        <w:t>;</w:t>
      </w:r>
      <w:r>
        <w:rPr>
          <w:rFonts w:hint="default" w:ascii="Times New Roman" w:hAnsi="Times New Roman" w:eastAsia="仿宋_GB2312" w:cs="Times New Roman"/>
          <w:sz w:val="32"/>
          <w:szCs w:val="32"/>
        </w:rPr>
        <w:t>八是规划、协调、指导法治人才队伍建设相关工作，负责本系统党的建设、队伍建设</w:t>
      </w:r>
      <w:r>
        <w:rPr>
          <w:rFonts w:hint="eastAsia" w:cs="Times New Roman"/>
          <w:sz w:val="32"/>
          <w:szCs w:val="32"/>
          <w:lang w:val="en-US" w:eastAsia="zh-CN"/>
        </w:rPr>
        <w:t>;</w:t>
      </w:r>
      <w:r>
        <w:rPr>
          <w:rFonts w:hint="default" w:ascii="Times New Roman" w:hAnsi="Times New Roman" w:eastAsia="仿宋_GB2312" w:cs="Times New Roman"/>
          <w:sz w:val="32"/>
          <w:szCs w:val="32"/>
        </w:rPr>
        <w:t>九是负责本系统行政审批工作</w:t>
      </w:r>
      <w:r>
        <w:rPr>
          <w:rFonts w:hint="eastAsia" w:cs="Times New Roman"/>
          <w:sz w:val="32"/>
          <w:szCs w:val="32"/>
          <w:lang w:val="en-US" w:eastAsia="zh-CN"/>
        </w:rPr>
        <w:t>;</w:t>
      </w:r>
      <w:r>
        <w:rPr>
          <w:rFonts w:hint="default" w:ascii="Times New Roman" w:hAnsi="Times New Roman" w:eastAsia="仿宋_GB2312" w:cs="Times New Roman"/>
          <w:sz w:val="32"/>
          <w:szCs w:val="32"/>
        </w:rPr>
        <w:t>十是完成县委、县政府交办的其他任务。</w:t>
      </w:r>
    </w:p>
    <w:p w14:paraId="16B96F06">
      <w:pPr>
        <w:ind w:firstLine="643" w:firstLineChars="200"/>
        <w:outlineLvl w:val="9"/>
        <w:rPr>
          <w:rFonts w:ascii="仿宋_GB2312" w:eastAsia="仿宋_GB2312"/>
          <w:sz w:val="32"/>
          <w:szCs w:val="32"/>
          <w:highlight w:val="none"/>
        </w:rPr>
      </w:pPr>
      <w:r>
        <w:rPr>
          <w:rFonts w:hint="eastAsia" w:ascii="楷体_GB2312" w:eastAsia="楷体_GB2312"/>
          <w:b/>
          <w:sz w:val="32"/>
          <w:szCs w:val="32"/>
          <w:highlight w:val="none"/>
        </w:rPr>
        <w:t>（三）人员概况。</w:t>
      </w:r>
      <w:r>
        <w:rPr>
          <w:rFonts w:hint="default" w:ascii="Times New Roman" w:hAnsi="Times New Roman" w:eastAsia="仿宋_GB2312" w:cs="Times New Roman"/>
          <w:sz w:val="32"/>
          <w:szCs w:val="32"/>
          <w:highlight w:val="none"/>
        </w:rPr>
        <w:t>截至202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年末，在职在编人员</w:t>
      </w:r>
      <w:r>
        <w:rPr>
          <w:rFonts w:hint="eastAsia" w:ascii="Times New Roman" w:hAnsi="Times New Roman" w:eastAsia="仿宋_GB2312" w:cs="Times New Roman"/>
          <w:sz w:val="32"/>
          <w:szCs w:val="32"/>
          <w:highlight w:val="none"/>
          <w:lang w:val="en-US" w:eastAsia="zh-CN"/>
        </w:rPr>
        <w:t>85</w:t>
      </w:r>
      <w:r>
        <w:rPr>
          <w:rFonts w:hint="default" w:ascii="Times New Roman" w:hAnsi="Times New Roman" w:eastAsia="仿宋_GB2312" w:cs="Times New Roman"/>
          <w:sz w:val="32"/>
          <w:szCs w:val="32"/>
          <w:highlight w:val="none"/>
        </w:rPr>
        <w:t>人，比上年少</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人；另有辅助人员</w:t>
      </w:r>
      <w:r>
        <w:rPr>
          <w:rFonts w:hint="eastAsia" w:ascii="Times New Roman" w:hAnsi="Times New Roman" w:eastAsia="仿宋_GB2312" w:cs="Times New Roman"/>
          <w:sz w:val="32"/>
          <w:szCs w:val="32"/>
          <w:highlight w:val="none"/>
          <w:lang w:eastAsia="zh-CN"/>
        </w:rPr>
        <w:t>2</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人，</w:t>
      </w:r>
      <w:r>
        <w:rPr>
          <w:rFonts w:hint="eastAsia" w:ascii="Times New Roman" w:hAnsi="Times New Roman" w:eastAsia="仿宋_GB2312" w:cs="Times New Roman"/>
          <w:sz w:val="32"/>
          <w:szCs w:val="32"/>
          <w:highlight w:val="none"/>
          <w:lang w:eastAsia="zh-CN"/>
        </w:rPr>
        <w:t>与</w:t>
      </w:r>
      <w:r>
        <w:rPr>
          <w:rFonts w:hint="default" w:ascii="Times New Roman" w:hAnsi="Times New Roman" w:eastAsia="仿宋_GB2312" w:cs="Times New Roman"/>
          <w:sz w:val="32"/>
          <w:szCs w:val="32"/>
          <w:highlight w:val="none"/>
        </w:rPr>
        <w:t>上年</w:t>
      </w:r>
      <w:r>
        <w:rPr>
          <w:rFonts w:hint="eastAsia" w:ascii="Times New Roman" w:hAnsi="Times New Roman" w:eastAsia="仿宋_GB2312" w:cs="Times New Roman"/>
          <w:sz w:val="32"/>
          <w:szCs w:val="32"/>
          <w:highlight w:val="none"/>
          <w:lang w:eastAsia="zh-CN"/>
        </w:rPr>
        <w:t>人数相等</w:t>
      </w:r>
      <w:r>
        <w:rPr>
          <w:rFonts w:hint="default" w:ascii="Times New Roman" w:hAnsi="Times New Roman" w:eastAsia="仿宋_GB2312" w:cs="Times New Roman"/>
          <w:sz w:val="32"/>
          <w:szCs w:val="32"/>
          <w:highlight w:val="none"/>
        </w:rPr>
        <w:t>。</w:t>
      </w:r>
    </w:p>
    <w:p w14:paraId="2CBFBAA3">
      <w:pPr>
        <w:outlineLvl w:val="9"/>
        <w:rPr>
          <w:rFonts w:ascii="黑体" w:hAnsi="黑体" w:eastAsia="黑体"/>
          <w:sz w:val="32"/>
          <w:szCs w:val="32"/>
          <w:highlight w:val="none"/>
        </w:rPr>
      </w:pPr>
      <w:r>
        <w:rPr>
          <w:rFonts w:hint="eastAsia" w:ascii="黑体" w:hAnsi="黑体" w:eastAsia="黑体"/>
          <w:sz w:val="32"/>
          <w:szCs w:val="32"/>
          <w:highlight w:val="none"/>
        </w:rPr>
        <w:t>二、部门资金收支情况</w:t>
      </w:r>
    </w:p>
    <w:p w14:paraId="3121D16F">
      <w:pPr>
        <w:ind w:firstLine="643" w:firstLineChars="200"/>
        <w:outlineLvl w:val="9"/>
        <w:rPr>
          <w:rFonts w:hint="eastAsia" w:cs="Times New Roman"/>
          <w:szCs w:val="32"/>
          <w:highlight w:val="none"/>
          <w:lang w:val="en-US" w:eastAsia="zh-CN"/>
        </w:rPr>
      </w:pPr>
      <w:r>
        <w:rPr>
          <w:rFonts w:hint="eastAsia" w:ascii="楷体_GB2312" w:eastAsia="楷体_GB2312"/>
          <w:b/>
          <w:sz w:val="32"/>
          <w:szCs w:val="32"/>
          <w:highlight w:val="none"/>
        </w:rPr>
        <w:t>（一）收入情况。</w:t>
      </w:r>
      <w:r>
        <w:rPr>
          <w:rFonts w:hint="eastAsia" w:ascii="Times New Roman" w:hAnsi="Times New Roman" w:eastAsia="仿宋_GB2312" w:cs="Times New Roman"/>
          <w:sz w:val="32"/>
          <w:szCs w:val="32"/>
          <w:highlight w:val="none"/>
          <w:lang w:val="en-US" w:eastAsia="zh-CN"/>
        </w:rPr>
        <w:t>大竹县司法局部门（单位）2023年年初预算收入2298.18万元、决算报表收入2298.18万元。</w:t>
      </w:r>
    </w:p>
    <w:p w14:paraId="7D9F3357">
      <w:pPr>
        <w:ind w:firstLine="643" w:firstLineChars="200"/>
        <w:outlineLvl w:val="9"/>
        <w:rPr>
          <w:rFonts w:hint="eastAsia" w:ascii="Times New Roman" w:hAnsi="Times New Roman" w:cs="Times New Roman"/>
          <w:szCs w:val="32"/>
          <w:highlight w:val="none"/>
          <w:lang w:val="en-US" w:eastAsia="zh-CN"/>
        </w:rPr>
      </w:pPr>
      <w:r>
        <w:rPr>
          <w:rFonts w:hint="eastAsia" w:ascii="楷体_GB2312" w:eastAsia="楷体_GB2312"/>
          <w:b/>
          <w:sz w:val="32"/>
          <w:szCs w:val="32"/>
          <w:highlight w:val="none"/>
        </w:rPr>
        <w:t>（二）支出情况。</w:t>
      </w:r>
      <w:r>
        <w:rPr>
          <w:rFonts w:hint="eastAsia" w:ascii="Times New Roman" w:hAnsi="Times New Roman" w:eastAsia="仿宋_GB2312" w:cs="Times New Roman"/>
          <w:sz w:val="32"/>
          <w:szCs w:val="32"/>
          <w:highlight w:val="none"/>
          <w:lang w:val="en-US" w:eastAsia="zh-CN"/>
        </w:rPr>
        <w:t>大竹县司法局部门（单位）2023年年初预算支出情况2298.18万元、决算报表支出2294.30万元。</w:t>
      </w:r>
    </w:p>
    <w:p w14:paraId="7C73E8C0">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ascii="仿宋_GB2312" w:eastAsia="仿宋_GB2312"/>
          <w:sz w:val="32"/>
          <w:szCs w:val="32"/>
          <w:highlight w:val="yellow"/>
        </w:rPr>
      </w:pPr>
      <w:r>
        <w:rPr>
          <w:rFonts w:hint="eastAsia" w:ascii="楷体_GB2312" w:eastAsia="楷体_GB2312"/>
          <w:b/>
          <w:sz w:val="32"/>
          <w:szCs w:val="32"/>
          <w:highlight w:val="none"/>
        </w:rPr>
        <w:t>（三）结余分配和结转结余情况。</w:t>
      </w:r>
      <w:r>
        <w:rPr>
          <w:rFonts w:hint="eastAsia" w:ascii="Times New Roman" w:hAnsi="Times New Roman" w:eastAsia="仿宋_GB2312" w:cs="Times New Roman"/>
          <w:sz w:val="32"/>
          <w:szCs w:val="32"/>
          <w:highlight w:val="none"/>
          <w:lang w:val="en-US" w:eastAsia="zh-CN"/>
        </w:rPr>
        <w:t>大竹县司法局部门（单位）2023年决算报表</w:t>
      </w:r>
      <w:r>
        <w:rPr>
          <w:rFonts w:hint="default" w:ascii="Times New Roman" w:hAnsi="Times New Roman" w:eastAsia="仿宋_GB2312" w:cs="Times New Roman"/>
          <w:sz w:val="32"/>
          <w:szCs w:val="32"/>
          <w:highlight w:val="none"/>
          <w:lang w:val="en-US" w:eastAsia="zh-CN"/>
        </w:rPr>
        <w:t>结转结余</w:t>
      </w:r>
      <w:r>
        <w:rPr>
          <w:rFonts w:hint="eastAsia" w:ascii="Times New Roman" w:hAnsi="Times New Roman" w:eastAsia="仿宋_GB2312" w:cs="Times New Roman"/>
          <w:sz w:val="32"/>
          <w:szCs w:val="32"/>
          <w:highlight w:val="none"/>
          <w:lang w:val="en-US" w:eastAsia="zh-CN"/>
        </w:rPr>
        <w:t>38770.52元</w:t>
      </w:r>
      <w:r>
        <w:rPr>
          <w:rFonts w:hint="default" w:ascii="Times New Roman" w:hAnsi="Times New Roman" w:eastAsia="仿宋_GB2312" w:cs="Times New Roman"/>
          <w:sz w:val="32"/>
          <w:szCs w:val="32"/>
          <w:highlight w:val="none"/>
          <w:lang w:val="en-US" w:eastAsia="zh-CN"/>
        </w:rPr>
        <w:t>。</w:t>
      </w:r>
    </w:p>
    <w:p w14:paraId="5CEA03C3">
      <w:pPr>
        <w:outlineLvl w:val="9"/>
        <w:rPr>
          <w:rFonts w:ascii="黑体" w:hAnsi="黑体" w:eastAsia="黑体"/>
          <w:sz w:val="32"/>
          <w:szCs w:val="32"/>
          <w:highlight w:val="none"/>
        </w:rPr>
      </w:pPr>
      <w:r>
        <w:rPr>
          <w:rFonts w:hint="eastAsia" w:ascii="黑体" w:hAnsi="黑体" w:eastAsia="黑体"/>
          <w:sz w:val="32"/>
          <w:szCs w:val="32"/>
          <w:highlight w:val="none"/>
        </w:rPr>
        <w:t>三、部门预算绩效分析</w:t>
      </w:r>
    </w:p>
    <w:p w14:paraId="6F7340A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zh-CN"/>
        </w:rPr>
      </w:pPr>
      <w:r>
        <w:rPr>
          <w:rFonts w:hint="eastAsia" w:ascii="楷体_GB2312" w:eastAsia="楷体_GB2312"/>
          <w:b/>
          <w:sz w:val="32"/>
          <w:szCs w:val="32"/>
          <w:highlight w:val="none"/>
        </w:rPr>
        <w:t>（一）部门预算总体绩效分析。</w:t>
      </w:r>
      <w:r>
        <w:rPr>
          <w:rFonts w:hint="eastAsia" w:ascii="仿宋_GB2312" w:hAnsi="宋体" w:eastAsia="仿宋_GB2312" w:cs="宋体"/>
          <w:color w:val="000000"/>
          <w:kern w:val="0"/>
          <w:sz w:val="32"/>
          <w:szCs w:val="32"/>
          <w:highlight w:val="none"/>
          <w:lang w:val="zh-CN"/>
        </w:rPr>
        <w:t>严格按照县级部门预算编制通知和有关要求，按时完成基础库和项目库的维护和报送。注重基础信息资料的准确性，凡有</w:t>
      </w:r>
      <w:r>
        <w:rPr>
          <w:rFonts w:hint="eastAsia" w:ascii="仿宋_GB2312" w:hAnsi="宋体" w:eastAsia="仿宋_GB2312" w:cs="宋体"/>
          <w:color w:val="000000"/>
          <w:kern w:val="0"/>
          <w:sz w:val="32"/>
          <w:szCs w:val="32"/>
          <w:lang w:val="zh-CN"/>
        </w:rPr>
        <w:t>发生变化的数据及时对基础库进行维护，在保证实效的同时确保了信息和数据的完整性和准确性。严格执行收入预算编制口径，做到了应编尽编，无一漏报。严格执行支出预算“人员经费按标准、日常公用按定额、专项经费按项目”的编制口径，并将 “三公”经费支出预算列为编制重点，保证了支出预算编制的准确性和规范性。</w:t>
      </w:r>
    </w:p>
    <w:p w14:paraId="0D039304">
      <w:pPr>
        <w:outlineLvl w:val="9"/>
        <w:rPr>
          <w:rFonts w:ascii="仿宋_GB2312" w:eastAsia="仿宋_GB2312"/>
          <w:sz w:val="32"/>
          <w:szCs w:val="32"/>
          <w:highlight w:val="none"/>
        </w:rPr>
      </w:pPr>
    </w:p>
    <w:p w14:paraId="522532A6">
      <w:pPr>
        <w:widowControl/>
        <w:adjustRightInd w:val="0"/>
        <w:snapToGrid w:val="0"/>
        <w:spacing w:line="578" w:lineRule="exact"/>
        <w:ind w:firstLine="640" w:firstLineChars="200"/>
        <w:jc w:val="left"/>
        <w:outlineLvl w:val="9"/>
        <w:rPr>
          <w:rFonts w:hint="eastAsia" w:ascii="Times New Roman" w:hAnsi="Times New Roman" w:cs="Times New Roman"/>
          <w:color w:val="000000"/>
          <w:kern w:val="0"/>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rPr>
        <w:t>1.</w:t>
      </w:r>
      <w:r>
        <w:rPr>
          <w:rFonts w:hint="eastAsia" w:ascii="楷体_GB2312" w:hAnsi="楷体_GB2312" w:eastAsia="楷体_GB2312" w:cs="楷体_GB2312"/>
          <w:color w:val="000000"/>
          <w:kern w:val="0"/>
          <w:sz w:val="32"/>
          <w:szCs w:val="32"/>
          <w:highlight w:val="none"/>
          <w:shd w:val="clear" w:color="auto" w:fill="FFFFFF"/>
          <w:lang w:val="zh-CN"/>
        </w:rPr>
        <w:t>履职</w:t>
      </w:r>
      <w:r>
        <w:rPr>
          <w:rFonts w:hint="eastAsia" w:ascii="楷体_GB2312" w:hAnsi="楷体_GB2312" w:eastAsia="楷体_GB2312" w:cs="楷体_GB2312"/>
          <w:color w:val="000000"/>
          <w:kern w:val="0"/>
          <w:sz w:val="32"/>
          <w:szCs w:val="32"/>
          <w:highlight w:val="none"/>
          <w:shd w:val="clear" w:color="auto" w:fill="FFFFFF"/>
        </w:rPr>
        <w:t>效能</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仿宋_GB2312" w:hAnsi="宋体" w:eastAsia="仿宋_GB2312" w:cs="宋体"/>
          <w:color w:val="000000"/>
          <w:kern w:val="0"/>
          <w:sz w:val="32"/>
          <w:szCs w:val="32"/>
          <w:highlight w:val="none"/>
          <w:lang w:val="en-US" w:eastAsia="zh-CN"/>
        </w:rPr>
        <w:t>202</w:t>
      </w:r>
      <w:r>
        <w:rPr>
          <w:rFonts w:hint="eastAsia" w:ascii="仿宋_GB2312" w:hAnsi="宋体" w:cs="宋体"/>
          <w:color w:val="000000"/>
          <w:kern w:val="0"/>
          <w:sz w:val="32"/>
          <w:szCs w:val="32"/>
          <w:highlight w:val="none"/>
          <w:lang w:val="en-US" w:eastAsia="zh-CN"/>
        </w:rPr>
        <w:t>3</w:t>
      </w:r>
      <w:r>
        <w:rPr>
          <w:rFonts w:hint="eastAsia" w:ascii="仿宋_GB2312" w:hAnsi="宋体" w:eastAsia="仿宋_GB2312" w:cs="宋体"/>
          <w:color w:val="000000"/>
          <w:kern w:val="0"/>
          <w:sz w:val="32"/>
          <w:szCs w:val="32"/>
          <w:highlight w:val="none"/>
          <w:lang w:val="zh-CN"/>
        </w:rPr>
        <w:t>年我局预算资金均较准确编制了当年计划完成工作任务和预期要实现的目标，部门整体绩效目标完整、合理反映部门年度职责履行情况，项目绩效目标编制明确、量化。</w:t>
      </w:r>
    </w:p>
    <w:p w14:paraId="347F2285">
      <w:pPr>
        <w:widowControl/>
        <w:adjustRightInd w:val="0"/>
        <w:snapToGrid w:val="0"/>
        <w:spacing w:line="580" w:lineRule="exact"/>
        <w:ind w:firstLine="640" w:firstLineChars="200"/>
        <w:contextualSpacing/>
        <w:jc w:val="left"/>
        <w:outlineLvl w:val="9"/>
        <w:rPr>
          <w:rFonts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rPr>
        <w:t>2.</w:t>
      </w:r>
      <w:r>
        <w:rPr>
          <w:rFonts w:hint="eastAsia" w:ascii="楷体_GB2312" w:hAnsi="楷体_GB2312" w:eastAsia="楷体_GB2312" w:cs="楷体_GB2312"/>
          <w:color w:val="000000"/>
          <w:kern w:val="0"/>
          <w:sz w:val="32"/>
          <w:szCs w:val="32"/>
          <w:highlight w:val="none"/>
          <w:shd w:val="clear" w:color="auto" w:fill="FFFFFF"/>
          <w:lang w:val="zh-CN"/>
        </w:rPr>
        <w:t>预算管理。</w:t>
      </w:r>
      <w:r>
        <w:rPr>
          <w:rFonts w:hint="eastAsia" w:ascii="仿宋_GB2312" w:hAnsi="宋体" w:eastAsia="仿宋_GB2312" w:cs="宋体"/>
          <w:color w:val="000000"/>
          <w:kern w:val="0"/>
          <w:sz w:val="32"/>
          <w:szCs w:val="32"/>
          <w:highlight w:val="none"/>
          <w:lang w:val="zh-CN"/>
        </w:rPr>
        <w:t>资金在合理有序的控制状态下使用，严格执行预算，严格按照资金支出程序，控制各项经费支出。</w:t>
      </w:r>
      <w:r>
        <w:rPr>
          <w:rFonts w:hint="eastAsia" w:ascii="仿宋_GB2312" w:hAnsi="宋体" w:eastAsia="仿宋_GB2312" w:cs="宋体"/>
          <w:color w:val="000000"/>
          <w:kern w:val="0"/>
          <w:sz w:val="32"/>
          <w:szCs w:val="32"/>
          <w:highlight w:val="none"/>
          <w:lang w:val="en-US" w:eastAsia="zh-CN"/>
        </w:rPr>
        <w:t>202</w:t>
      </w:r>
      <w:r>
        <w:rPr>
          <w:rFonts w:hint="eastAsia" w:ascii="仿宋_GB2312" w:hAnsi="宋体" w:cs="宋体"/>
          <w:color w:val="000000"/>
          <w:kern w:val="0"/>
          <w:sz w:val="32"/>
          <w:szCs w:val="32"/>
          <w:highlight w:val="none"/>
          <w:lang w:val="en-US" w:eastAsia="zh-CN"/>
        </w:rPr>
        <w:t>3</w:t>
      </w:r>
      <w:r>
        <w:rPr>
          <w:rFonts w:hint="eastAsia" w:ascii="仿宋_GB2312" w:hAnsi="宋体" w:eastAsia="仿宋_GB2312" w:cs="宋体"/>
          <w:color w:val="000000"/>
          <w:kern w:val="0"/>
          <w:sz w:val="32"/>
          <w:szCs w:val="32"/>
          <w:highlight w:val="none"/>
          <w:lang w:val="en-US" w:eastAsia="zh-CN"/>
        </w:rPr>
        <w:t>年无违规使用资金记录。</w:t>
      </w:r>
    </w:p>
    <w:p w14:paraId="65C0383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宋体" w:eastAsia="仿宋_GB2312" w:cs="宋体"/>
          <w:color w:val="000000"/>
          <w:kern w:val="0"/>
          <w:sz w:val="32"/>
          <w:szCs w:val="32"/>
          <w:highlight w:val="none"/>
          <w:lang w:val="zh-CN"/>
        </w:rPr>
      </w:pPr>
      <w:r>
        <w:rPr>
          <w:rFonts w:hint="eastAsia" w:ascii="楷体_GB2312" w:hAnsi="楷体_GB2312" w:eastAsia="楷体_GB2312" w:cs="楷体_GB2312"/>
          <w:color w:val="000000"/>
          <w:kern w:val="0"/>
          <w:sz w:val="32"/>
          <w:szCs w:val="32"/>
          <w:highlight w:val="none"/>
          <w:shd w:val="clear" w:color="auto" w:fill="FFFFFF"/>
        </w:rPr>
        <w:t>3.</w:t>
      </w:r>
      <w:r>
        <w:rPr>
          <w:rFonts w:hint="eastAsia" w:ascii="楷体_GB2312" w:hAnsi="楷体_GB2312" w:eastAsia="楷体_GB2312" w:cs="楷体_GB2312"/>
          <w:color w:val="000000"/>
          <w:kern w:val="0"/>
          <w:sz w:val="32"/>
          <w:szCs w:val="32"/>
          <w:highlight w:val="none"/>
          <w:shd w:val="clear" w:color="auto" w:fill="FFFFFF"/>
          <w:lang w:val="zh-CN"/>
        </w:rPr>
        <w:t>财务管理。</w:t>
      </w:r>
      <w:r>
        <w:rPr>
          <w:rFonts w:hint="eastAsia" w:ascii="仿宋_GB2312" w:hAnsi="宋体" w:eastAsia="仿宋_GB2312" w:cs="宋体"/>
          <w:color w:val="000000"/>
          <w:kern w:val="0"/>
          <w:sz w:val="32"/>
          <w:szCs w:val="32"/>
          <w:highlight w:val="none"/>
          <w:lang w:val="zh-CN"/>
        </w:rPr>
        <w:t>我局有健全的财务管理制度与内控制度，财务岗位分别设置了会计岗位、出纳岗位、采购岗位、固定资产管理岗位，均按照不相容职务相分离的原则进行的设置。严格规范的使用资金，提高了资金的使用效率。</w:t>
      </w:r>
    </w:p>
    <w:p w14:paraId="31F617B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宋体" w:eastAsia="仿宋_GB2312" w:cs="宋体"/>
          <w:color w:val="000000"/>
          <w:kern w:val="0"/>
          <w:sz w:val="32"/>
          <w:szCs w:val="32"/>
          <w:highlight w:val="none"/>
          <w:lang w:val="zh-CN"/>
        </w:rPr>
      </w:pPr>
      <w:r>
        <w:rPr>
          <w:rFonts w:hint="eastAsia" w:ascii="楷体_GB2312" w:hAnsi="楷体_GB2312" w:eastAsia="楷体_GB2312" w:cs="楷体_GB2312"/>
          <w:color w:val="000000"/>
          <w:kern w:val="0"/>
          <w:sz w:val="32"/>
          <w:szCs w:val="32"/>
          <w:highlight w:val="none"/>
          <w:shd w:val="clear" w:color="auto" w:fill="FFFFFF"/>
        </w:rPr>
        <w:t>4.</w:t>
      </w:r>
      <w:r>
        <w:rPr>
          <w:rFonts w:hint="eastAsia" w:ascii="楷体_GB2312" w:hAnsi="楷体_GB2312" w:eastAsia="楷体_GB2312" w:cs="楷体_GB2312"/>
          <w:color w:val="000000"/>
          <w:kern w:val="0"/>
          <w:sz w:val="32"/>
          <w:szCs w:val="32"/>
          <w:highlight w:val="none"/>
          <w:shd w:val="clear" w:color="auto" w:fill="FFFFFF"/>
          <w:lang w:val="zh-CN"/>
        </w:rPr>
        <w:t>资产管理。</w:t>
      </w:r>
      <w:r>
        <w:rPr>
          <w:rFonts w:hint="eastAsia" w:ascii="仿宋_GB2312" w:hAnsi="宋体" w:eastAsia="仿宋_GB2312" w:cs="宋体"/>
          <w:color w:val="000000"/>
          <w:kern w:val="0"/>
          <w:sz w:val="32"/>
          <w:szCs w:val="32"/>
          <w:highlight w:val="none"/>
          <w:lang w:val="zh-CN"/>
        </w:rPr>
        <w:t>我局的资产利用率较高、无投资性资产，因此不存在资产盘活的相关情况。</w:t>
      </w:r>
    </w:p>
    <w:p w14:paraId="234E1A6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宋体" w:eastAsia="仿宋_GB2312" w:cs="宋体"/>
          <w:color w:val="000000"/>
          <w:kern w:val="0"/>
          <w:sz w:val="32"/>
          <w:szCs w:val="32"/>
          <w:highlight w:val="none"/>
          <w:lang w:val="zh-CN"/>
        </w:rPr>
      </w:pPr>
      <w:r>
        <w:rPr>
          <w:rFonts w:hint="eastAsia" w:ascii="楷体_GB2312" w:hAnsi="楷体_GB2312" w:eastAsia="楷体_GB2312" w:cs="楷体_GB2312"/>
          <w:color w:val="000000"/>
          <w:kern w:val="0"/>
          <w:sz w:val="32"/>
          <w:szCs w:val="32"/>
          <w:highlight w:val="none"/>
          <w:shd w:val="clear" w:color="auto" w:fill="FFFFFF"/>
        </w:rPr>
        <w:t>5.</w:t>
      </w:r>
      <w:r>
        <w:rPr>
          <w:rFonts w:hint="eastAsia" w:ascii="楷体_GB2312" w:hAnsi="楷体_GB2312" w:eastAsia="楷体_GB2312" w:cs="楷体_GB2312"/>
          <w:color w:val="000000"/>
          <w:kern w:val="0"/>
          <w:sz w:val="32"/>
          <w:szCs w:val="32"/>
          <w:highlight w:val="none"/>
          <w:shd w:val="clear" w:color="auto" w:fill="FFFFFF"/>
          <w:lang w:val="zh-CN"/>
        </w:rPr>
        <w:t>采购管理。</w:t>
      </w:r>
      <w:r>
        <w:rPr>
          <w:rFonts w:hint="eastAsia" w:ascii="仿宋_GB2312" w:hAnsi="宋体" w:eastAsia="仿宋_GB2312" w:cs="宋体"/>
          <w:color w:val="000000"/>
          <w:kern w:val="0"/>
          <w:sz w:val="32"/>
          <w:szCs w:val="32"/>
          <w:highlight w:val="none"/>
          <w:lang w:val="zh-CN"/>
        </w:rPr>
        <w:t>我局积极支持中小企业发展，</w:t>
      </w:r>
      <w:r>
        <w:rPr>
          <w:rFonts w:hint="eastAsia" w:ascii="仿宋_GB2312" w:hAnsi="宋体" w:eastAsia="仿宋_GB2312" w:cs="宋体"/>
          <w:color w:val="000000"/>
          <w:kern w:val="0"/>
          <w:sz w:val="32"/>
          <w:szCs w:val="32"/>
          <w:highlight w:val="none"/>
          <w:lang w:val="en-US" w:eastAsia="zh-CN"/>
        </w:rPr>
        <w:t>2023年</w:t>
      </w:r>
      <w:r>
        <w:rPr>
          <w:rFonts w:hint="eastAsia" w:ascii="仿宋_GB2312" w:hAnsi="宋体" w:eastAsia="仿宋_GB2312" w:cs="宋体"/>
          <w:color w:val="000000"/>
          <w:kern w:val="0"/>
          <w:sz w:val="32"/>
          <w:szCs w:val="32"/>
          <w:highlight w:val="none"/>
          <w:lang w:val="zh-CN"/>
        </w:rPr>
        <w:t>采购执行率</w:t>
      </w:r>
      <w:r>
        <w:rPr>
          <w:rFonts w:hint="eastAsia" w:ascii="仿宋_GB2312" w:hAnsi="宋体" w:eastAsia="仿宋_GB2312" w:cs="宋体"/>
          <w:color w:val="000000"/>
          <w:kern w:val="0"/>
          <w:sz w:val="32"/>
          <w:szCs w:val="32"/>
          <w:highlight w:val="none"/>
          <w:lang w:val="en-US" w:eastAsia="zh-CN"/>
        </w:rPr>
        <w:t>100%</w:t>
      </w:r>
      <w:r>
        <w:rPr>
          <w:rFonts w:hint="eastAsia" w:ascii="仿宋_GB2312" w:hAnsi="宋体" w:eastAsia="仿宋_GB2312" w:cs="宋体"/>
          <w:color w:val="000000"/>
          <w:kern w:val="0"/>
          <w:sz w:val="32"/>
          <w:szCs w:val="32"/>
          <w:highlight w:val="none"/>
          <w:lang w:val="zh-CN"/>
        </w:rPr>
        <w:t>。</w:t>
      </w:r>
    </w:p>
    <w:p w14:paraId="42F88041">
      <w:pPr>
        <w:ind w:firstLine="643" w:firstLineChars="200"/>
        <w:outlineLvl w:val="9"/>
        <w:rPr>
          <w:rFonts w:hint="default" w:ascii="Times New Roman" w:hAnsi="Times New Roman" w:eastAsia="仿宋_GB2312" w:cs="Times New Roman"/>
          <w:sz w:val="32"/>
          <w:szCs w:val="32"/>
          <w:lang w:val="zh-CN" w:eastAsia="zh-CN"/>
        </w:rPr>
      </w:pPr>
      <w:r>
        <w:rPr>
          <w:rFonts w:hint="eastAsia" w:ascii="楷体_GB2312" w:eastAsia="楷体_GB2312"/>
          <w:b/>
          <w:sz w:val="32"/>
          <w:szCs w:val="32"/>
        </w:rPr>
        <w:t>（二）部门预算项目绩效分析。</w:t>
      </w:r>
      <w:r>
        <w:rPr>
          <w:rFonts w:hint="default" w:ascii="Times New Roman" w:hAnsi="Times New Roman" w:eastAsia="仿宋_GB2312" w:cs="Times New Roman"/>
          <w:sz w:val="32"/>
          <w:szCs w:val="32"/>
          <w:lang w:val="zh-CN" w:eastAsia="zh-CN"/>
        </w:rPr>
        <w:t>该类项目总数</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zh-CN" w:eastAsia="zh-CN"/>
        </w:rPr>
        <w:t>个，涉及预算总金额</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128.77</w:t>
      </w:r>
      <w:r>
        <w:rPr>
          <w:rFonts w:hint="default" w:ascii="Times New Roman" w:hAnsi="Times New Roman" w:eastAsia="仿宋_GB2312" w:cs="Times New Roman"/>
          <w:sz w:val="32"/>
          <w:szCs w:val="32"/>
          <w:lang w:val="zh-CN" w:eastAsia="zh-CN"/>
        </w:rPr>
        <w:t>万元，</w:t>
      </w:r>
      <w:r>
        <w:rPr>
          <w:rFonts w:hint="default"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月预算执行总体进度为</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%，其中：</w:t>
      </w:r>
      <w:r>
        <w:rPr>
          <w:rFonts w:hint="default" w:ascii="Times New Roman" w:hAnsi="Times New Roman" w:eastAsia="仿宋_GB2312" w:cs="Times New Roman"/>
          <w:sz w:val="32"/>
          <w:szCs w:val="32"/>
          <w:lang w:val="zh-CN" w:eastAsia="zh-CN"/>
        </w:rPr>
        <w:t>预算结余率大于</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zh-CN" w:eastAsia="zh-CN"/>
        </w:rPr>
        <w:t>的项目共计</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zh-CN" w:eastAsia="zh-CN"/>
        </w:rPr>
        <w:t>个。</w:t>
      </w:r>
    </w:p>
    <w:p w14:paraId="678425CA">
      <w:pPr>
        <w:ind w:firstLine="640" w:firstLineChars="200"/>
        <w:outlineLvl w:val="9"/>
        <w:rPr>
          <w:rFonts w:eastAsia="仿宋_GB2312"/>
          <w:sz w:val="32"/>
          <w:szCs w:val="32"/>
          <w:highlight w:val="yellow"/>
          <w:lang w:val="zh-CN"/>
        </w:rPr>
      </w:pPr>
      <w:r>
        <w:rPr>
          <w:rFonts w:hint="default" w:ascii="Times New Roman" w:hAnsi="Times New Roman" w:eastAsia="仿宋_GB2312" w:cs="Times New Roman"/>
          <w:sz w:val="32"/>
          <w:szCs w:val="32"/>
          <w:lang w:val="en-US" w:eastAsia="zh-CN"/>
        </w:rPr>
        <w:t>阶段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一次性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项目绩效分析。</w:t>
      </w:r>
      <w:r>
        <w:rPr>
          <w:rFonts w:hint="default" w:ascii="Times New Roman" w:hAnsi="Times New Roman" w:eastAsia="仿宋_GB2312" w:cs="Times New Roman"/>
          <w:sz w:val="32"/>
          <w:szCs w:val="32"/>
          <w:lang w:val="zh-CN" w:eastAsia="zh-CN"/>
        </w:rPr>
        <w:t>该类项目总数</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zh-CN" w:eastAsia="zh-CN"/>
        </w:rPr>
        <w:t>个，涉及预算总金额</w:t>
      </w:r>
      <w:r>
        <w:rPr>
          <w:rFonts w:hint="eastAsia" w:ascii="Times New Roman" w:hAnsi="Times New Roman" w:eastAsia="仿宋_GB2312" w:cs="Times New Roman"/>
          <w:sz w:val="32"/>
          <w:szCs w:val="32"/>
          <w:lang w:val="en-US" w:eastAsia="zh-CN"/>
        </w:rPr>
        <w:t>255</w:t>
      </w:r>
      <w:r>
        <w:rPr>
          <w:rFonts w:hint="default" w:ascii="Times New Roman" w:hAnsi="Times New Roman" w:eastAsia="仿宋_GB2312" w:cs="Times New Roman"/>
          <w:sz w:val="32"/>
          <w:szCs w:val="32"/>
          <w:lang w:val="zh-CN" w:eastAsia="zh-CN"/>
        </w:rPr>
        <w:t>万元，</w:t>
      </w:r>
      <w:r>
        <w:rPr>
          <w:rFonts w:hint="default"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月预算执行总体进度为</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96.08</w:t>
      </w:r>
      <w:r>
        <w:rPr>
          <w:rFonts w:hint="default" w:ascii="Times New Roman" w:hAnsi="Times New Roman" w:eastAsia="仿宋_GB2312" w:cs="Times New Roman"/>
          <w:sz w:val="32"/>
          <w:szCs w:val="32"/>
          <w:lang w:val="zh-CN"/>
        </w:rPr>
        <w:t>%，其中：</w:t>
      </w:r>
      <w:r>
        <w:rPr>
          <w:rFonts w:hint="default" w:ascii="Times New Roman" w:hAnsi="Times New Roman" w:eastAsia="仿宋_GB2312" w:cs="Times New Roman"/>
          <w:sz w:val="32"/>
          <w:szCs w:val="32"/>
          <w:lang w:val="zh-CN" w:eastAsia="zh-CN"/>
        </w:rPr>
        <w:t>预算结余率大于</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zh-CN" w:eastAsia="zh-CN"/>
        </w:rPr>
        <w:t>的项目共计</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zh-CN" w:eastAsia="zh-CN"/>
        </w:rPr>
        <w:t>个。</w:t>
      </w:r>
    </w:p>
    <w:p w14:paraId="405D3167">
      <w:pPr>
        <w:ind w:firstLine="640" w:firstLineChars="200"/>
        <w:outlineLvl w:val="9"/>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zh-CN" w:eastAsia="zh-CN"/>
        </w:rPr>
        <w:t>项目决策。我单位根据部门职能、发展规划等实际工作的需要，有效的确定了项目，设置年度绩效目标、绩效指标及指标值。并与相应的预算支出内容、范围、方向、效果紧密相关。经过调查研究和科学论证，符合客观实际，能够在一定期限内如期实现。</w:t>
      </w:r>
    </w:p>
    <w:p w14:paraId="38D96422">
      <w:pPr>
        <w:ind w:firstLine="640" w:firstLineChars="200"/>
        <w:outlineLvl w:val="9"/>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2.项目执行</w:t>
      </w:r>
      <w:r>
        <w:rPr>
          <w:rFonts w:hint="eastAsia" w:ascii="Times New Roman" w:hAnsi="Times New Roman" w:eastAsia="仿宋_GB2312" w:cs="Times New Roman"/>
          <w:sz w:val="32"/>
          <w:szCs w:val="32"/>
          <w:lang w:val="zh-CN" w:eastAsia="zh-CN"/>
        </w:rPr>
        <w:t>。我单位绩效目标设置较合理，未对项目进行调整，按照绩效目标任务按时按质按量完成了。</w:t>
      </w:r>
    </w:p>
    <w:p w14:paraId="4CC3A84F">
      <w:pPr>
        <w:ind w:firstLine="640" w:firstLineChars="200"/>
        <w:outlineLvl w:val="9"/>
        <w:rPr>
          <w:rFonts w:hint="default" w:ascii="Times New Roman" w:hAnsi="Times New Roman" w:eastAsia="仿宋_GB2312" w:cs="Times New Roman"/>
          <w:sz w:val="32"/>
          <w:szCs w:val="32"/>
          <w:highlight w:val="none"/>
          <w:lang w:val="zh-CN"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zh-CN" w:eastAsia="zh-CN"/>
        </w:rPr>
        <w:t>目标实现。我单位能够较好地完成</w:t>
      </w:r>
      <w:r>
        <w:rPr>
          <w:rFonts w:hint="eastAsia" w:ascii="Times New Roman" w:hAnsi="Times New Roman" w:eastAsia="仿宋_GB2312" w:cs="Times New Roman"/>
          <w:sz w:val="32"/>
          <w:szCs w:val="32"/>
          <w:lang w:val="en-US" w:eastAsia="zh-CN"/>
        </w:rPr>
        <w:t>2023年度目标任务，</w:t>
      </w:r>
      <w:r>
        <w:rPr>
          <w:rFonts w:hint="eastAsia" w:ascii="Times New Roman" w:hAnsi="Times New Roman" w:eastAsia="仿宋_GB2312" w:cs="Times New Roman"/>
          <w:sz w:val="32"/>
          <w:szCs w:val="32"/>
          <w:highlight w:val="none"/>
          <w:lang w:val="en-US" w:eastAsia="zh-CN"/>
        </w:rPr>
        <w:t>效果很好，目标偏</w:t>
      </w:r>
      <w:r>
        <w:rPr>
          <w:rFonts w:hint="eastAsia" w:eastAsia="仿宋_GB2312" w:cs="Times New Roman"/>
          <w:sz w:val="32"/>
          <w:szCs w:val="32"/>
          <w:highlight w:val="none"/>
          <w:lang w:val="en-US" w:eastAsia="zh-CN"/>
        </w:rPr>
        <w:t>离</w:t>
      </w:r>
      <w:r>
        <w:rPr>
          <w:rFonts w:hint="eastAsia" w:ascii="Times New Roman" w:hAnsi="Times New Roman" w:eastAsia="仿宋_GB2312" w:cs="Times New Roman"/>
          <w:sz w:val="32"/>
          <w:szCs w:val="32"/>
          <w:highlight w:val="none"/>
          <w:lang w:val="en-US" w:eastAsia="zh-CN"/>
        </w:rPr>
        <w:t>度微乎其微。</w:t>
      </w:r>
    </w:p>
    <w:p w14:paraId="044EDDDA">
      <w:pPr>
        <w:ind w:firstLine="643" w:firstLineChars="200"/>
        <w:outlineLvl w:val="9"/>
        <w:rPr>
          <w:rFonts w:hint="eastAsia" w:eastAsia="仿宋_GB2312"/>
          <w:sz w:val="32"/>
          <w:szCs w:val="32"/>
          <w:highlight w:val="none"/>
          <w:lang w:val="zh-CN"/>
        </w:rPr>
      </w:pPr>
      <w:r>
        <w:rPr>
          <w:rFonts w:hint="eastAsia" w:ascii="楷体_GB2312" w:eastAsia="楷体_GB2312"/>
          <w:b/>
          <w:sz w:val="32"/>
          <w:szCs w:val="32"/>
          <w:highlight w:val="none"/>
        </w:rPr>
        <w:t>（三）重点领域绩效分析。</w:t>
      </w:r>
      <w:r>
        <w:rPr>
          <w:rFonts w:hint="eastAsia" w:eastAsia="仿宋_GB2312"/>
          <w:sz w:val="32"/>
          <w:szCs w:val="32"/>
          <w:highlight w:val="none"/>
          <w:lang w:val="zh-CN"/>
        </w:rPr>
        <w:t>无</w:t>
      </w:r>
    </w:p>
    <w:p w14:paraId="50232AEA">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outlineLvl w:val="9"/>
        <w:rPr>
          <w:rFonts w:hint="default" w:ascii="Times New Roman" w:hAnsi="Times New Roman" w:eastAsia="仿宋_GB2312" w:cs="Times New Roman"/>
          <w:sz w:val="32"/>
          <w:szCs w:val="32"/>
          <w:highlight w:val="none"/>
          <w:lang w:val="zh-CN" w:eastAsia="zh-CN"/>
        </w:rPr>
      </w:pPr>
      <w:r>
        <w:rPr>
          <w:rFonts w:hint="eastAsia" w:ascii="楷体_GB2312" w:eastAsia="楷体_GB2312"/>
          <w:b/>
          <w:sz w:val="32"/>
          <w:szCs w:val="32"/>
          <w:highlight w:val="none"/>
        </w:rPr>
        <w:t>（四）绩效结果应用情况。</w:t>
      </w:r>
      <w:r>
        <w:rPr>
          <w:rFonts w:hint="eastAsia" w:ascii="Times New Roman" w:hAnsi="Times New Roman" w:eastAsia="仿宋_GB2312" w:cs="Times New Roman"/>
          <w:sz w:val="32"/>
          <w:szCs w:val="32"/>
          <w:highlight w:val="none"/>
          <w:lang w:val="zh-CN" w:eastAsia="zh-CN"/>
        </w:rPr>
        <w:t>通过绩效评价确保项目能够达到预期的目标，实现可持续发展。能够对项目评价结果不佳的，改进方式方法，为预算的准确编制、有效利用资金创造更大的价值提供了专业的途径。我局按照相关要求对项目绩效与整体绩效在大竹县人民政府网上进行了及时的信息公开。对有需要整改的项目都及时进行了整改完善。</w:t>
      </w:r>
    </w:p>
    <w:p w14:paraId="6B5790E3">
      <w:pPr>
        <w:ind w:firstLine="640" w:firstLineChars="200"/>
        <w:outlineLvl w:val="9"/>
        <w:rPr>
          <w:rFonts w:eastAsia="仿宋_GB2312"/>
          <w:sz w:val="32"/>
          <w:szCs w:val="32"/>
          <w:highlight w:val="none"/>
          <w:lang w:val="zh-CN"/>
        </w:rPr>
      </w:pPr>
    </w:p>
    <w:p w14:paraId="02D616D5">
      <w:pPr>
        <w:ind w:firstLine="640" w:firstLineChars="200"/>
        <w:outlineLvl w:val="9"/>
        <w:rPr>
          <w:rFonts w:ascii="黑体" w:hAnsi="黑体" w:eastAsia="黑体"/>
          <w:sz w:val="32"/>
          <w:szCs w:val="32"/>
          <w:highlight w:val="none"/>
        </w:rPr>
      </w:pPr>
      <w:r>
        <w:rPr>
          <w:rFonts w:hint="eastAsia" w:ascii="黑体" w:hAnsi="黑体" w:eastAsia="黑体"/>
          <w:sz w:val="32"/>
          <w:szCs w:val="32"/>
          <w:highlight w:val="none"/>
        </w:rPr>
        <w:t>四、评价结论及建议</w:t>
      </w:r>
    </w:p>
    <w:p w14:paraId="2A07D32C">
      <w:pPr>
        <w:widowControl/>
        <w:adjustRightInd w:val="0"/>
        <w:snapToGrid w:val="0"/>
        <w:spacing w:line="578" w:lineRule="exact"/>
        <w:ind w:firstLine="643" w:firstLineChars="200"/>
        <w:jc w:val="left"/>
        <w:outlineLvl w:val="9"/>
        <w:rPr>
          <w:rFonts w:hint="default" w:ascii="Times New Roman" w:hAnsi="Times New Roman" w:eastAsia="楷体_GB2312" w:cs="Times New Roman"/>
          <w:b/>
          <w:bCs/>
          <w:color w:val="000000"/>
          <w:kern w:val="0"/>
          <w:szCs w:val="32"/>
          <w:highlight w:val="none"/>
          <w:shd w:val="clear" w:color="auto" w:fill="FFFFFF"/>
          <w:lang w:val="en-US"/>
        </w:rPr>
      </w:pPr>
      <w:r>
        <w:rPr>
          <w:rFonts w:hint="eastAsia" w:ascii="楷体_GB2312" w:eastAsia="楷体_GB2312"/>
          <w:b/>
          <w:sz w:val="32"/>
          <w:szCs w:val="32"/>
          <w:highlight w:val="none"/>
        </w:rPr>
        <w:t>（一）评价结论。</w:t>
      </w:r>
      <w:r>
        <w:rPr>
          <w:rFonts w:hint="eastAsia" w:ascii="仿宋_GB2312" w:hAnsi="宋体" w:eastAsia="仿宋_GB2312" w:cs="宋体"/>
          <w:color w:val="000000"/>
          <w:kern w:val="0"/>
          <w:sz w:val="32"/>
          <w:szCs w:val="32"/>
          <w:highlight w:val="none"/>
          <w:lang w:val="zh-CN"/>
        </w:rPr>
        <w:t>20</w:t>
      </w:r>
      <w:r>
        <w:rPr>
          <w:rFonts w:hint="eastAsia" w:ascii="仿宋_GB2312" w:hAnsi="宋体" w:cs="宋体"/>
          <w:color w:val="000000"/>
          <w:kern w:val="0"/>
          <w:sz w:val="32"/>
          <w:szCs w:val="32"/>
          <w:highlight w:val="none"/>
          <w:lang w:val="en-US" w:eastAsia="zh-CN"/>
        </w:rPr>
        <w:t>23</w:t>
      </w:r>
      <w:r>
        <w:rPr>
          <w:rFonts w:hint="eastAsia" w:ascii="仿宋_GB2312" w:hAnsi="宋体" w:eastAsia="仿宋_GB2312" w:cs="宋体"/>
          <w:color w:val="000000"/>
          <w:kern w:val="0"/>
          <w:sz w:val="32"/>
          <w:szCs w:val="32"/>
          <w:highlight w:val="none"/>
          <w:lang w:val="zh-CN"/>
        </w:rPr>
        <w:t>年我局在预算编制、预算执行和支出绩效方面，都按照规定严格执行，合理安排支出，使财政资金发挥最大效益，能基本保障人员经费支出和单位全年司法行政工作任务完成。按照公开单位预算、决算、“三公”经费等要求公开的信息，固定资产由专人进行管理，做到账账、账证、账实相符，基本无闲置浪费现象。经过认真对照部门整体支出绩效评价指标体系，我局各项指标都较好达到了相关要求，自评得分为</w:t>
      </w:r>
      <w:r>
        <w:rPr>
          <w:rFonts w:hint="eastAsia" w:ascii="仿宋_GB2312" w:hAnsi="宋体" w:cs="宋体"/>
          <w:color w:val="000000"/>
          <w:kern w:val="0"/>
          <w:sz w:val="32"/>
          <w:szCs w:val="32"/>
          <w:highlight w:val="none"/>
          <w:lang w:val="en-US" w:eastAsia="zh-CN"/>
        </w:rPr>
        <w:t>100</w:t>
      </w:r>
      <w:r>
        <w:rPr>
          <w:rFonts w:hint="eastAsia" w:ascii="仿宋_GB2312" w:hAnsi="宋体" w:eastAsia="仿宋_GB2312" w:cs="宋体"/>
          <w:color w:val="000000"/>
          <w:kern w:val="0"/>
          <w:sz w:val="32"/>
          <w:szCs w:val="32"/>
          <w:highlight w:val="none"/>
          <w:lang w:val="zh-CN"/>
        </w:rPr>
        <w:t>分。</w:t>
      </w:r>
    </w:p>
    <w:p w14:paraId="029FD8C6">
      <w:pPr>
        <w:widowControl/>
        <w:adjustRightInd w:val="0"/>
        <w:snapToGrid w:val="0"/>
        <w:spacing w:line="578" w:lineRule="exact"/>
        <w:ind w:firstLine="643" w:firstLineChars="200"/>
        <w:jc w:val="left"/>
        <w:outlineLvl w:val="9"/>
        <w:rPr>
          <w:rFonts w:hint="eastAsia" w:ascii="仿宋_GB2312" w:hAnsi="宋体" w:eastAsia="仿宋_GB2312" w:cs="宋体"/>
          <w:color w:val="000000"/>
          <w:kern w:val="0"/>
          <w:sz w:val="32"/>
          <w:szCs w:val="32"/>
          <w:highlight w:val="none"/>
          <w:lang w:val="zh-CN"/>
        </w:rPr>
      </w:pPr>
      <w:r>
        <w:rPr>
          <w:rFonts w:hint="eastAsia" w:ascii="楷体_GB2312" w:eastAsia="楷体_GB2312"/>
          <w:b/>
          <w:sz w:val="32"/>
          <w:szCs w:val="32"/>
          <w:highlight w:val="none"/>
        </w:rPr>
        <w:t>（二）存在问题。</w:t>
      </w:r>
      <w:r>
        <w:rPr>
          <w:rFonts w:hint="eastAsia" w:ascii="仿宋_GB2312" w:hAnsi="宋体" w:eastAsia="仿宋_GB2312" w:cs="宋体"/>
          <w:color w:val="000000"/>
          <w:kern w:val="0"/>
          <w:sz w:val="32"/>
          <w:szCs w:val="32"/>
          <w:highlight w:val="none"/>
          <w:lang w:val="en-US" w:eastAsia="zh-CN"/>
        </w:rPr>
        <w:t>1、</w:t>
      </w:r>
      <w:r>
        <w:rPr>
          <w:rFonts w:hint="eastAsia" w:ascii="仿宋_GB2312" w:hAnsi="宋体" w:eastAsia="仿宋_GB2312" w:cs="宋体"/>
          <w:color w:val="000000"/>
          <w:kern w:val="0"/>
          <w:sz w:val="32"/>
          <w:szCs w:val="32"/>
          <w:highlight w:val="none"/>
          <w:lang w:val="zh-CN"/>
        </w:rPr>
        <w:t>经费</w:t>
      </w:r>
      <w:r>
        <w:rPr>
          <w:rFonts w:hint="eastAsia" w:ascii="仿宋_GB2312" w:hAnsi="宋体" w:cs="宋体"/>
          <w:color w:val="000000"/>
          <w:kern w:val="0"/>
          <w:sz w:val="32"/>
          <w:szCs w:val="32"/>
          <w:highlight w:val="none"/>
          <w:lang w:val="zh-CN"/>
        </w:rPr>
        <w:t>的拨付</w:t>
      </w:r>
      <w:r>
        <w:rPr>
          <w:rFonts w:hint="eastAsia" w:ascii="仿宋_GB2312" w:hAnsi="宋体" w:eastAsia="仿宋_GB2312" w:cs="宋体"/>
          <w:color w:val="000000"/>
          <w:kern w:val="0"/>
          <w:sz w:val="32"/>
          <w:szCs w:val="32"/>
          <w:highlight w:val="none"/>
          <w:lang w:val="zh-CN"/>
        </w:rPr>
        <w:t>有一定难度，基本为刚性支出。</w:t>
      </w:r>
    </w:p>
    <w:p w14:paraId="4BCA3E40">
      <w:pPr>
        <w:widowControl/>
        <w:adjustRightInd w:val="0"/>
        <w:snapToGrid w:val="0"/>
        <w:spacing w:line="578" w:lineRule="exact"/>
        <w:ind w:firstLine="640" w:firstLineChars="200"/>
        <w:jc w:val="left"/>
        <w:outlineLvl w:val="9"/>
        <w:rPr>
          <w:rFonts w:hint="eastAsia" w:ascii="Times New Roman" w:hAnsi="Times New Roman" w:eastAsia="楷体_GB2312" w:cs="Times New Roman"/>
          <w:b/>
          <w:bCs/>
          <w:color w:val="000000"/>
          <w:kern w:val="0"/>
          <w:szCs w:val="32"/>
          <w:highlight w:val="none"/>
          <w:shd w:val="clear" w:color="auto" w:fill="FFFFFF"/>
          <w:lang w:val="en-US" w:eastAsia="zh-CN"/>
        </w:rPr>
      </w:pPr>
      <w:r>
        <w:rPr>
          <w:rFonts w:hint="eastAsia" w:ascii="仿宋_GB2312" w:hAnsi="宋体" w:eastAsia="仿宋_GB2312" w:cs="宋体"/>
          <w:color w:val="000000"/>
          <w:kern w:val="0"/>
          <w:sz w:val="32"/>
          <w:szCs w:val="32"/>
          <w:highlight w:val="none"/>
          <w:lang w:val="en-US" w:eastAsia="zh-CN"/>
        </w:rPr>
        <w:t>2、</w:t>
      </w:r>
      <w:r>
        <w:rPr>
          <w:rFonts w:hint="eastAsia" w:ascii="仿宋_GB2312" w:hAnsi="宋体" w:cs="宋体"/>
          <w:color w:val="000000"/>
          <w:kern w:val="0"/>
          <w:sz w:val="32"/>
          <w:szCs w:val="32"/>
          <w:highlight w:val="none"/>
          <w:lang w:val="en-US" w:eastAsia="zh-CN"/>
        </w:rPr>
        <w:t>项目的</w:t>
      </w:r>
      <w:r>
        <w:rPr>
          <w:rFonts w:hint="eastAsia" w:ascii="仿宋_GB2312" w:hAnsi="宋体" w:eastAsia="仿宋_GB2312" w:cs="宋体"/>
          <w:color w:val="000000"/>
          <w:kern w:val="0"/>
          <w:sz w:val="32"/>
          <w:szCs w:val="32"/>
          <w:highlight w:val="none"/>
          <w:lang w:val="en-US" w:eastAsia="zh-CN"/>
        </w:rPr>
        <w:t>预算编制工作细化</w:t>
      </w:r>
      <w:r>
        <w:rPr>
          <w:rFonts w:hint="eastAsia" w:ascii="仿宋_GB2312" w:hAnsi="宋体" w:cs="宋体"/>
          <w:color w:val="000000"/>
          <w:kern w:val="0"/>
          <w:sz w:val="32"/>
          <w:szCs w:val="32"/>
          <w:highlight w:val="none"/>
          <w:lang w:val="en-US" w:eastAsia="zh-CN"/>
        </w:rPr>
        <w:t>程度还需提高</w:t>
      </w:r>
      <w:r>
        <w:rPr>
          <w:rFonts w:hint="eastAsia" w:ascii="仿宋_GB2312" w:hAnsi="宋体" w:eastAsia="仿宋_GB2312" w:cs="宋体"/>
          <w:color w:val="000000"/>
          <w:kern w:val="0"/>
          <w:sz w:val="32"/>
          <w:szCs w:val="32"/>
          <w:highlight w:val="none"/>
          <w:lang w:val="en-US" w:eastAsia="zh-CN"/>
        </w:rPr>
        <w:t>，预算执行力度</w:t>
      </w:r>
      <w:r>
        <w:rPr>
          <w:rFonts w:hint="eastAsia" w:ascii="仿宋_GB2312" w:hAnsi="宋体" w:cs="宋体"/>
          <w:color w:val="000000"/>
          <w:kern w:val="0"/>
          <w:sz w:val="32"/>
          <w:szCs w:val="32"/>
          <w:highlight w:val="none"/>
          <w:lang w:val="en-US" w:eastAsia="zh-CN"/>
        </w:rPr>
        <w:t>更</w:t>
      </w:r>
      <w:r>
        <w:rPr>
          <w:rFonts w:hint="eastAsia" w:ascii="仿宋_GB2312" w:hAnsi="宋体" w:eastAsia="仿宋_GB2312" w:cs="宋体"/>
          <w:color w:val="000000"/>
          <w:kern w:val="0"/>
          <w:sz w:val="32"/>
          <w:szCs w:val="32"/>
          <w:highlight w:val="none"/>
          <w:lang w:val="en-US" w:eastAsia="zh-CN"/>
        </w:rPr>
        <w:t>需要县级财政加大支持力度。</w:t>
      </w:r>
    </w:p>
    <w:p w14:paraId="12A1A64C">
      <w:pPr>
        <w:widowControl/>
        <w:adjustRightInd w:val="0"/>
        <w:snapToGrid w:val="0"/>
        <w:spacing w:line="578" w:lineRule="exact"/>
        <w:ind w:firstLine="643" w:firstLineChars="200"/>
        <w:jc w:val="left"/>
        <w:outlineLvl w:val="9"/>
        <w:rPr>
          <w:rFonts w:hint="eastAsia" w:ascii="仿宋_GB2312" w:hAnsi="宋体" w:eastAsia="仿宋_GB2312" w:cs="宋体"/>
          <w:color w:val="000000"/>
          <w:kern w:val="0"/>
          <w:sz w:val="32"/>
          <w:szCs w:val="32"/>
          <w:highlight w:val="none"/>
          <w:lang w:val="en-US" w:eastAsia="zh-CN"/>
        </w:rPr>
      </w:pPr>
      <w:r>
        <w:rPr>
          <w:rFonts w:hint="eastAsia" w:ascii="楷体_GB2312" w:eastAsia="楷体_GB2312"/>
          <w:b/>
          <w:sz w:val="32"/>
          <w:szCs w:val="32"/>
          <w:highlight w:val="none"/>
        </w:rPr>
        <w:t>（三）改进建议。</w:t>
      </w:r>
      <w:r>
        <w:rPr>
          <w:rFonts w:hint="eastAsia" w:ascii="仿宋_GB2312" w:hAnsi="宋体" w:eastAsia="仿宋_GB2312" w:cs="宋体"/>
          <w:color w:val="000000"/>
          <w:kern w:val="0"/>
          <w:sz w:val="32"/>
          <w:szCs w:val="32"/>
          <w:highlight w:val="none"/>
          <w:lang w:val="en-US" w:eastAsia="zh-CN"/>
        </w:rPr>
        <w:t>细化预算编制工作，认真做好预算的编制。进一步加强单位各股室的预算管理意识，严格按照预算编制的相关制度和要求进行预算编制，全面编制预算项目，优先保障固定的、相对刚性的费用支出项目，尽量压缩变动性的、有弹性空间的费用项目，进一步提高预算编制的科学性、严谨性和可控性。</w:t>
      </w:r>
    </w:p>
    <w:p w14:paraId="14CE0836">
      <w:pPr>
        <w:widowControl/>
        <w:adjustRightInd w:val="0"/>
        <w:snapToGrid w:val="0"/>
        <w:spacing w:line="578" w:lineRule="exact"/>
        <w:ind w:firstLine="640" w:firstLineChars="200"/>
        <w:jc w:val="left"/>
        <w:outlineLvl w:val="9"/>
        <w:rPr>
          <w:rFonts w:hint="default"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zh-CN"/>
        </w:rPr>
        <w:t>完善制度，加强资产管理核算。进一步贯彻落实中央八项规定、公务支出各项管理制度和厉行节约制度，加强经费审批和控制，规范支出标准与范围，并严格执行。加强固定资产管理，规范资产购置、保管、使用及处置等程序，定期进行盘点，确保账账相符、账实相符。</w:t>
      </w:r>
    </w:p>
    <w:p w14:paraId="4621DB58">
      <w:pPr>
        <w:ind w:firstLine="640" w:firstLineChars="200"/>
        <w:outlineLvl w:val="9"/>
        <w:rPr>
          <w:rFonts w:eastAsia="仿宋_GB2312"/>
          <w:sz w:val="32"/>
          <w:szCs w:val="32"/>
          <w:highlight w:val="none"/>
          <w:lang w:val="zh-CN"/>
        </w:rPr>
      </w:pPr>
    </w:p>
    <w:p w14:paraId="3AA9219E">
      <w:pPr>
        <w:ind w:firstLine="640" w:firstLineChars="200"/>
        <w:outlineLvl w:val="9"/>
        <w:rPr>
          <w:rFonts w:eastAsia="仿宋_GB2312"/>
          <w:sz w:val="32"/>
          <w:szCs w:val="32"/>
          <w:highlight w:val="none"/>
          <w:lang w:val="zh-CN"/>
        </w:rPr>
      </w:pPr>
    </w:p>
    <w:p w14:paraId="572CE4CC">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eastAsia" w:ascii="黑体" w:hAnsi="黑体" w:eastAsia="黑体" w:cs="黑体"/>
          <w:kern w:val="2"/>
          <w:sz w:val="32"/>
          <w:szCs w:val="24"/>
          <w:highlight w:val="none"/>
          <w:lang w:val="en-US" w:eastAsia="zh-CN" w:bidi="ar-SA"/>
        </w:rPr>
      </w:pPr>
    </w:p>
    <w:p w14:paraId="160D1304">
      <w:pPr>
        <w:pStyle w:val="19"/>
        <w:rPr>
          <w:rFonts w:hint="eastAsia" w:ascii="黑体" w:hAnsi="黑体" w:eastAsia="黑体" w:cs="黑体"/>
          <w:kern w:val="2"/>
          <w:sz w:val="32"/>
          <w:szCs w:val="24"/>
          <w:highlight w:val="none"/>
          <w:lang w:val="en-US" w:eastAsia="zh-CN" w:bidi="ar-SA"/>
        </w:rPr>
      </w:pPr>
    </w:p>
    <w:p w14:paraId="496A6DA3">
      <w:pPr>
        <w:rPr>
          <w:rFonts w:hint="eastAsia" w:ascii="黑体" w:hAnsi="黑体" w:eastAsia="黑体" w:cs="黑体"/>
          <w:kern w:val="2"/>
          <w:sz w:val="32"/>
          <w:szCs w:val="24"/>
          <w:highlight w:val="none"/>
          <w:lang w:val="en-US" w:eastAsia="zh-CN" w:bidi="ar-SA"/>
        </w:rPr>
      </w:pPr>
      <w:r>
        <w:rPr>
          <w:rFonts w:hint="eastAsia" w:ascii="黑体" w:hAnsi="黑体" w:eastAsia="黑体" w:cs="黑体"/>
          <w:kern w:val="2"/>
          <w:sz w:val="32"/>
          <w:szCs w:val="24"/>
          <w:highlight w:val="none"/>
          <w:lang w:val="en-US" w:eastAsia="zh-CN" w:bidi="ar-SA"/>
        </w:rPr>
        <w:br w:type="page"/>
      </w:r>
    </w:p>
    <w:p w14:paraId="78331C15">
      <w:pPr>
        <w:pStyle w:val="19"/>
        <w:ind w:left="0" w:leftChars="0" w:firstLine="0" w:firstLineChars="0"/>
        <w:rPr>
          <w:rFonts w:hint="eastAsia" w:ascii="黑体" w:hAnsi="黑体" w:eastAsia="黑体" w:cs="黑体"/>
          <w:kern w:val="2"/>
          <w:sz w:val="32"/>
          <w:szCs w:val="24"/>
          <w:highlight w:val="none"/>
          <w:lang w:val="en-US" w:eastAsia="zh-CN" w:bidi="ar-SA"/>
        </w:rPr>
      </w:pPr>
      <w:r>
        <w:rPr>
          <w:rFonts w:hint="eastAsia" w:ascii="黑体" w:hAnsi="黑体" w:eastAsia="黑体" w:cs="黑体"/>
          <w:kern w:val="2"/>
          <w:sz w:val="32"/>
          <w:szCs w:val="24"/>
          <w:highlight w:val="none"/>
          <w:lang w:val="en-US" w:eastAsia="zh-CN" w:bidi="ar-SA"/>
        </w:rPr>
        <w:drawing>
          <wp:inline distT="0" distB="0" distL="114300" distR="114300">
            <wp:extent cx="5509895" cy="8518525"/>
            <wp:effectExtent l="0" t="0" r="6985" b="635"/>
            <wp:docPr id="6" name="图片 6" descr="94cea3855ec62d09e7d5308c011b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4cea3855ec62d09e7d5308c011b065"/>
                    <pic:cNvPicPr>
                      <a:picLocks noChangeAspect="1"/>
                    </pic:cNvPicPr>
                  </pic:nvPicPr>
                  <pic:blipFill>
                    <a:blip r:embed="rId21"/>
                    <a:stretch>
                      <a:fillRect/>
                    </a:stretch>
                  </pic:blipFill>
                  <pic:spPr>
                    <a:xfrm>
                      <a:off x="0" y="0"/>
                      <a:ext cx="5509895" cy="8518525"/>
                    </a:xfrm>
                    <a:prstGeom prst="rect">
                      <a:avLst/>
                    </a:prstGeom>
                  </pic:spPr>
                </pic:pic>
              </a:graphicData>
            </a:graphic>
          </wp:inline>
        </w:drawing>
      </w:r>
    </w:p>
    <w:p w14:paraId="41A6643B">
      <w:pPr>
        <w:pStyle w:val="19"/>
        <w:rPr>
          <w:rFonts w:hint="eastAsia" w:ascii="黑体" w:hAnsi="黑体" w:eastAsia="黑体" w:cs="黑体"/>
          <w:kern w:val="2"/>
          <w:sz w:val="32"/>
          <w:szCs w:val="24"/>
          <w:highlight w:val="none"/>
          <w:lang w:val="en-US" w:eastAsia="zh-CN" w:bidi="ar-SA"/>
        </w:rPr>
      </w:pPr>
    </w:p>
    <w:p w14:paraId="722A4F26">
      <w:pPr>
        <w:pStyle w:val="19"/>
        <w:ind w:left="0" w:leftChars="0" w:firstLine="0" w:firstLineChars="0"/>
        <w:rPr>
          <w:rFonts w:hint="eastAsia" w:ascii="黑体" w:hAnsi="黑体" w:eastAsia="黑体" w:cs="黑体"/>
          <w:kern w:val="2"/>
          <w:sz w:val="32"/>
          <w:szCs w:val="24"/>
          <w:highlight w:val="none"/>
          <w:lang w:val="en-US" w:eastAsia="zh-CN" w:bidi="ar-SA"/>
        </w:rPr>
      </w:pPr>
    </w:p>
    <w:p w14:paraId="4A0FCCE1">
      <w:pPr>
        <w:pStyle w:val="19"/>
        <w:rPr>
          <w:rFonts w:hint="eastAsia" w:ascii="黑体" w:hAnsi="黑体" w:eastAsia="黑体" w:cs="黑体"/>
          <w:kern w:val="2"/>
          <w:sz w:val="32"/>
          <w:szCs w:val="24"/>
          <w:highlight w:val="none"/>
          <w:lang w:val="en-US" w:eastAsia="zh-CN" w:bidi="ar-SA"/>
        </w:rPr>
      </w:pPr>
    </w:p>
    <w:p w14:paraId="509B01A0">
      <w:pPr>
        <w:pStyle w:val="3"/>
        <w:ind w:right="440"/>
        <w:jc w:val="center"/>
        <w:outlineLvl w:val="0"/>
        <w:rPr>
          <w:rFonts w:hint="eastAsia" w:ascii="黑体" w:hAnsi="黑体" w:eastAsia="黑体"/>
          <w:b w:val="0"/>
          <w:lang w:eastAsia="zh-CN"/>
        </w:rPr>
      </w:pPr>
      <w:r>
        <w:rPr>
          <w:rFonts w:hint="eastAsia" w:ascii="黑体" w:hAnsi="黑体" w:eastAsia="黑体"/>
          <w:b w:val="0"/>
        </w:rPr>
        <w:t>第</w:t>
      </w:r>
      <w:r>
        <w:rPr>
          <w:rFonts w:hint="eastAsia" w:ascii="黑体" w:hAnsi="黑体" w:eastAsia="黑体"/>
          <w:b w:val="0"/>
          <w:lang w:eastAsia="zh-CN"/>
        </w:rPr>
        <w:t>五</w:t>
      </w:r>
      <w:r>
        <w:rPr>
          <w:rFonts w:hint="eastAsia" w:ascii="黑体" w:hAnsi="黑体" w:eastAsia="黑体"/>
          <w:b w:val="0"/>
        </w:rPr>
        <w:t xml:space="preserve">部分 </w:t>
      </w:r>
      <w:r>
        <w:rPr>
          <w:rFonts w:hint="eastAsia" w:ascii="黑体" w:hAnsi="黑体" w:eastAsia="黑体"/>
          <w:b w:val="0"/>
          <w:lang w:eastAsia="zh-CN"/>
        </w:rPr>
        <w:t>附表</w:t>
      </w:r>
    </w:p>
    <w:p w14:paraId="73B52874">
      <w:pPr>
        <w:pStyle w:val="13"/>
        <w:adjustRightInd w:val="0"/>
        <w:snapToGrid w:val="0"/>
        <w:spacing w:line="440" w:lineRule="exact"/>
        <w:jc w:val="left"/>
        <w:rPr>
          <w:sz w:val="24"/>
        </w:rPr>
      </w:pPr>
      <w:r>
        <w:rPr>
          <w:rFonts w:hint="eastAsia"/>
          <w:sz w:val="24"/>
        </w:rPr>
        <w:t>一、收入支出决算总表</w:t>
      </w:r>
    </w:p>
    <w:p w14:paraId="6AD028FF">
      <w:pPr>
        <w:pStyle w:val="13"/>
        <w:adjustRightInd w:val="0"/>
        <w:snapToGrid w:val="0"/>
        <w:spacing w:line="440" w:lineRule="exact"/>
        <w:jc w:val="left"/>
        <w:rPr>
          <w:sz w:val="24"/>
        </w:rPr>
      </w:pPr>
      <w:r>
        <w:rPr>
          <w:rFonts w:hint="eastAsia"/>
          <w:sz w:val="24"/>
        </w:rPr>
        <w:t>二、收入决算表</w:t>
      </w:r>
    </w:p>
    <w:p w14:paraId="32BC85FC">
      <w:pPr>
        <w:pStyle w:val="13"/>
        <w:adjustRightInd w:val="0"/>
        <w:snapToGrid w:val="0"/>
        <w:spacing w:line="440" w:lineRule="exact"/>
        <w:jc w:val="left"/>
        <w:rPr>
          <w:sz w:val="24"/>
        </w:rPr>
      </w:pPr>
      <w:r>
        <w:rPr>
          <w:rFonts w:hint="eastAsia"/>
          <w:sz w:val="24"/>
        </w:rPr>
        <w:t>三、支出决算表</w:t>
      </w:r>
    </w:p>
    <w:p w14:paraId="1CA26ED3">
      <w:pPr>
        <w:pStyle w:val="13"/>
        <w:adjustRightInd w:val="0"/>
        <w:snapToGrid w:val="0"/>
        <w:spacing w:line="440" w:lineRule="exact"/>
        <w:jc w:val="left"/>
        <w:rPr>
          <w:sz w:val="24"/>
        </w:rPr>
      </w:pPr>
      <w:r>
        <w:rPr>
          <w:rFonts w:hint="eastAsia"/>
          <w:sz w:val="24"/>
        </w:rPr>
        <w:t>四、财政拨款收入支出决算总表</w:t>
      </w:r>
    </w:p>
    <w:p w14:paraId="170832D2">
      <w:pPr>
        <w:pStyle w:val="13"/>
        <w:adjustRightInd w:val="0"/>
        <w:snapToGrid w:val="0"/>
        <w:spacing w:line="440" w:lineRule="exact"/>
        <w:jc w:val="left"/>
        <w:rPr>
          <w:sz w:val="24"/>
        </w:rPr>
      </w:pPr>
      <w:r>
        <w:rPr>
          <w:rFonts w:hint="eastAsia"/>
          <w:sz w:val="24"/>
        </w:rPr>
        <w:t>五、财政拨款支出决算明细表</w:t>
      </w:r>
    </w:p>
    <w:p w14:paraId="610BB78A">
      <w:pPr>
        <w:pStyle w:val="13"/>
        <w:adjustRightInd w:val="0"/>
        <w:snapToGrid w:val="0"/>
        <w:spacing w:line="440" w:lineRule="exact"/>
        <w:jc w:val="left"/>
        <w:rPr>
          <w:sz w:val="24"/>
        </w:rPr>
      </w:pPr>
      <w:r>
        <w:rPr>
          <w:rFonts w:hint="eastAsia"/>
          <w:sz w:val="24"/>
        </w:rPr>
        <w:t>六、一般公共预算财政拨款支出决算表</w:t>
      </w:r>
    </w:p>
    <w:p w14:paraId="52441A85">
      <w:pPr>
        <w:pStyle w:val="13"/>
        <w:adjustRightInd w:val="0"/>
        <w:snapToGrid w:val="0"/>
        <w:spacing w:line="440" w:lineRule="exact"/>
        <w:jc w:val="left"/>
        <w:rPr>
          <w:sz w:val="24"/>
        </w:rPr>
      </w:pPr>
      <w:r>
        <w:rPr>
          <w:rFonts w:hint="eastAsia"/>
          <w:sz w:val="24"/>
        </w:rPr>
        <w:t>七、一般公共预算财政拨款支出决算明细表</w:t>
      </w:r>
    </w:p>
    <w:p w14:paraId="0CE06053">
      <w:pPr>
        <w:pStyle w:val="13"/>
        <w:adjustRightInd w:val="0"/>
        <w:snapToGrid w:val="0"/>
        <w:spacing w:line="440" w:lineRule="exact"/>
        <w:jc w:val="left"/>
        <w:rPr>
          <w:sz w:val="24"/>
        </w:rPr>
      </w:pPr>
      <w:r>
        <w:rPr>
          <w:rFonts w:hint="eastAsia"/>
          <w:sz w:val="24"/>
        </w:rPr>
        <w:t>八、一般公共预算财政拨款基本支出决算明细表</w:t>
      </w:r>
    </w:p>
    <w:p w14:paraId="6C990418">
      <w:pPr>
        <w:pStyle w:val="13"/>
        <w:adjustRightInd w:val="0"/>
        <w:snapToGrid w:val="0"/>
        <w:spacing w:line="440" w:lineRule="exact"/>
        <w:jc w:val="left"/>
        <w:rPr>
          <w:sz w:val="24"/>
        </w:rPr>
      </w:pPr>
      <w:r>
        <w:rPr>
          <w:rFonts w:hint="eastAsia"/>
          <w:sz w:val="24"/>
        </w:rPr>
        <w:t>九、一般公共预算财政拨款项目支出决算表</w:t>
      </w:r>
    </w:p>
    <w:p w14:paraId="5160FDC9">
      <w:pPr>
        <w:pStyle w:val="13"/>
        <w:adjustRightInd w:val="0"/>
        <w:snapToGrid w:val="0"/>
        <w:spacing w:line="440" w:lineRule="exact"/>
        <w:jc w:val="left"/>
        <w:rPr>
          <w:sz w:val="24"/>
        </w:rPr>
      </w:pPr>
      <w:r>
        <w:rPr>
          <w:rFonts w:hint="eastAsia"/>
          <w:sz w:val="24"/>
        </w:rPr>
        <w:t>十、政府性基金预算财政拨款收入支出决算表</w:t>
      </w:r>
    </w:p>
    <w:p w14:paraId="43C17615">
      <w:pPr>
        <w:pStyle w:val="13"/>
        <w:adjustRightInd w:val="0"/>
        <w:snapToGrid w:val="0"/>
        <w:spacing w:line="440" w:lineRule="exact"/>
        <w:jc w:val="left"/>
        <w:rPr>
          <w:sz w:val="24"/>
        </w:rPr>
      </w:pPr>
      <w:r>
        <w:rPr>
          <w:rFonts w:hint="eastAsia"/>
          <w:sz w:val="24"/>
        </w:rPr>
        <w:t>十一、国有资本经营预算财政拨款收入支出决算表</w:t>
      </w:r>
    </w:p>
    <w:p w14:paraId="2BCC8D2D">
      <w:pPr>
        <w:pStyle w:val="13"/>
        <w:adjustRightInd w:val="0"/>
        <w:snapToGrid w:val="0"/>
        <w:spacing w:line="440" w:lineRule="exact"/>
        <w:jc w:val="left"/>
        <w:rPr>
          <w:sz w:val="24"/>
        </w:rPr>
      </w:pPr>
      <w:r>
        <w:rPr>
          <w:rFonts w:hint="eastAsia"/>
          <w:sz w:val="24"/>
        </w:rPr>
        <w:t>十二、国有资本经营预算财政拨款支出决算表</w:t>
      </w:r>
    </w:p>
    <w:p w14:paraId="1B30222D">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14:paraId="61D2A560">
      <w:pPr>
        <w:pStyle w:val="19"/>
        <w:rPr>
          <w:highlight w:val="yellow"/>
        </w:rPr>
      </w:pPr>
    </w:p>
    <w:p w14:paraId="33C9E2D1">
      <w:pPr>
        <w:pStyle w:val="19"/>
        <w:rPr>
          <w:highlight w:val="yellow"/>
        </w:rPr>
      </w:pPr>
    </w:p>
    <w:p w14:paraId="7456455B">
      <w:pPr>
        <w:pStyle w:val="19"/>
        <w:rPr>
          <w:highlight w:val="yellow"/>
        </w:rPr>
      </w:pPr>
    </w:p>
    <w:p w14:paraId="7A1BB517">
      <w:pPr>
        <w:pStyle w:val="19"/>
        <w:rPr>
          <w:highlight w:val="yellow"/>
        </w:rPr>
      </w:pPr>
    </w:p>
    <w:p w14:paraId="38830C6F">
      <w:pPr>
        <w:pStyle w:val="19"/>
        <w:rPr>
          <w:highlight w:val="yellow"/>
        </w:rPr>
      </w:pPr>
    </w:p>
    <w:p w14:paraId="3D2F2D03">
      <w:pPr>
        <w:pStyle w:val="19"/>
        <w:rPr>
          <w:highlight w:val="yellow"/>
        </w:rPr>
      </w:pPr>
    </w:p>
    <w:p w14:paraId="45C58318">
      <w:pPr>
        <w:keepNext w:val="0"/>
        <w:keepLines w:val="0"/>
        <w:pageBreakBefore w:val="0"/>
        <w:widowControl w:val="0"/>
        <w:kinsoku/>
        <w:wordWrap/>
        <w:overflowPunct/>
        <w:topLinePunct w:val="0"/>
        <w:autoSpaceDE/>
        <w:autoSpaceDN/>
        <w:bidi w:val="0"/>
        <w:adjustRightInd/>
        <w:snapToGrid/>
        <w:spacing w:line="240" w:lineRule="exact"/>
        <w:textAlignment w:val="auto"/>
      </w:pPr>
      <w:bookmarkStart w:id="75" w:name="_GoBack"/>
      <w:bookmarkEnd w:id="75"/>
    </w:p>
    <w:sectPr>
      <w:footerReference r:id="rId12" w:type="default"/>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汉仪书宋二S">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DAF8C">
    <w:pPr>
      <w:pStyle w:val="10"/>
      <w:tabs>
        <w:tab w:val="center" w:pos="4150"/>
        <w:tab w:val="clear" w:pos="4153"/>
      </w:tabs>
      <w:jc w:val="both"/>
      <w:rPr>
        <w:rFonts w:hint="eastAsia" w:eastAsia="宋体"/>
        <w:lang w:eastAsia="zh-CN"/>
      </w:rPr>
    </w:pPr>
    <w:r>
      <w:rPr>
        <w:rFonts w:hint="default"/>
        <w:sz w:val="18"/>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2054"/>
                          </w:sdtPr>
                          <w:sdtContent>
                            <w:p w14:paraId="49317E9C">
                              <w:pPr>
                                <w:pStyle w:val="10"/>
                                <w:jc w:val="center"/>
                              </w:pPr>
                              <w:r>
                                <w:rPr>
                                  <w:rFonts w:hint="eastAsia"/>
                                  <w:lang w:val="en-US" w:eastAsia="zh-CN"/>
                                </w:rPr>
                                <w:t>2</w:t>
                              </w:r>
                            </w:p>
                          </w:sdtContent>
                        </w:sdt>
                        <w:p w14:paraId="7593FB60">
                          <w:pPr>
                            <w:pStyle w:val="2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147452054"/>
                    </w:sdtPr>
                    <w:sdtContent>
                      <w:p w14:paraId="49317E9C">
                        <w:pPr>
                          <w:pStyle w:val="10"/>
                          <w:jc w:val="center"/>
                        </w:pPr>
                        <w:r>
                          <w:rPr>
                            <w:rFonts w:hint="eastAsia"/>
                            <w:lang w:val="en-US" w:eastAsia="zh-CN"/>
                          </w:rPr>
                          <w:t>2</w:t>
                        </w:r>
                      </w:p>
                    </w:sdtContent>
                  </w:sdt>
                  <w:p w14:paraId="7593FB60">
                    <w:pPr>
                      <w:pStyle w:val="21"/>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0EFF">
    <w:pPr>
      <w:pStyle w:val="10"/>
      <w:jc w:val="center"/>
      <w:rPr>
        <w:rFonts w:hint="default"/>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4E854">
    <w:pPr>
      <w:pStyle w:val="10"/>
      <w:tabs>
        <w:tab w:val="center" w:pos="4150"/>
        <w:tab w:val="clear" w:pos="4153"/>
        <w:tab w:val="clear" w:pos="8306"/>
      </w:tabs>
      <w:jc w:val="both"/>
      <w:rPr>
        <w:rFonts w:hint="eastAsia" w:eastAsia="宋体"/>
        <w:lang w:eastAsia="zh-CN"/>
      </w:rPr>
    </w:pP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8F1B">
    <w:pPr>
      <w:pStyle w:val="10"/>
      <w:tabs>
        <w:tab w:val="center" w:pos="4150"/>
        <w:tab w:val="clear" w:pos="4153"/>
        <w:tab w:val="clear" w:pos="8306"/>
      </w:tabs>
      <w:jc w:val="both"/>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F8B6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39F8B69">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7482">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D4B2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AAD4B2E">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186E4495">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638C">
    <w:pPr>
      <w:pStyle w:val="10"/>
      <w:jc w:val="center"/>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44FC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5044FC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D5DDC">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21748">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7221748">
                    <w:pPr>
                      <w:pStyle w:val="10"/>
                    </w:pPr>
                    <w:r>
                      <w:fldChar w:fldCharType="begin"/>
                    </w:r>
                    <w:r>
                      <w:instrText xml:space="preserve"> PAGE  \* MERGEFORMAT </w:instrText>
                    </w:r>
                    <w:r>
                      <w:fldChar w:fldCharType="separate"/>
                    </w:r>
                    <w:r>
                      <w:t>3</w:t>
                    </w:r>
                    <w:r>
                      <w:fldChar w:fldCharType="end"/>
                    </w:r>
                  </w:p>
                </w:txbxContent>
              </v:textbox>
            </v:shape>
          </w:pict>
        </mc:Fallback>
      </mc:AlternateContent>
    </w:r>
  </w:p>
  <w:p w14:paraId="7E71B37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053A6">
    <w:pPr>
      <w:pStyle w:val="11"/>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5C974">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D729A">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wODRmZjNhODlmZjJhZDU5OTA1NDdhZWY4MWVjYWY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4428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074CA"/>
    <w:rsid w:val="00D114F0"/>
    <w:rsid w:val="00D20620"/>
    <w:rsid w:val="00D254F7"/>
    <w:rsid w:val="00D26091"/>
    <w:rsid w:val="00D2685C"/>
    <w:rsid w:val="00D34E7C"/>
    <w:rsid w:val="00D35489"/>
    <w:rsid w:val="00D36AFE"/>
    <w:rsid w:val="00D4549B"/>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1FB2325"/>
    <w:rsid w:val="028C0A7F"/>
    <w:rsid w:val="02CD3CC1"/>
    <w:rsid w:val="02FEBE30"/>
    <w:rsid w:val="030F6088"/>
    <w:rsid w:val="032A4C70"/>
    <w:rsid w:val="036F8141"/>
    <w:rsid w:val="03D1158F"/>
    <w:rsid w:val="043C4D20"/>
    <w:rsid w:val="043D6C25"/>
    <w:rsid w:val="065546FA"/>
    <w:rsid w:val="0664493D"/>
    <w:rsid w:val="066E0107"/>
    <w:rsid w:val="07996F6E"/>
    <w:rsid w:val="07DFD8BA"/>
    <w:rsid w:val="080A0B4A"/>
    <w:rsid w:val="08AE0284"/>
    <w:rsid w:val="08C44A90"/>
    <w:rsid w:val="09BA2AC6"/>
    <w:rsid w:val="09EF09C1"/>
    <w:rsid w:val="0A032908"/>
    <w:rsid w:val="0A1348C9"/>
    <w:rsid w:val="0A2032A3"/>
    <w:rsid w:val="0A4A3E4A"/>
    <w:rsid w:val="0A9D041D"/>
    <w:rsid w:val="0B941820"/>
    <w:rsid w:val="0C7F558D"/>
    <w:rsid w:val="0CA66391"/>
    <w:rsid w:val="0D09234F"/>
    <w:rsid w:val="0D35B1ED"/>
    <w:rsid w:val="0D9F44AC"/>
    <w:rsid w:val="0E124C7E"/>
    <w:rsid w:val="0E6179B4"/>
    <w:rsid w:val="0E7ED1F5"/>
    <w:rsid w:val="0F474DFC"/>
    <w:rsid w:val="0F6459AD"/>
    <w:rsid w:val="0F98263C"/>
    <w:rsid w:val="0FEB39D9"/>
    <w:rsid w:val="100827DD"/>
    <w:rsid w:val="10105F9E"/>
    <w:rsid w:val="101860EC"/>
    <w:rsid w:val="104B26C9"/>
    <w:rsid w:val="10AA73F0"/>
    <w:rsid w:val="10B14FB9"/>
    <w:rsid w:val="10C055FF"/>
    <w:rsid w:val="10E072B6"/>
    <w:rsid w:val="118107EC"/>
    <w:rsid w:val="11B61DC5"/>
    <w:rsid w:val="13031039"/>
    <w:rsid w:val="13D50BC4"/>
    <w:rsid w:val="13F5616D"/>
    <w:rsid w:val="14427E78"/>
    <w:rsid w:val="146C6716"/>
    <w:rsid w:val="15204125"/>
    <w:rsid w:val="16BB723D"/>
    <w:rsid w:val="172D2EFF"/>
    <w:rsid w:val="17A70B2D"/>
    <w:rsid w:val="17E31439"/>
    <w:rsid w:val="17F9714D"/>
    <w:rsid w:val="1846208B"/>
    <w:rsid w:val="186E51A7"/>
    <w:rsid w:val="18AD3F21"/>
    <w:rsid w:val="1918F934"/>
    <w:rsid w:val="192A37C4"/>
    <w:rsid w:val="19744A3F"/>
    <w:rsid w:val="19937AEB"/>
    <w:rsid w:val="19B7492C"/>
    <w:rsid w:val="1A6C1BBA"/>
    <w:rsid w:val="1B3B1CB8"/>
    <w:rsid w:val="1BCA4DEA"/>
    <w:rsid w:val="1BE8440E"/>
    <w:rsid w:val="1CAD6CD0"/>
    <w:rsid w:val="1D155CEE"/>
    <w:rsid w:val="1D943902"/>
    <w:rsid w:val="1DFBC4B3"/>
    <w:rsid w:val="1E740ACF"/>
    <w:rsid w:val="1EE12B77"/>
    <w:rsid w:val="1F19C781"/>
    <w:rsid w:val="1F2B5BA0"/>
    <w:rsid w:val="1F33FCE5"/>
    <w:rsid w:val="1F7F7398"/>
    <w:rsid w:val="1FA140B4"/>
    <w:rsid w:val="1FBF278C"/>
    <w:rsid w:val="1FD2DB6F"/>
    <w:rsid w:val="1FE3647B"/>
    <w:rsid w:val="1FF35744"/>
    <w:rsid w:val="1FF6BC77"/>
    <w:rsid w:val="1FF9236D"/>
    <w:rsid w:val="200C50ED"/>
    <w:rsid w:val="203F2E27"/>
    <w:rsid w:val="20D81D57"/>
    <w:rsid w:val="21696E53"/>
    <w:rsid w:val="227F4D69"/>
    <w:rsid w:val="229972C4"/>
    <w:rsid w:val="22B20386"/>
    <w:rsid w:val="22B70B00"/>
    <w:rsid w:val="22B91715"/>
    <w:rsid w:val="2333840E"/>
    <w:rsid w:val="23860B96"/>
    <w:rsid w:val="23897339"/>
    <w:rsid w:val="240371BF"/>
    <w:rsid w:val="243F3E9B"/>
    <w:rsid w:val="246456B0"/>
    <w:rsid w:val="24AB32DF"/>
    <w:rsid w:val="257C638F"/>
    <w:rsid w:val="270B3494"/>
    <w:rsid w:val="275814FC"/>
    <w:rsid w:val="27AC35F6"/>
    <w:rsid w:val="27E2170E"/>
    <w:rsid w:val="29321057"/>
    <w:rsid w:val="293F6E0E"/>
    <w:rsid w:val="297E0A40"/>
    <w:rsid w:val="29F574D6"/>
    <w:rsid w:val="29FD04D3"/>
    <w:rsid w:val="2A2C7AEE"/>
    <w:rsid w:val="2A704DAF"/>
    <w:rsid w:val="2A7D74CC"/>
    <w:rsid w:val="2BA72A52"/>
    <w:rsid w:val="2BFF7BC6"/>
    <w:rsid w:val="2C0B2E8A"/>
    <w:rsid w:val="2C8A61B5"/>
    <w:rsid w:val="2C934D84"/>
    <w:rsid w:val="2CCE2260"/>
    <w:rsid w:val="2CD59C95"/>
    <w:rsid w:val="2D4B586F"/>
    <w:rsid w:val="2DF04E50"/>
    <w:rsid w:val="2E3F3416"/>
    <w:rsid w:val="2EF75CAB"/>
    <w:rsid w:val="2EFD05E5"/>
    <w:rsid w:val="2F040D46"/>
    <w:rsid w:val="2F462582"/>
    <w:rsid w:val="2F4F95CE"/>
    <w:rsid w:val="2F923C1D"/>
    <w:rsid w:val="2FACAFDD"/>
    <w:rsid w:val="2FAE5751"/>
    <w:rsid w:val="2FB1A395"/>
    <w:rsid w:val="2FCF0B76"/>
    <w:rsid w:val="2FD9A7D8"/>
    <w:rsid w:val="300370FB"/>
    <w:rsid w:val="30776DA0"/>
    <w:rsid w:val="319F7F4E"/>
    <w:rsid w:val="3304709D"/>
    <w:rsid w:val="335F00B6"/>
    <w:rsid w:val="33615BDC"/>
    <w:rsid w:val="336D632F"/>
    <w:rsid w:val="344105B7"/>
    <w:rsid w:val="34A02734"/>
    <w:rsid w:val="34BE4161"/>
    <w:rsid w:val="34D80120"/>
    <w:rsid w:val="36107446"/>
    <w:rsid w:val="36AA5135"/>
    <w:rsid w:val="36BE0DA7"/>
    <w:rsid w:val="374B2E2B"/>
    <w:rsid w:val="376B6AA6"/>
    <w:rsid w:val="376D39B2"/>
    <w:rsid w:val="37E16F03"/>
    <w:rsid w:val="37F53A3B"/>
    <w:rsid w:val="38CD161E"/>
    <w:rsid w:val="38D469F0"/>
    <w:rsid w:val="38D46E50"/>
    <w:rsid w:val="38D66725"/>
    <w:rsid w:val="38E35C8E"/>
    <w:rsid w:val="38EF77E6"/>
    <w:rsid w:val="38F78389"/>
    <w:rsid w:val="397BAF1F"/>
    <w:rsid w:val="397C3770"/>
    <w:rsid w:val="39E7B272"/>
    <w:rsid w:val="39F7642F"/>
    <w:rsid w:val="39FF7B37"/>
    <w:rsid w:val="3A434780"/>
    <w:rsid w:val="3A4D6EBA"/>
    <w:rsid w:val="3AB26D1E"/>
    <w:rsid w:val="3AB79AF3"/>
    <w:rsid w:val="3AEA64B7"/>
    <w:rsid w:val="3AFDCB77"/>
    <w:rsid w:val="3B041E40"/>
    <w:rsid w:val="3B5D312D"/>
    <w:rsid w:val="3B7EF35A"/>
    <w:rsid w:val="3B9FDB6C"/>
    <w:rsid w:val="3BF5BC2F"/>
    <w:rsid w:val="3BF7C23A"/>
    <w:rsid w:val="3BFF223E"/>
    <w:rsid w:val="3C6EC0A1"/>
    <w:rsid w:val="3CBB45AF"/>
    <w:rsid w:val="3CD825B8"/>
    <w:rsid w:val="3CDB0824"/>
    <w:rsid w:val="3CEBA265"/>
    <w:rsid w:val="3D3C3A57"/>
    <w:rsid w:val="3D6A7F9F"/>
    <w:rsid w:val="3D7E7F4D"/>
    <w:rsid w:val="3D98207C"/>
    <w:rsid w:val="3D9CF30A"/>
    <w:rsid w:val="3DFF5A3E"/>
    <w:rsid w:val="3E78745D"/>
    <w:rsid w:val="3EEE77E9"/>
    <w:rsid w:val="3F394AF5"/>
    <w:rsid w:val="3F841B37"/>
    <w:rsid w:val="3FBE5714"/>
    <w:rsid w:val="3FDD8615"/>
    <w:rsid w:val="3FDFB2FF"/>
    <w:rsid w:val="3FF4CAE0"/>
    <w:rsid w:val="3FF75FAF"/>
    <w:rsid w:val="3FF7B227"/>
    <w:rsid w:val="402B55A8"/>
    <w:rsid w:val="40356556"/>
    <w:rsid w:val="404C1BCE"/>
    <w:rsid w:val="40A315E2"/>
    <w:rsid w:val="416924B0"/>
    <w:rsid w:val="417B255F"/>
    <w:rsid w:val="41A75102"/>
    <w:rsid w:val="425D7EB7"/>
    <w:rsid w:val="42A95947"/>
    <w:rsid w:val="43882D11"/>
    <w:rsid w:val="43A22025"/>
    <w:rsid w:val="44BF3881"/>
    <w:rsid w:val="44DC1567"/>
    <w:rsid w:val="44E268DA"/>
    <w:rsid w:val="457F4F6B"/>
    <w:rsid w:val="45EC3A2B"/>
    <w:rsid w:val="464E0242"/>
    <w:rsid w:val="469B4EB7"/>
    <w:rsid w:val="46C16C66"/>
    <w:rsid w:val="4737FB58"/>
    <w:rsid w:val="47ECCB02"/>
    <w:rsid w:val="47FA6A3F"/>
    <w:rsid w:val="480037BE"/>
    <w:rsid w:val="48AB372A"/>
    <w:rsid w:val="48B00D40"/>
    <w:rsid w:val="49042E3A"/>
    <w:rsid w:val="49D7AE48"/>
    <w:rsid w:val="4A3F6C7E"/>
    <w:rsid w:val="4A5B1180"/>
    <w:rsid w:val="4A627F82"/>
    <w:rsid w:val="4A653DFE"/>
    <w:rsid w:val="4A981A8C"/>
    <w:rsid w:val="4AD131F0"/>
    <w:rsid w:val="4B0C4228"/>
    <w:rsid w:val="4B0E749A"/>
    <w:rsid w:val="4B4E2A92"/>
    <w:rsid w:val="4B4F25DA"/>
    <w:rsid w:val="4B5E0F27"/>
    <w:rsid w:val="4B64663B"/>
    <w:rsid w:val="4B7342A7"/>
    <w:rsid w:val="4BBB4781"/>
    <w:rsid w:val="4BD709A5"/>
    <w:rsid w:val="4BDD9BFF"/>
    <w:rsid w:val="4BE068DB"/>
    <w:rsid w:val="4C1A611B"/>
    <w:rsid w:val="4D52686A"/>
    <w:rsid w:val="4D577224"/>
    <w:rsid w:val="4DBF1CEB"/>
    <w:rsid w:val="4DBF6A6B"/>
    <w:rsid w:val="4DF6A672"/>
    <w:rsid w:val="4E992277"/>
    <w:rsid w:val="4EAB630A"/>
    <w:rsid w:val="4ECE2238"/>
    <w:rsid w:val="4EF57C42"/>
    <w:rsid w:val="4F7EA413"/>
    <w:rsid w:val="4FAB812F"/>
    <w:rsid w:val="4FAD5FDA"/>
    <w:rsid w:val="4FD86DCF"/>
    <w:rsid w:val="4FE9BD67"/>
    <w:rsid w:val="4FEE4C07"/>
    <w:rsid w:val="4FFB052F"/>
    <w:rsid w:val="501537ED"/>
    <w:rsid w:val="50357D7D"/>
    <w:rsid w:val="50E71E6E"/>
    <w:rsid w:val="50EC0D83"/>
    <w:rsid w:val="50F10148"/>
    <w:rsid w:val="50F639B0"/>
    <w:rsid w:val="521F697C"/>
    <w:rsid w:val="522307D5"/>
    <w:rsid w:val="53195734"/>
    <w:rsid w:val="537E6D0A"/>
    <w:rsid w:val="53AB6B88"/>
    <w:rsid w:val="53F74C96"/>
    <w:rsid w:val="55126890"/>
    <w:rsid w:val="551560C9"/>
    <w:rsid w:val="5583522D"/>
    <w:rsid w:val="55857DC0"/>
    <w:rsid w:val="558F36CE"/>
    <w:rsid w:val="567F7FA4"/>
    <w:rsid w:val="56E801F8"/>
    <w:rsid w:val="56EA7B13"/>
    <w:rsid w:val="56EB388B"/>
    <w:rsid w:val="57652917"/>
    <w:rsid w:val="57BD3DD4"/>
    <w:rsid w:val="57DB4A0B"/>
    <w:rsid w:val="57F9CD1E"/>
    <w:rsid w:val="580813C9"/>
    <w:rsid w:val="58F5279F"/>
    <w:rsid w:val="590B5B1F"/>
    <w:rsid w:val="59B937CD"/>
    <w:rsid w:val="5A2A0227"/>
    <w:rsid w:val="5A5B2AD6"/>
    <w:rsid w:val="5AD05272"/>
    <w:rsid w:val="5AF92295"/>
    <w:rsid w:val="5AF9D8E9"/>
    <w:rsid w:val="5BD24C71"/>
    <w:rsid w:val="5BDD38BD"/>
    <w:rsid w:val="5BDD79E6"/>
    <w:rsid w:val="5BEFC772"/>
    <w:rsid w:val="5BFF5DFC"/>
    <w:rsid w:val="5CA2679A"/>
    <w:rsid w:val="5CD31049"/>
    <w:rsid w:val="5CD71FC4"/>
    <w:rsid w:val="5D1F11B5"/>
    <w:rsid w:val="5D2D69AC"/>
    <w:rsid w:val="5D3647F9"/>
    <w:rsid w:val="5D5A13D3"/>
    <w:rsid w:val="5D8F3D13"/>
    <w:rsid w:val="5DA644D4"/>
    <w:rsid w:val="5DAE1B18"/>
    <w:rsid w:val="5DE7D9E5"/>
    <w:rsid w:val="5E77771D"/>
    <w:rsid w:val="5EC1556A"/>
    <w:rsid w:val="5ECEC941"/>
    <w:rsid w:val="5EFF8FC6"/>
    <w:rsid w:val="5F0674B4"/>
    <w:rsid w:val="5F5BA39A"/>
    <w:rsid w:val="5F7D3B79"/>
    <w:rsid w:val="5F7F4610"/>
    <w:rsid w:val="5F865D71"/>
    <w:rsid w:val="5FBF9FF3"/>
    <w:rsid w:val="5FCD4E2C"/>
    <w:rsid w:val="5FEF394A"/>
    <w:rsid w:val="5FF41AEF"/>
    <w:rsid w:val="5FF67715"/>
    <w:rsid w:val="602C12EA"/>
    <w:rsid w:val="6030716F"/>
    <w:rsid w:val="60936B26"/>
    <w:rsid w:val="6133294F"/>
    <w:rsid w:val="61CA71D5"/>
    <w:rsid w:val="627EE9EA"/>
    <w:rsid w:val="629B43B7"/>
    <w:rsid w:val="62C52F94"/>
    <w:rsid w:val="639B43D5"/>
    <w:rsid w:val="63B23AA5"/>
    <w:rsid w:val="646709F5"/>
    <w:rsid w:val="647F5392"/>
    <w:rsid w:val="64E322C4"/>
    <w:rsid w:val="65FB93B9"/>
    <w:rsid w:val="6633C463"/>
    <w:rsid w:val="6716400D"/>
    <w:rsid w:val="67193AFD"/>
    <w:rsid w:val="671F7BF6"/>
    <w:rsid w:val="67656D42"/>
    <w:rsid w:val="67D55B77"/>
    <w:rsid w:val="67EE7F84"/>
    <w:rsid w:val="683D381B"/>
    <w:rsid w:val="686F5F53"/>
    <w:rsid w:val="68B24209"/>
    <w:rsid w:val="69024E7D"/>
    <w:rsid w:val="696077C1"/>
    <w:rsid w:val="69AA4EE0"/>
    <w:rsid w:val="6AF1334A"/>
    <w:rsid w:val="6AFFCEAF"/>
    <w:rsid w:val="6B96E9E6"/>
    <w:rsid w:val="6BCE57B5"/>
    <w:rsid w:val="6BE91CF0"/>
    <w:rsid w:val="6BFEA4DB"/>
    <w:rsid w:val="6BFFB662"/>
    <w:rsid w:val="6C4A05C8"/>
    <w:rsid w:val="6CB0280D"/>
    <w:rsid w:val="6CD7423E"/>
    <w:rsid w:val="6CFF4FB8"/>
    <w:rsid w:val="6D6BD6E0"/>
    <w:rsid w:val="6D77E73C"/>
    <w:rsid w:val="6DBF5E93"/>
    <w:rsid w:val="6DFF077E"/>
    <w:rsid w:val="6E4B4EE4"/>
    <w:rsid w:val="6E6E2980"/>
    <w:rsid w:val="6E7E3605"/>
    <w:rsid w:val="6E7FDCC7"/>
    <w:rsid w:val="6ED6A62E"/>
    <w:rsid w:val="6EE00B15"/>
    <w:rsid w:val="6EE737B2"/>
    <w:rsid w:val="6EEB2329"/>
    <w:rsid w:val="6EECE67A"/>
    <w:rsid w:val="6F6F90A8"/>
    <w:rsid w:val="6F6FB3EB"/>
    <w:rsid w:val="6F8731EA"/>
    <w:rsid w:val="6FBC2ADD"/>
    <w:rsid w:val="6FC41A06"/>
    <w:rsid w:val="6FD57C00"/>
    <w:rsid w:val="6FD92F65"/>
    <w:rsid w:val="6FEFFFD8"/>
    <w:rsid w:val="6FF5CC65"/>
    <w:rsid w:val="6FFB47EC"/>
    <w:rsid w:val="6FFF034A"/>
    <w:rsid w:val="70A04783"/>
    <w:rsid w:val="70F829D5"/>
    <w:rsid w:val="712A28F1"/>
    <w:rsid w:val="715C0E4B"/>
    <w:rsid w:val="71F42D5C"/>
    <w:rsid w:val="71FFD401"/>
    <w:rsid w:val="72233669"/>
    <w:rsid w:val="72671BC0"/>
    <w:rsid w:val="72734D90"/>
    <w:rsid w:val="72760055"/>
    <w:rsid w:val="72B33057"/>
    <w:rsid w:val="72C54B39"/>
    <w:rsid w:val="72FA159E"/>
    <w:rsid w:val="72FD42D3"/>
    <w:rsid w:val="73155AC0"/>
    <w:rsid w:val="7332FE48"/>
    <w:rsid w:val="73AD73D5"/>
    <w:rsid w:val="73B6EB34"/>
    <w:rsid w:val="73FA497D"/>
    <w:rsid w:val="744731E5"/>
    <w:rsid w:val="74B11819"/>
    <w:rsid w:val="74BBD01D"/>
    <w:rsid w:val="74D60D4A"/>
    <w:rsid w:val="74ED5379"/>
    <w:rsid w:val="74F71921"/>
    <w:rsid w:val="75D76BB4"/>
    <w:rsid w:val="75DEEEC2"/>
    <w:rsid w:val="767F479D"/>
    <w:rsid w:val="76E3355F"/>
    <w:rsid w:val="76F53C3E"/>
    <w:rsid w:val="76F742AF"/>
    <w:rsid w:val="76F7BE7D"/>
    <w:rsid w:val="76FF5125"/>
    <w:rsid w:val="773570D3"/>
    <w:rsid w:val="77597F31"/>
    <w:rsid w:val="776F6FFA"/>
    <w:rsid w:val="7777A522"/>
    <w:rsid w:val="77858688"/>
    <w:rsid w:val="778769C8"/>
    <w:rsid w:val="77CB741A"/>
    <w:rsid w:val="77D7BE3A"/>
    <w:rsid w:val="77DC22F5"/>
    <w:rsid w:val="78686692"/>
    <w:rsid w:val="787328DD"/>
    <w:rsid w:val="790E2D96"/>
    <w:rsid w:val="792110E3"/>
    <w:rsid w:val="79667075"/>
    <w:rsid w:val="797E3A6C"/>
    <w:rsid w:val="79AC0800"/>
    <w:rsid w:val="79CF70E2"/>
    <w:rsid w:val="79D7FD79"/>
    <w:rsid w:val="79E75806"/>
    <w:rsid w:val="79EE5BA4"/>
    <w:rsid w:val="7A641148"/>
    <w:rsid w:val="7A6F8BF5"/>
    <w:rsid w:val="7A894339"/>
    <w:rsid w:val="7ACF82B5"/>
    <w:rsid w:val="7AFF28C9"/>
    <w:rsid w:val="7AFF72A0"/>
    <w:rsid w:val="7AFF7572"/>
    <w:rsid w:val="7B6C7DFB"/>
    <w:rsid w:val="7B7D76A7"/>
    <w:rsid w:val="7B872B63"/>
    <w:rsid w:val="7BAE2FE2"/>
    <w:rsid w:val="7BAF6951"/>
    <w:rsid w:val="7BBFBED0"/>
    <w:rsid w:val="7BC3E394"/>
    <w:rsid w:val="7BF3FE4C"/>
    <w:rsid w:val="7BF42E3B"/>
    <w:rsid w:val="7BFB5035"/>
    <w:rsid w:val="7BFDE17E"/>
    <w:rsid w:val="7C773348"/>
    <w:rsid w:val="7C9B5288"/>
    <w:rsid w:val="7CBFC87B"/>
    <w:rsid w:val="7CFD384D"/>
    <w:rsid w:val="7CFE0F48"/>
    <w:rsid w:val="7D3DE31C"/>
    <w:rsid w:val="7D7EC23E"/>
    <w:rsid w:val="7D7F8A13"/>
    <w:rsid w:val="7DBBCB01"/>
    <w:rsid w:val="7DC765D0"/>
    <w:rsid w:val="7DDB0EE0"/>
    <w:rsid w:val="7DE467BB"/>
    <w:rsid w:val="7DF509C8"/>
    <w:rsid w:val="7DFF51D8"/>
    <w:rsid w:val="7E634199"/>
    <w:rsid w:val="7E835FD4"/>
    <w:rsid w:val="7E8ADEBF"/>
    <w:rsid w:val="7EEF11D3"/>
    <w:rsid w:val="7EF78C20"/>
    <w:rsid w:val="7F3F679B"/>
    <w:rsid w:val="7F4FC4EF"/>
    <w:rsid w:val="7F5E4D54"/>
    <w:rsid w:val="7F6B75FA"/>
    <w:rsid w:val="7F7E679B"/>
    <w:rsid w:val="7F9F518D"/>
    <w:rsid w:val="7FA30C79"/>
    <w:rsid w:val="7FAF8ABF"/>
    <w:rsid w:val="7FB7269E"/>
    <w:rsid w:val="7FBD6753"/>
    <w:rsid w:val="7FBD72C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BodyText1I2"/>
    <w:basedOn w:val="20"/>
    <w:qFormat/>
    <w:uiPriority w:val="0"/>
    <w:pPr>
      <w:spacing w:after="0"/>
      <w:ind w:left="200" w:leftChars="200" w:firstLine="200" w:firstLineChars="200"/>
      <w:jc w:val="both"/>
      <w:textAlignment w:val="baseline"/>
    </w:pPr>
    <w:rPr>
      <w:rFonts w:ascii="Times New Roman" w:hAnsi="Times New Roman" w:eastAsia="宋体" w:cs="Times New Roman"/>
    </w:rPr>
  </w:style>
  <w:style w:type="paragraph" w:customStyle="1" w:styleId="20">
    <w:name w:val="BodyTextIndent"/>
    <w:basedOn w:val="1"/>
    <w:qFormat/>
    <w:uiPriority w:val="0"/>
    <w:pPr>
      <w:spacing w:after="120"/>
      <w:ind w:left="200" w:leftChars="200"/>
      <w:jc w:val="both"/>
      <w:textAlignment w:val="baseline"/>
    </w:pPr>
    <w:rPr>
      <w:rFonts w:ascii="Times New Roman" w:hAnsi="Times New Roman" w:eastAsia="宋体" w:cs="Times New Roman"/>
    </w:rPr>
  </w:style>
  <w:style w:type="paragraph" w:customStyle="1" w:styleId="21">
    <w:name w:val="BodyText"/>
    <w:basedOn w:val="1"/>
    <w:qFormat/>
    <w:uiPriority w:val="0"/>
    <w:pPr>
      <w:jc w:val="center"/>
      <w:textAlignment w:val="baseline"/>
    </w:pPr>
    <w:rPr>
      <w:rFonts w:ascii="宋体" w:hAnsi="Calibri" w:eastAsia="宋体" w:cs="宋体"/>
      <w:b/>
      <w:bCs/>
      <w:kern w:val="2"/>
      <w:sz w:val="44"/>
      <w:szCs w:val="44"/>
      <w:lang w:val="en-US" w:eastAsia="zh-CN" w:bidi="ar-SA"/>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字符"/>
    <w:link w:val="11"/>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字符"/>
    <w:link w:val="10"/>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字符"/>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6"/>
    <w:link w:val="3"/>
    <w:qFormat/>
    <w:uiPriority w:val="9"/>
    <w:rPr>
      <w:rFonts w:ascii="Times New Roman" w:hAnsi="Times New Roman"/>
      <w:b/>
      <w:bCs/>
      <w:kern w:val="44"/>
      <w:sz w:val="44"/>
      <w:szCs w:val="44"/>
    </w:rPr>
  </w:style>
  <w:style w:type="character" w:customStyle="1" w:styleId="31">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6"/>
    <w:link w:val="9"/>
    <w:semiHidden/>
    <w:qFormat/>
    <w:uiPriority w:val="99"/>
    <w:rPr>
      <w:rFonts w:ascii="Times New Roman" w:hAnsi="Times New Roman"/>
      <w:kern w:val="2"/>
      <w:sz w:val="18"/>
      <w:szCs w:val="18"/>
    </w:rPr>
  </w:style>
  <w:style w:type="character" w:customStyle="1" w:styleId="34">
    <w:name w:val="标题 3 字符"/>
    <w:basedOn w:val="16"/>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WPSOffice手动目录 1"/>
    <w:qFormat/>
    <w:uiPriority w:val="0"/>
    <w:pPr>
      <w:ind w:leftChars="0"/>
    </w:pPr>
    <w:rPr>
      <w:rFonts w:asciiTheme="minorHAnsi" w:hAnsiTheme="minorHAnsi" w:eastAsiaTheme="minorEastAsia" w:cstheme="minorBidi"/>
      <w:sz w:val="20"/>
      <w:szCs w:val="20"/>
    </w:rPr>
  </w:style>
  <w:style w:type="paragraph" w:customStyle="1" w:styleId="38">
    <w:name w:val="WPSOffice手动目录 2"/>
    <w:qFormat/>
    <w:uiPriority w:val="0"/>
    <w:pPr>
      <w:ind w:leftChars="200"/>
    </w:pPr>
    <w:rPr>
      <w:rFonts w:asciiTheme="minorHAnsi" w:hAnsiTheme="minorHAnsi" w:eastAsiaTheme="minorEastAsia" w:cstheme="minorBidi"/>
      <w:sz w:val="20"/>
      <w:szCs w:val="20"/>
    </w:rPr>
  </w:style>
  <w:style w:type="paragraph" w:customStyle="1" w:styleId="39">
    <w:name w:val="WPSOffice手动目录 3"/>
    <w:qFormat/>
    <w:uiPriority w:val="0"/>
    <w:pPr>
      <w:ind w:leftChars="400"/>
    </w:pPr>
    <w:rPr>
      <w:rFonts w:asciiTheme="minorHAnsi" w:hAnsiTheme="minorHAnsi" w:eastAsiaTheme="minorEastAsia" w:cstheme="minorBidi"/>
      <w:sz w:val="20"/>
      <w:szCs w:val="20"/>
    </w:rPr>
  </w:style>
  <w:style w:type="character" w:customStyle="1" w:styleId="40">
    <w:name w:val="font61"/>
    <w:basedOn w:val="16"/>
    <w:qFormat/>
    <w:uiPriority w:val="0"/>
    <w:rPr>
      <w:rFonts w:hint="default" w:ascii="Times New Roman" w:hAnsi="Times New Roman" w:cs="Times New Roman"/>
      <w:color w:val="000000"/>
      <w:sz w:val="22"/>
      <w:szCs w:val="22"/>
      <w:u w:val="none"/>
    </w:rPr>
  </w:style>
  <w:style w:type="character" w:customStyle="1" w:styleId="41">
    <w:name w:val="font41"/>
    <w:basedOn w:val="16"/>
    <w:qFormat/>
    <w:uiPriority w:val="0"/>
    <w:rPr>
      <w:rFonts w:hint="eastAsia" w:ascii="宋体" w:hAnsi="宋体" w:eastAsia="宋体" w:cs="宋体"/>
      <w:color w:val="000000"/>
      <w:sz w:val="22"/>
      <w:szCs w:val="22"/>
      <w:u w:val="none"/>
    </w:rPr>
  </w:style>
  <w:style w:type="character" w:customStyle="1" w:styleId="42">
    <w:name w:val="font51"/>
    <w:basedOn w:val="16"/>
    <w:qFormat/>
    <w:uiPriority w:val="0"/>
    <w:rPr>
      <w:rFonts w:hint="eastAsia" w:ascii="宋体" w:hAnsi="宋体" w:eastAsia="宋体" w:cs="宋体"/>
      <w:color w:val="000000"/>
      <w:sz w:val="20"/>
      <w:szCs w:val="20"/>
      <w:u w:val="none"/>
    </w:rPr>
  </w:style>
  <w:style w:type="character" w:customStyle="1" w:styleId="43">
    <w:name w:val="font101"/>
    <w:basedOn w:val="16"/>
    <w:qFormat/>
    <w:uiPriority w:val="0"/>
    <w:rPr>
      <w:rFonts w:hint="default" w:ascii="汉仪书宋二S" w:hAnsi="汉仪书宋二S" w:eastAsia="汉仪书宋二S" w:cs="汉仪书宋二S"/>
      <w:color w:val="000000"/>
      <w:sz w:val="20"/>
      <w:szCs w:val="20"/>
      <w:u w:val="none"/>
    </w:rPr>
  </w:style>
  <w:style w:type="character" w:customStyle="1" w:styleId="44">
    <w:name w:val="font112"/>
    <w:basedOn w:val="16"/>
    <w:qFormat/>
    <w:uiPriority w:val="0"/>
    <w:rPr>
      <w:rFonts w:hint="eastAsia" w:ascii="宋体" w:hAnsi="宋体" w:eastAsia="宋体" w:cs="宋体"/>
      <w:color w:val="000000"/>
      <w:sz w:val="20"/>
      <w:szCs w:val="20"/>
      <w:u w:val="none"/>
    </w:rPr>
  </w:style>
  <w:style w:type="character" w:customStyle="1" w:styleId="45">
    <w:name w:val="font91"/>
    <w:basedOn w:val="1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chart" Target="charts/chart7.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财政拨款收入、支出变动图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2298.18</c:v>
                </c:pt>
                <c:pt idx="1">
                  <c:v>2294.3</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1875.77</c:v>
                </c:pt>
                <c:pt idx="1">
                  <c:v>1875.77</c:v>
                </c:pt>
              </c:numCache>
            </c:numRef>
          </c:val>
        </c:ser>
        <c:dLbls>
          <c:showLegendKey val="0"/>
          <c:showVal val="0"/>
          <c:showCatName val="0"/>
          <c:showSerName val="0"/>
          <c:showPercent val="0"/>
          <c:showBubbleSize val="0"/>
        </c:dLbls>
        <c:gapWidth val="246"/>
        <c:overlap val="-28"/>
        <c:axId val="283765565"/>
        <c:axId val="943176895"/>
      </c:barChart>
      <c:catAx>
        <c:axId val="2837655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176895"/>
        <c:crosses val="autoZero"/>
        <c:auto val="1"/>
        <c:lblAlgn val="ctr"/>
        <c:lblOffset val="100"/>
        <c:noMultiLvlLbl val="0"/>
      </c:catAx>
      <c:valAx>
        <c:axId val="94317689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376556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a9cbd41-dee9-4732-8c26-84a15099dcb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2023年财政收入决算</c:v>
                </c:pt>
              </c:strCache>
            </c:strRef>
          </c:tx>
          <c:spPr/>
          <c:explosion val="0"/>
          <c:dPt>
            <c:idx val="0"/>
            <c:bubble3D val="0"/>
            <c:spPr>
              <a:solidFill>
                <a:schemeClr val="accent1"/>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r>
                      <a:rPr sz="800" u="none" strike="noStrike" cap="none" normalizeH="0">
                        <a:solidFill>
                          <a:schemeClr val="tx1">
                            <a:lumMod val="75000"/>
                            <a:lumOff val="25000"/>
                          </a:schemeClr>
                        </a:solidFill>
                        <a:uFill>
                          <a:solidFill>
                            <a:schemeClr val="tx1">
                              <a:lumMod val="75000"/>
                              <a:lumOff val="25000"/>
                            </a:schemeClr>
                          </a:solidFill>
                        </a:uFill>
                      </a:rPr>
                      <a:t>2298.18万元，</a:t>
                    </a:r>
                    <a:r>
                      <a:rPr lang="en-US" altLang="zh-CN" sz="800" u="none" strike="noStrike" cap="none" normalizeH="0">
                        <a:solidFill>
                          <a:schemeClr val="tx1">
                            <a:lumMod val="75000"/>
                            <a:lumOff val="25000"/>
                          </a:schemeClr>
                        </a:solidFill>
                        <a:uFill>
                          <a:solidFill>
                            <a:schemeClr val="tx1">
                              <a:lumMod val="75000"/>
                              <a:lumOff val="25000"/>
                            </a:schemeClr>
                          </a:solidFill>
                        </a:uFill>
                      </a:rPr>
                      <a:t>100%</a:t>
                    </a:r>
                    <a:endParaRPr lang="en-US" altLang="zh-CN" sz="800" u="none" strike="noStrike" cap="none" normalizeH="0">
                      <a:solidFill>
                        <a:schemeClr val="tx1">
                          <a:lumMod val="75000"/>
                          <a:lumOff val="25000"/>
                        </a:schemeClr>
                      </a:solidFill>
                      <a:uFill>
                        <a:solidFill>
                          <a:schemeClr val="tx1">
                            <a:lumMod val="75000"/>
                            <a:lumOff val="25000"/>
                          </a:schemeClr>
                        </a:solidFill>
                      </a:uFill>
                    </a:endParaRPr>
                  </a:p>
                </c:rich>
              </c:tx>
              <c:dLblPos val="ctr"/>
              <c:showLegendKey val="0"/>
              <c:showVal val="1"/>
              <c:showCatName val="0"/>
              <c:showSerName val="1"/>
              <c:showPercent val="1"/>
              <c:showBubbleSize val="0"/>
              <c:extLst>
                <c:ext xmlns:c15="http://schemas.microsoft.com/office/drawing/2012/chart" uri="{CE6537A1-D6FC-4f65-9D91-7224C49458BB}">
                  <c15:layout>
                    <c:manualLayout>
                      <c:w val="0.273737617782073"/>
                      <c:h val="0.0514237144071398"/>
                    </c:manualLayout>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c:v>
                </c:pt>
              </c:strCache>
            </c:strRef>
          </c:cat>
          <c:val>
            <c:numRef>
              <c:f>Sheet1!$B$2</c:f>
              <c:numCache>
                <c:formatCode>General</c:formatCode>
                <c:ptCount val="1"/>
                <c:pt idx="0">
                  <c:v>2298.18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6e0b4fc-773c-412f-a363-dc0e3cbe8ef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2023年支出决算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1804.69</a:t>
                    </a:r>
                    <a:r>
                      <a:rPr sz="800">
                        <a:solidFill>
                          <a:schemeClr val="tx1">
                            <a:lumMod val="75000"/>
                            <a:lumOff val="25000"/>
                          </a:schemeClr>
                        </a:solidFill>
                        <a:uFillTx/>
                      </a:rPr>
                      <a:t>万元</a:t>
                    </a:r>
                    <a:r>
                      <a:t>, 79%</a:t>
                    </a:r>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489.61</a:t>
                    </a:r>
                    <a:r>
                      <a:rPr sz="800"/>
                      <a:t>万元</a:t>
                    </a:r>
                    <a:r>
                      <a:t>, 21%</a:t>
                    </a:r>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1804.69</c:v>
                </c:pt>
                <c:pt idx="1">
                  <c:v>489.61</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ac8daf7-9043-4551-9b99-e666564fb4e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财政拨款收入、支出变动图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2298.18</c:v>
                </c:pt>
                <c:pt idx="1">
                  <c:v>2294.3</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1875.77</c:v>
                </c:pt>
                <c:pt idx="1">
                  <c:v>1875.77</c:v>
                </c:pt>
              </c:numCache>
            </c:numRef>
          </c:val>
        </c:ser>
        <c:dLbls>
          <c:showLegendKey val="0"/>
          <c:showVal val="0"/>
          <c:showCatName val="0"/>
          <c:showSerName val="0"/>
          <c:showPercent val="0"/>
          <c:showBubbleSize val="0"/>
        </c:dLbls>
        <c:gapWidth val="246"/>
        <c:overlap val="-28"/>
        <c:axId val="283765565"/>
        <c:axId val="943176895"/>
      </c:barChart>
      <c:catAx>
        <c:axId val="2837655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176895"/>
        <c:crosses val="autoZero"/>
        <c:auto val="1"/>
        <c:lblAlgn val="ctr"/>
        <c:lblOffset val="100"/>
        <c:noMultiLvlLbl val="0"/>
      </c:catAx>
      <c:valAx>
        <c:axId val="94317689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376556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11a5866-d201-4a82-9b7d-631c3463822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一般公共预算财政拨款支出变动情况</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1875.77</a:t>
                    </a:r>
                    <a:r>
                      <a:rPr sz="800">
                        <a:solidFill>
                          <a:schemeClr val="tx1">
                            <a:lumMod val="75000"/>
                            <a:lumOff val="25000"/>
                          </a:schemeClr>
                        </a:solidFill>
                        <a:uFillTx/>
                      </a:rPr>
                      <a:t>万元</a:t>
                    </a:r>
                    <a:endParaRPr sz="800">
                      <a:solidFill>
                        <a:schemeClr val="tx1">
                          <a:lumMod val="75000"/>
                          <a:lumOff val="25000"/>
                        </a:schemeClr>
                      </a:solidFill>
                      <a:uFillTx/>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2294.3万元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1875.77</c:v>
                </c:pt>
                <c:pt idx="1">
                  <c:v>2294.3</c:v>
                </c:pt>
              </c:numCache>
            </c:numRef>
          </c:val>
        </c:ser>
        <c:dLbls>
          <c:showLegendKey val="0"/>
          <c:showVal val="1"/>
          <c:showCatName val="0"/>
          <c:showSerName val="0"/>
          <c:showPercent val="0"/>
          <c:showBubbleSize val="0"/>
        </c:dLbls>
        <c:gapWidth val="246"/>
        <c:overlap val="-28"/>
        <c:axId val="183995801"/>
        <c:axId val="526029517"/>
      </c:barChart>
      <c:catAx>
        <c:axId val="1839958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029517"/>
        <c:crosses val="autoZero"/>
        <c:auto val="1"/>
        <c:lblAlgn val="ctr"/>
        <c:lblOffset val="100"/>
        <c:noMultiLvlLbl val="0"/>
      </c:catAx>
      <c:valAx>
        <c:axId val="52602951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399580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5ae6adf-42f9-4919-84f5-0cf4d05c8f8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1"/>
              <c:layout>
                <c:manualLayout>
                  <c:x val="-0.0359919363249609"/>
                  <c:y val="0.0044704390597011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326738015975632"/>
                  <c:y val="-0.012855945804243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043056297373631"/>
                  <c:y val="0.01681587226505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公共安全支出</c:v>
                </c:pt>
                <c:pt idx="1">
                  <c:v>社会保障和就业支出</c:v>
                </c:pt>
                <c:pt idx="2">
                  <c:v>卫生健康支出</c:v>
                </c:pt>
                <c:pt idx="3">
                  <c:v>住房保障支出</c:v>
                </c:pt>
              </c:strCache>
            </c:strRef>
          </c:cat>
          <c:val>
            <c:numRef>
              <c:f>Sheet1!$B$2:$B$5</c:f>
              <c:numCache>
                <c:formatCode>General</c:formatCode>
                <c:ptCount val="4"/>
                <c:pt idx="0">
                  <c:v>2014.84</c:v>
                </c:pt>
                <c:pt idx="1">
                  <c:v>109.85</c:v>
                </c:pt>
                <c:pt idx="2">
                  <c:v>84.46</c:v>
                </c:pt>
                <c:pt idx="3">
                  <c:v>85.16</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2fac972-c9d2-4ece-9186-350c91f765e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"三公经费"财政拨款支出决算结构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Sheet1!$A$2:$A$4</c:f>
              <c:strCache>
                <c:ptCount val="3"/>
                <c:pt idx="0">
                  <c:v>公务用车购置及运行维护费</c:v>
                </c:pt>
                <c:pt idx="1">
                  <c:v>公务接待费</c:v>
                </c:pt>
                <c:pt idx="2">
                  <c:v>因公出国(境)费</c:v>
                </c:pt>
              </c:strCache>
            </c:strRef>
          </c:cat>
          <c:val>
            <c:numRef>
              <c:f>Sheet1!$B$2:$B$4</c:f>
              <c:numCache>
                <c:formatCode>General</c:formatCode>
                <c:ptCount val="3"/>
                <c:pt idx="0">
                  <c:v>11.56</c:v>
                </c:pt>
                <c:pt idx="1">
                  <c:v>2.26</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59c47f6-5ca5-43c8-b5e5-2a4336a46e3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8272</Words>
  <Characters>9327</Characters>
  <Lines>72</Lines>
  <Paragraphs>20</Paragraphs>
  <TotalTime>13</TotalTime>
  <ScaleCrop>false</ScaleCrop>
  <LinksUpToDate>false</LinksUpToDate>
  <CharactersWithSpaces>9498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vicky</cp:lastModifiedBy>
  <cp:lastPrinted>2023-08-03T10:35:00Z</cp:lastPrinted>
  <dcterms:modified xsi:type="dcterms:W3CDTF">2024-10-28T10:54:59Z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7715409984A84C35A773718F45DA8E8B_13</vt:lpwstr>
  </property>
</Properties>
</file>