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25884"/>
      <w:bookmarkStart w:id="2" w:name="_Toc15377425"/>
      <w:bookmarkStart w:id="3" w:name="_Toc15378441"/>
      <w:bookmarkStart w:id="4" w:name="_Toc15396475"/>
      <w:bookmarkStart w:id="5" w:name="_Toc15377193"/>
      <w:bookmarkStart w:id="6" w:name="_Toc15396597"/>
      <w:bookmarkStart w:id="7" w:name="_Toc2900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72"/>
          <w:szCs w:val="72"/>
          <w:highlight w:val="none"/>
          <w:lang w:val="en-US" w:eastAsia="zh-CN"/>
        </w:rPr>
      </w:pPr>
      <w:bookmarkStart w:id="8" w:name="_Toc15377426"/>
      <w:bookmarkStart w:id="9" w:name="_Toc15378442"/>
      <w:bookmarkStart w:id="10" w:name="_Toc2431"/>
      <w:bookmarkStart w:id="11" w:name="_Toc15396476"/>
      <w:bookmarkStart w:id="12" w:name="_Toc15396598"/>
      <w:bookmarkStart w:id="13" w:name="_Toc9972"/>
      <w:bookmarkStart w:id="14" w:name="_Toc15377194"/>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5" w:name="_Toc15306268"/>
      <w:r>
        <w:rPr>
          <w:rFonts w:hint="eastAsia" w:ascii="方正小标宋简体" w:hAnsi="方正小标宋简体" w:eastAsia="方正小标宋简体" w:cs="方正小标宋简体"/>
          <w:b w:val="0"/>
          <w:bCs w:val="0"/>
          <w:color w:val="auto"/>
          <w:sz w:val="72"/>
          <w:szCs w:val="72"/>
          <w:highlight w:val="none"/>
          <w:lang w:val="en-US" w:eastAsia="zh-CN"/>
        </w:rPr>
        <w:t>青年路幼儿园</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bookmarkEnd w:id="15"/>
    </w:p>
    <w:p>
      <w:pPr>
        <w:adjustRightInd w:val="0"/>
        <w:snapToGrid w:val="0"/>
        <w:spacing w:line="360" w:lineRule="auto"/>
        <w:jc w:val="center"/>
        <w:outlineLvl w:val="9"/>
        <w:rPr>
          <w:rFonts w:ascii="方正小标宋简体" w:hAnsi="宋体" w:eastAsia="方正小标宋简体"/>
          <w:color w:val="auto"/>
          <w:sz w:val="52"/>
          <w:szCs w:val="52"/>
          <w:highlight w:val="none"/>
        </w:rPr>
      </w:pPr>
    </w:p>
    <w:p>
      <w:pPr>
        <w:spacing w:before="0" w:beforeLines="0" w:after="0" w:afterLines="0" w:line="240" w:lineRule="auto"/>
        <w:ind w:left="0" w:leftChars="0" w:right="0" w:rightChars="0" w:firstLine="0" w:firstLineChars="0"/>
        <w:jc w:val="center"/>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p>
    <w:sdt>
      <w:sdtPr>
        <w:rPr>
          <w:rFonts w:ascii="宋体" w:hAnsi="宋体" w:eastAsia="宋体" w:cs="Times New Roman"/>
          <w:kern w:val="2"/>
          <w:sz w:val="21"/>
          <w:szCs w:val="24"/>
          <w:lang w:val="en-US" w:eastAsia="zh-CN" w:bidi="ar-SA"/>
        </w:rPr>
        <w:id w:val="147467571"/>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目录</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公开时间：</w:t>
          </w:r>
          <w:r>
            <w:rPr>
              <w:rFonts w:hint="eastAsia"/>
              <w:color w:val="000000" w:themeColor="text1"/>
              <w:lang w:val="en-US" w:eastAsia="zh-CN"/>
              <w14:textFill>
                <w14:solidFill>
                  <w14:schemeClr w14:val="tx1"/>
                </w14:solidFill>
              </w14:textFill>
            </w:rPr>
            <w:t xml:space="preserve"> 2023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8</w:t>
          </w:r>
          <w:r>
            <w:rPr>
              <w:rFonts w:hint="eastAsia"/>
              <w:color w:val="000000" w:themeColor="text1"/>
              <w14:textFill>
                <w14:solidFill>
                  <w14:schemeClr w14:val="tx1"/>
                </w14:solidFill>
              </w14:textFill>
            </w:rPr>
            <w:t>日</w:t>
          </w:r>
        </w:p>
        <w:p/>
        <w:p>
          <w:pPr>
            <w:pStyle w:val="11"/>
            <w:tabs>
              <w:tab w:val="right" w:leader="dot" w:pos="8844"/>
              <w:tab w:val="clear" w:pos="8296"/>
            </w:tabs>
            <w:jc w:val="both"/>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_Toc30286 </w:instrText>
          </w:r>
          <w:r>
            <w:rPr>
              <w:rFonts w:hint="eastAsia" w:ascii="仿宋" w:hAnsi="仿宋" w:eastAsia="仿宋" w:cs="仿宋"/>
            </w:rPr>
            <w:fldChar w:fldCharType="separate"/>
          </w:r>
          <w:r>
            <w:rPr>
              <w:rFonts w:hint="eastAsia" w:ascii="仿宋" w:hAnsi="仿宋" w:eastAsia="仿宋" w:cs="仿宋"/>
              <w:highlight w:val="none"/>
            </w:rPr>
            <w:t xml:space="preserve">第一部分 </w:t>
          </w:r>
          <w:r>
            <w:rPr>
              <w:rFonts w:hint="eastAsia" w:ascii="仿宋" w:hAnsi="仿宋" w:eastAsia="仿宋" w:cs="仿宋"/>
              <w:highlight w:val="none"/>
              <w:lang w:eastAsia="zh-CN"/>
            </w:rPr>
            <w:t>单位</w:t>
          </w:r>
          <w:r>
            <w:rPr>
              <w:rFonts w:hint="eastAsia" w:ascii="仿宋" w:hAnsi="仿宋" w:eastAsia="仿宋" w:cs="仿宋"/>
              <w:bCs w:val="0"/>
              <w:highlight w:val="none"/>
            </w:rPr>
            <w:t>概况</w:t>
          </w:r>
          <w:r>
            <w:rPr>
              <w:rFonts w:hint="eastAsia" w:ascii="仿宋" w:hAnsi="仿宋" w:eastAsia="仿宋" w:cs="仿宋"/>
            </w:rPr>
            <w:tab/>
          </w:r>
          <w:r>
            <w:rPr>
              <w:rFonts w:hint="eastAsia" w:cs="仿宋"/>
              <w:lang w:val="en-US" w:eastAsia="zh-CN"/>
            </w:rPr>
            <w:t>1</w:t>
          </w:r>
          <w:r>
            <w:rPr>
              <w:rFonts w:hint="eastAsia" w:ascii="仿宋" w:hAnsi="仿宋" w:eastAsia="仿宋" w:cs="仿宋"/>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_Toc6863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eastAsia="zh-CN"/>
            </w:rPr>
            <w:t>一、</w:t>
          </w:r>
          <w:r>
            <w:rPr>
              <w:rFonts w:hint="eastAsia" w:ascii="仿宋" w:hAnsi="仿宋" w:eastAsia="仿宋" w:cs="仿宋"/>
              <w:bCs w:val="0"/>
              <w:sz w:val="24"/>
              <w:szCs w:val="24"/>
              <w:highlight w:val="none"/>
              <w:lang w:eastAsia="zh-CN"/>
            </w:rPr>
            <w:t>主要职责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_Toc6863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_Toc3595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lang w:val="en-US" w:eastAsia="zh-CN"/>
            </w:rPr>
            <w:t>二、机构设置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_Toc3595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1"/>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_Toc6606 </w:instrText>
          </w:r>
          <w:r>
            <w:rPr>
              <w:rFonts w:hint="eastAsia" w:ascii="仿宋" w:hAnsi="仿宋" w:eastAsia="仿宋" w:cs="仿宋"/>
            </w:rPr>
            <w:fldChar w:fldCharType="separate"/>
          </w:r>
          <w:r>
            <w:rPr>
              <w:rFonts w:hint="eastAsia" w:ascii="仿宋" w:hAnsi="仿宋" w:eastAsia="仿宋" w:cs="仿宋"/>
              <w:bCs/>
              <w:highlight w:val="none"/>
            </w:rPr>
            <w:t xml:space="preserve">第二部分 </w:t>
          </w:r>
          <w:r>
            <w:rPr>
              <w:rFonts w:hint="eastAsia" w:ascii="仿宋" w:hAnsi="仿宋" w:eastAsia="仿宋" w:cs="仿宋"/>
              <w:bCs/>
              <w:highlight w:val="none"/>
              <w:lang w:val="en-US" w:eastAsia="zh-CN"/>
            </w:rPr>
            <w:t>2022年度</w:t>
          </w:r>
          <w:r>
            <w:rPr>
              <w:rFonts w:hint="eastAsia" w:ascii="仿宋" w:hAnsi="仿宋" w:eastAsia="仿宋" w:cs="仿宋"/>
              <w:bCs/>
              <w:highlight w:val="none"/>
              <w:lang w:eastAsia="zh-CN"/>
            </w:rPr>
            <w:t>单位</w:t>
          </w:r>
          <w:r>
            <w:rPr>
              <w:rFonts w:hint="eastAsia" w:ascii="仿宋" w:hAnsi="仿宋" w:eastAsia="仿宋" w:cs="仿宋"/>
              <w:bCs/>
              <w:highlight w:val="none"/>
            </w:rPr>
            <w:t>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_Toc6606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_Toc28437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一、 </w:t>
          </w:r>
          <w:r>
            <w:rPr>
              <w:rFonts w:hint="eastAsia" w:ascii="仿宋" w:hAnsi="仿宋" w:eastAsia="仿宋" w:cs="仿宋"/>
              <w:sz w:val="24"/>
              <w:szCs w:val="24"/>
              <w:highlight w:val="none"/>
            </w:rPr>
            <w:t>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_Toc28437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_Toc19137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24"/>
              <w:highlight w:val="none"/>
            </w:rPr>
            <w:t>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_Toc19137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_Toc8794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三、 </w:t>
          </w:r>
          <w:r>
            <w:rPr>
              <w:rFonts w:hint="eastAsia" w:ascii="仿宋" w:hAnsi="仿宋" w:eastAsia="仿宋" w:cs="仿宋"/>
              <w:sz w:val="24"/>
              <w:szCs w:val="24"/>
              <w:highlight w:val="none"/>
            </w:rPr>
            <w:t>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_Toc8794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_Toc12594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_Toc12594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_Toc2573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_Toc6211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_Toc6211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_Toc15117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_Toc15117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_Toc4863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八、政府性基金预算支出决算情况说</w:t>
          </w:r>
          <w:r>
            <w:rPr>
              <w:rFonts w:hint="eastAsia" w:ascii="仿宋" w:hAnsi="仿宋" w:eastAsia="仿宋" w:cs="仿宋"/>
              <w:b/>
              <w:bCs/>
              <w:sz w:val="24"/>
              <w:szCs w:val="24"/>
              <w:lang w:val="en-US" w:eastAsia="zh-CN"/>
            </w:rPr>
            <w:t>明</w:t>
          </w:r>
          <w:r>
            <w:rPr>
              <w:rFonts w:hint="eastAsia" w:ascii="仿宋" w:hAnsi="仿宋" w:eastAsia="仿宋" w:cs="仿宋"/>
              <w:sz w:val="24"/>
              <w:szCs w:val="24"/>
            </w:rPr>
            <w:fldChar w:fldCharType="end"/>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_Toc15117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_Toc27387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九、 </w:t>
          </w:r>
          <w:r>
            <w:rPr>
              <w:rFonts w:hint="eastAsia" w:ascii="仿宋" w:hAnsi="仿宋" w:eastAsia="仿宋" w:cs="仿宋"/>
              <w:sz w:val="24"/>
              <w:szCs w:val="24"/>
              <w:highlight w:val="none"/>
            </w:rPr>
            <w:t>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_Toc27387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_Toc23627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十、 </w:t>
          </w:r>
          <w:r>
            <w:rPr>
              <w:rFonts w:hint="eastAsia" w:ascii="仿宋" w:hAnsi="仿宋" w:eastAsia="仿宋" w:cs="仿宋"/>
              <w:sz w:val="24"/>
              <w:szCs w:val="24"/>
              <w:highlight w:val="none"/>
            </w:rPr>
            <w:t>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_Toc23627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1"/>
            <w:tabs>
              <w:tab w:val="right" w:leader="dot" w:pos="8844"/>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_Toc3815 </w:instrText>
          </w:r>
          <w:r>
            <w:rPr>
              <w:rFonts w:hint="eastAsia" w:ascii="仿宋" w:hAnsi="仿宋" w:eastAsia="仿宋" w:cs="仿宋"/>
            </w:rPr>
            <w:fldChar w:fldCharType="separate"/>
          </w:r>
          <w:r>
            <w:rPr>
              <w:rFonts w:hint="eastAsia" w:ascii="仿宋" w:hAnsi="仿宋" w:eastAsia="仿宋" w:cs="仿宋"/>
              <w:szCs w:val="44"/>
            </w:rPr>
            <w:t xml:space="preserve">第三部分 </w:t>
          </w:r>
          <w:r>
            <w:rPr>
              <w:rFonts w:hint="eastAsia" w:ascii="仿宋" w:hAnsi="仿宋" w:eastAsia="仿宋" w:cs="仿宋"/>
              <w:szCs w:val="44"/>
              <w:highlight w:val="none"/>
            </w:rPr>
            <w:t>名</w:t>
          </w:r>
          <w:r>
            <w:rPr>
              <w:rFonts w:hint="eastAsia" w:ascii="仿宋" w:hAnsi="仿宋" w:eastAsia="仿宋" w:cs="仿宋"/>
              <w:highlight w:val="none"/>
            </w:rPr>
            <w:t>词解释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_Toc3815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844"/>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_Toc11393 </w:instrText>
          </w:r>
          <w:r>
            <w:rPr>
              <w:rFonts w:hint="eastAsia" w:ascii="仿宋" w:hAnsi="仿宋" w:eastAsia="仿宋" w:cs="仿宋"/>
            </w:rPr>
            <w:fldChar w:fldCharType="separate"/>
          </w:r>
          <w:r>
            <w:rPr>
              <w:rFonts w:hint="eastAsia" w:ascii="仿宋" w:hAnsi="仿宋" w:eastAsia="仿宋" w:cs="仿宋"/>
              <w:szCs w:val="44"/>
              <w:highlight w:val="none"/>
            </w:rPr>
            <w:t>第</w:t>
          </w:r>
          <w:r>
            <w:rPr>
              <w:rFonts w:hint="eastAsia" w:ascii="仿宋" w:hAnsi="仿宋" w:eastAsia="仿宋" w:cs="仿宋"/>
              <w:highlight w:val="none"/>
            </w:rPr>
            <w:t>四部分 附件</w:t>
          </w:r>
          <w:r>
            <w:rPr>
              <w:rFonts w:hint="eastAsia" w:ascii="仿宋" w:hAnsi="仿宋" w:eastAsia="仿宋" w:cs="仿宋"/>
            </w:rPr>
            <w:tab/>
          </w:r>
          <w:r>
            <w:rPr>
              <w:rFonts w:hint="eastAsia" w:ascii="仿宋" w:hAnsi="仿宋" w:eastAsia="仿宋" w:cs="仿宋"/>
              <w:lang w:val="en-US" w:eastAsia="zh-CN"/>
            </w:rPr>
            <w:t>15</w:t>
          </w:r>
          <w:r>
            <w:rPr>
              <w:rFonts w:hint="eastAsia" w:ascii="仿宋" w:hAnsi="仿宋" w:eastAsia="仿宋" w:cs="仿宋"/>
            </w:rPr>
            <w:fldChar w:fldCharType="end"/>
          </w:r>
        </w:p>
        <w:p>
          <w:pPr>
            <w:pStyle w:val="11"/>
            <w:tabs>
              <w:tab w:val="right" w:leader="dot" w:pos="8844"/>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_Toc10531 </w:instrText>
          </w:r>
          <w:r>
            <w:rPr>
              <w:rFonts w:hint="eastAsia" w:ascii="仿宋" w:hAnsi="仿宋" w:eastAsia="仿宋" w:cs="仿宋"/>
            </w:rPr>
            <w:fldChar w:fldCharType="separate"/>
          </w:r>
          <w:r>
            <w:rPr>
              <w:rFonts w:hint="eastAsia" w:ascii="仿宋" w:hAnsi="仿宋" w:eastAsia="仿宋" w:cs="仿宋"/>
              <w:szCs w:val="44"/>
              <w:highlight w:val="none"/>
            </w:rPr>
            <w:t>第</w:t>
          </w:r>
          <w:r>
            <w:rPr>
              <w:rFonts w:hint="eastAsia" w:ascii="仿宋" w:hAnsi="仿宋" w:eastAsia="仿宋" w:cs="仿宋"/>
              <w:highlight w:val="none"/>
            </w:rPr>
            <w:t>五部分 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_Toc10531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_Toc28756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一、收</w:t>
          </w:r>
          <w:r>
            <w:rPr>
              <w:rFonts w:hint="eastAsia" w:ascii="仿宋" w:hAnsi="仿宋" w:eastAsia="仿宋" w:cs="仿宋"/>
              <w:bCs w:val="0"/>
              <w:sz w:val="24"/>
              <w:szCs w:val="24"/>
              <w:highlight w:val="none"/>
            </w:rPr>
            <w:t>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_Toc28756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_Toc21992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二、收</w:t>
          </w:r>
          <w:r>
            <w:rPr>
              <w:rFonts w:hint="eastAsia" w:ascii="仿宋" w:hAnsi="仿宋" w:eastAsia="仿宋" w:cs="仿宋"/>
              <w:bCs w:val="0"/>
              <w:sz w:val="24"/>
              <w:szCs w:val="24"/>
              <w:highlight w:val="none"/>
            </w:rPr>
            <w:t>入决算表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_Toc29094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三、</w:t>
          </w:r>
          <w:r>
            <w:rPr>
              <w:rFonts w:hint="eastAsia" w:ascii="仿宋" w:hAnsi="仿宋" w:eastAsia="仿宋" w:cs="仿宋"/>
              <w:sz w:val="24"/>
              <w:szCs w:val="24"/>
              <w:highlight w:val="none"/>
            </w:rPr>
            <w:t>支</w:t>
          </w:r>
          <w:r>
            <w:rPr>
              <w:rFonts w:hint="eastAsia" w:ascii="仿宋" w:hAnsi="仿宋" w:eastAsia="仿宋" w:cs="仿宋"/>
              <w:bCs w:val="0"/>
              <w:sz w:val="24"/>
              <w:szCs w:val="24"/>
              <w:highlight w:val="none"/>
            </w:rPr>
            <w:t>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_Toc29094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_Toc32552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四、</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_Toc32552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_Toc8670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五、</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_Toc8670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_Toc20413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六、</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_Toc20413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_Toc23820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七、</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_Toc23820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_Toc9612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八、</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_Toc9612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_Toc6964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九、</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_Toc6964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_Toc11124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w:t>
          </w:r>
          <w:r>
            <w:rPr>
              <w:rFonts w:hint="eastAsia" w:ascii="仿宋" w:hAnsi="仿宋" w:eastAsia="仿宋" w:cs="仿宋"/>
              <w:sz w:val="24"/>
              <w:szCs w:val="24"/>
              <w:highlight w:val="none"/>
            </w:rPr>
            <w:t>政</w:t>
          </w:r>
          <w:r>
            <w:rPr>
              <w:rFonts w:hint="eastAsia" w:ascii="仿宋" w:hAnsi="仿宋" w:eastAsia="仿宋" w:cs="仿宋"/>
              <w:bCs w:val="0"/>
              <w:sz w:val="24"/>
              <w:szCs w:val="24"/>
              <w:highlight w:val="none"/>
            </w:rPr>
            <w:t>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_Toc11124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_Toc19195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十一、</w:t>
          </w:r>
          <w:r>
            <w:rPr>
              <w:rFonts w:hint="eastAsia" w:ascii="仿宋" w:hAnsi="仿宋" w:eastAsia="仿宋" w:cs="仿宋"/>
              <w:sz w:val="24"/>
              <w:szCs w:val="24"/>
              <w:highlight w:val="none"/>
            </w:rPr>
            <w:t>国</w:t>
          </w:r>
          <w:r>
            <w:rPr>
              <w:rFonts w:hint="eastAsia" w:ascii="仿宋" w:hAnsi="仿宋" w:eastAsia="仿宋" w:cs="仿宋"/>
              <w:bCs w:val="0"/>
              <w:sz w:val="24"/>
              <w:szCs w:val="24"/>
              <w:highlight w:val="none"/>
            </w:rPr>
            <w:t>有资本经营预算</w:t>
          </w:r>
          <w:r>
            <w:rPr>
              <w:rFonts w:hint="eastAsia" w:ascii="仿宋" w:hAnsi="仿宋" w:eastAsia="仿宋" w:cs="仿宋"/>
              <w:bCs w:val="0"/>
              <w:sz w:val="24"/>
              <w:szCs w:val="24"/>
              <w:highlight w:val="none"/>
              <w:lang w:eastAsia="zh-CN"/>
            </w:rPr>
            <w:t>财政拨款收入</w:t>
          </w:r>
          <w:r>
            <w:rPr>
              <w:rFonts w:hint="eastAsia" w:ascii="仿宋" w:hAnsi="仿宋" w:eastAsia="仿宋" w:cs="仿宋"/>
              <w:bCs w:val="0"/>
              <w:sz w:val="24"/>
              <w:szCs w:val="24"/>
              <w:highlight w:val="none"/>
            </w:rPr>
            <w:t>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_Toc19195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_Toc20415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十二、</w:t>
          </w:r>
          <w:r>
            <w:rPr>
              <w:rFonts w:hint="eastAsia" w:ascii="仿宋" w:hAnsi="仿宋" w:eastAsia="仿宋" w:cs="仿宋"/>
              <w:bCs w:val="0"/>
              <w:sz w:val="24"/>
              <w:szCs w:val="24"/>
              <w:highlight w:val="none"/>
              <w:lang w:eastAsia="zh-CN"/>
            </w:rPr>
            <w:t>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_Toc20415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844"/>
              <w:tab w:val="clear" w:pos="8296"/>
            </w:tabs>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_Toc23254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十三、</w:t>
          </w:r>
          <w:r>
            <w:rPr>
              <w:rFonts w:hint="eastAsia" w:ascii="仿宋" w:hAnsi="仿宋" w:eastAsia="仿宋" w:cs="仿宋"/>
              <w:bCs w:val="0"/>
              <w:sz w:val="24"/>
              <w:szCs w:val="24"/>
              <w:highlight w:val="none"/>
              <w:lang w:eastAsia="zh-CN"/>
            </w:rPr>
            <w:t>财政拨款“三公”经费支出决算表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_Toc23254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rPr>
              <w:rFonts w:hint="eastAsia" w:ascii="仿宋" w:hAnsi="仿宋" w:eastAsia="仿宋" w:cs="仿宋"/>
            </w:rPr>
          </w:pPr>
          <w:r>
            <w:rPr>
              <w:rFonts w:hint="eastAsia" w:ascii="仿宋" w:hAnsi="仿宋" w:eastAsia="仿宋" w:cs="仿宋"/>
            </w:rPr>
            <w:fldChar w:fldCharType="end"/>
          </w:r>
        </w:p>
        <w:p>
          <w:pPr>
            <w:widowControl/>
            <w:jc w:val="center"/>
            <w:rPr>
              <w:rFonts w:hint="eastAsia" w:ascii="仿宋" w:hAnsi="仿宋" w:eastAsia="仿宋" w:cs="仿宋"/>
              <w:kern w:val="2"/>
              <w:sz w:val="21"/>
              <w:szCs w:val="24"/>
              <w:lang w:val="en-US" w:eastAsia="zh-CN" w:bidi="ar-SA"/>
            </w:rPr>
          </w:pPr>
          <w:bookmarkStart w:id="16" w:name="_Toc29354"/>
          <w:bookmarkStart w:id="17" w:name="_Toc30286"/>
          <w:bookmarkStart w:id="18" w:name="_Toc15396599"/>
          <w:bookmarkStart w:id="19" w:name="_Toc15377196"/>
        </w:p>
      </w:sdtContent>
    </w:sdt>
    <w:p>
      <w:pPr>
        <w:pStyle w:val="3"/>
        <w:rPr>
          <w:rFonts w:hint="eastAsia" w:ascii="仿宋" w:hAnsi="仿宋" w:eastAsia="仿宋" w:cs="仿宋"/>
          <w:kern w:val="2"/>
          <w:sz w:val="21"/>
          <w:szCs w:val="24"/>
          <w:lang w:val="en-US" w:eastAsia="zh-CN" w:bidi="ar-SA"/>
        </w:rPr>
      </w:pPr>
    </w:p>
    <w:p>
      <w:pPr>
        <w:rPr>
          <w:rFonts w:hint="eastAsia" w:ascii="仿宋" w:hAnsi="仿宋" w:eastAsia="仿宋" w:cs="仿宋"/>
          <w:kern w:val="2"/>
          <w:sz w:val="21"/>
          <w:szCs w:val="24"/>
          <w:lang w:val="en-US" w:eastAsia="zh-CN" w:bidi="ar-SA"/>
        </w:rPr>
      </w:pPr>
    </w:p>
    <w:p>
      <w:pPr>
        <w:pStyle w:val="3"/>
        <w:rPr>
          <w:rFonts w:hint="eastAsia" w:ascii="仿宋" w:hAnsi="仿宋" w:eastAsia="仿宋" w:cs="仿宋"/>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pStyle w:val="3"/>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pStyle w:val="3"/>
        <w:sectPr>
          <w:footerReference r:id="rId3" w:type="default"/>
          <w:pgSz w:w="11906" w:h="16838"/>
          <w:pgMar w:top="2098" w:right="1474" w:bottom="1985" w:left="1588" w:header="851" w:footer="992" w:gutter="0"/>
          <w:pgNumType w:fmt="decimal" w:start="1"/>
          <w:cols w:space="720" w:num="1"/>
          <w:docGrid w:type="lines" w:linePitch="435" w:charSpace="0"/>
        </w:sectPr>
      </w:pPr>
    </w:p>
    <w:p/>
    <w:p>
      <w:pPr>
        <w:widowControl/>
        <w:jc w:val="center"/>
        <w:rPr>
          <w:rFonts w:hint="eastAsia" w:ascii="黑体" w:hAnsi="黑体" w:eastAsia="黑体" w:cs="黑体"/>
          <w:sz w:val="44"/>
          <w:szCs w:val="44"/>
        </w:rPr>
      </w:pPr>
      <w:r>
        <w:rPr>
          <w:rFonts w:hint="eastAsia" w:ascii="黑体" w:hAnsi="黑体" w:eastAsia="黑体" w:cs="黑体"/>
          <w:sz w:val="44"/>
          <w:szCs w:val="44"/>
        </w:rPr>
        <w:t xml:space="preserve">第一部分 </w:t>
      </w:r>
      <w:r>
        <w:rPr>
          <w:rFonts w:hint="eastAsia" w:ascii="黑体" w:hAnsi="黑体" w:eastAsia="黑体" w:cs="黑体"/>
          <w:sz w:val="44"/>
          <w:szCs w:val="44"/>
          <w:lang w:eastAsia="zh-CN"/>
        </w:rPr>
        <w:t>单位</w:t>
      </w:r>
      <w:r>
        <w:rPr>
          <w:rFonts w:hint="eastAsia" w:ascii="黑体" w:hAnsi="黑体" w:eastAsia="黑体" w:cs="黑体"/>
          <w:sz w:val="44"/>
          <w:szCs w:val="44"/>
        </w:rPr>
        <w:t>概况</w:t>
      </w:r>
      <w:bookmarkEnd w:id="16"/>
      <w:bookmarkEnd w:id="17"/>
      <w:bookmarkEnd w:id="18"/>
      <w:bookmarkEnd w:id="19"/>
    </w:p>
    <w:p>
      <w:pPr>
        <w:widowControl/>
        <w:jc w:val="left"/>
        <w:rPr>
          <w:rFonts w:ascii="黑体" w:eastAsia="黑体"/>
          <w:color w:val="auto"/>
          <w:sz w:val="32"/>
          <w:szCs w:val="32"/>
          <w:highlight w:val="none"/>
        </w:rPr>
      </w:pPr>
    </w:p>
    <w:p>
      <w:pPr>
        <w:pStyle w:val="3"/>
        <w:numPr>
          <w:ilvl w:val="0"/>
          <w:numId w:val="0"/>
        </w:numPr>
        <w:bidi w:val="0"/>
        <w:ind w:firstLine="643" w:firstLineChars="200"/>
        <w:rPr>
          <w:rFonts w:hint="eastAsia" w:ascii="宋体" w:hAnsi="宋体" w:eastAsia="宋体" w:cs="宋体"/>
          <w:lang w:eastAsia="zh-CN"/>
        </w:rPr>
      </w:pPr>
      <w:bookmarkStart w:id="20" w:name="_Toc6863"/>
      <w:bookmarkStart w:id="21" w:name="_Toc15377197"/>
      <w:bookmarkStart w:id="22" w:name="_Toc15396600"/>
      <w:r>
        <w:rPr>
          <w:rFonts w:hint="eastAsia" w:ascii="宋体" w:hAnsi="宋体" w:eastAsia="宋体" w:cs="宋体"/>
          <w:lang w:val="en-US" w:eastAsia="zh-CN"/>
        </w:rPr>
        <w:t>一、</w:t>
      </w:r>
      <w:r>
        <w:rPr>
          <w:rFonts w:hint="eastAsia" w:ascii="宋体" w:hAnsi="宋体" w:eastAsia="宋体" w:cs="宋体"/>
          <w:lang w:eastAsia="zh-CN"/>
        </w:rPr>
        <w:t>主要职责</w:t>
      </w:r>
      <w:bookmarkEnd w:id="20"/>
    </w:p>
    <w:p>
      <w:pPr>
        <w:spacing w:line="6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color w:val="000000" w:themeColor="text1"/>
          <w:sz w:val="32"/>
          <w:szCs w:val="32"/>
          <w:lang w:val="zh-CN"/>
          <w14:textFill>
            <w14:solidFill>
              <w14:schemeClr w14:val="tx1"/>
            </w14:solidFill>
          </w14:textFill>
        </w:rPr>
        <w:t>（</w:t>
      </w:r>
      <w:r>
        <w:rPr>
          <w:rFonts w:hint="eastAsia" w:ascii="仿宋" w:hAnsi="仿宋" w:eastAsia="仿宋"/>
          <w:color w:val="000000" w:themeColor="text1"/>
          <w:sz w:val="32"/>
          <w:szCs w:val="32"/>
          <w:lang w:val="zh-CN"/>
          <w14:textFill>
            <w14:solidFill>
              <w14:schemeClr w14:val="tx1"/>
            </w14:solidFill>
          </w14:textFill>
        </w:rPr>
        <w:t>一）机构组成：</w:t>
      </w:r>
      <w:r>
        <w:rPr>
          <w:rFonts w:hint="eastAsia" w:ascii="仿宋" w:hAnsi="仿宋" w:eastAsia="仿宋"/>
          <w:color w:val="000000" w:themeColor="text1"/>
          <w:sz w:val="32"/>
          <w:szCs w:val="32"/>
          <w14:textFill>
            <w14:solidFill>
              <w14:schemeClr w14:val="tx1"/>
            </w14:solidFill>
          </w14:textFill>
        </w:rPr>
        <w:t>大竹县青年路幼儿园是大竹县教育局直属全额财政拨款事业单位（公益二类）。</w:t>
      </w:r>
    </w:p>
    <w:p>
      <w:pPr>
        <w:spacing w:line="6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olor w:val="000000" w:themeColor="text1"/>
          <w:sz w:val="32"/>
          <w:szCs w:val="32"/>
          <w:lang w:val="zh-CN"/>
          <w14:textFill>
            <w14:solidFill>
              <w14:schemeClr w14:val="tx1"/>
            </w14:solidFill>
          </w14:textFill>
        </w:rPr>
        <w:t>（二）机构职能：为学龄前儿童提供保育和教育服务。幼儿保育、教育。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 w:hAnsi="仿宋" w:eastAsia="仿宋"/>
          <w:color w:val="000000" w:themeColor="text1"/>
          <w:sz w:val="32"/>
          <w:szCs w:val="32"/>
          <w:lang w:val="zh-CN"/>
          <w14:textFill>
            <w14:solidFill>
              <w14:schemeClr w14:val="tx1"/>
            </w14:solidFill>
          </w14:textFill>
        </w:rPr>
        <w:t>（三）人员概况：</w:t>
      </w:r>
      <w:r>
        <w:rPr>
          <w:rFonts w:hint="eastAsia" w:ascii="仿宋" w:hAnsi="仿宋" w:eastAsia="仿宋"/>
          <w:color w:val="000000" w:themeColor="text1"/>
          <w:sz w:val="32"/>
          <w:szCs w:val="32"/>
          <w14:textFill>
            <w14:solidFill>
              <w14:schemeClr w14:val="tx1"/>
            </w14:solidFill>
          </w14:textFill>
        </w:rPr>
        <w:t>事业编制人数10人。202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年12月底实有在职人员</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人，临聘人员1</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人，在园学生</w:t>
      </w:r>
      <w:r>
        <w:rPr>
          <w:rFonts w:hint="eastAsia" w:ascii="仿宋" w:hAnsi="仿宋" w:eastAsia="仿宋"/>
          <w:color w:val="000000" w:themeColor="text1"/>
          <w:sz w:val="32"/>
          <w:szCs w:val="32"/>
          <w:lang w:val="en-US" w:eastAsia="zh-CN"/>
          <w14:textFill>
            <w14:solidFill>
              <w14:schemeClr w14:val="tx1"/>
            </w14:solidFill>
          </w14:textFill>
        </w:rPr>
        <w:t>344</w:t>
      </w:r>
      <w:r>
        <w:rPr>
          <w:rFonts w:hint="eastAsia" w:ascii="仿宋" w:hAnsi="仿宋" w:eastAsia="仿宋"/>
          <w:color w:val="000000" w:themeColor="text1"/>
          <w:sz w:val="32"/>
          <w:szCs w:val="32"/>
          <w14:textFill>
            <w14:solidFill>
              <w14:schemeClr w14:val="tx1"/>
            </w14:solidFill>
          </w14:textFill>
        </w:rPr>
        <w:t>人。</w:t>
      </w:r>
    </w:p>
    <w:p>
      <w:pPr>
        <w:pStyle w:val="3"/>
        <w:bidi w:val="0"/>
        <w:ind w:firstLine="643" w:firstLineChars="200"/>
        <w:rPr>
          <w:rFonts w:hint="eastAsia"/>
          <w:lang w:val="en-US" w:eastAsia="zh-CN"/>
        </w:rPr>
      </w:pPr>
      <w:bookmarkStart w:id="23" w:name="_Toc3595"/>
      <w:r>
        <w:rPr>
          <w:rFonts w:hint="eastAsia"/>
          <w:lang w:val="en-US" w:eastAsia="zh-CN"/>
        </w:rPr>
        <w:t>二、机构设置</w:t>
      </w:r>
      <w:bookmarkEnd w:id="23"/>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大竹县</w:t>
      </w:r>
      <w:r>
        <w:rPr>
          <w:rFonts w:hint="eastAsia" w:ascii="仿宋" w:hAnsi="仿宋" w:eastAsia="仿宋" w:cs="仿宋"/>
          <w:color w:val="auto"/>
          <w:sz w:val="32"/>
          <w:szCs w:val="32"/>
          <w:lang w:val="en-US" w:eastAsia="zh-CN"/>
        </w:rPr>
        <w:t>青年路</w:t>
      </w:r>
      <w:r>
        <w:rPr>
          <w:rFonts w:hint="eastAsia" w:ascii="仿宋" w:hAnsi="仿宋" w:eastAsia="仿宋" w:cs="仿宋"/>
          <w:color w:val="auto"/>
          <w:sz w:val="32"/>
          <w:szCs w:val="32"/>
          <w:lang w:eastAsia="zh-CN"/>
        </w:rPr>
        <w:t>幼儿园</w:t>
      </w:r>
      <w:r>
        <w:rPr>
          <w:rFonts w:hint="eastAsia" w:ascii="仿宋" w:hAnsi="仿宋" w:eastAsia="仿宋" w:cs="仿宋"/>
          <w:color w:val="auto"/>
          <w:sz w:val="32"/>
          <w:szCs w:val="32"/>
        </w:rPr>
        <w:t>下属二级单位0个，其中行政单位0个，参照公务员法管理的事业单位0个，其他事业单位0个。</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color w:val="auto"/>
          <w:sz w:val="32"/>
          <w:szCs w:val="32"/>
          <w:lang w:val="en-US" w:eastAsia="zh-CN"/>
        </w:rPr>
      </w:pPr>
      <w:r>
        <w:rPr>
          <w:rFonts w:hint="eastAsia" w:ascii="仿宋" w:hAnsi="仿宋" w:eastAsia="仿宋" w:cs="仿宋"/>
          <w:color w:val="auto"/>
          <w:sz w:val="32"/>
          <w:szCs w:val="32"/>
        </w:rPr>
        <w:t>纳入大竹县</w:t>
      </w:r>
      <w:r>
        <w:rPr>
          <w:rFonts w:hint="eastAsia" w:ascii="仿宋" w:hAnsi="仿宋" w:eastAsia="仿宋" w:cs="仿宋"/>
          <w:color w:val="auto"/>
          <w:sz w:val="32"/>
          <w:szCs w:val="32"/>
          <w:lang w:val="en-US" w:eastAsia="zh-CN"/>
        </w:rPr>
        <w:t>青年路</w:t>
      </w:r>
      <w:r>
        <w:rPr>
          <w:rFonts w:hint="eastAsia" w:ascii="仿宋" w:hAnsi="仿宋" w:eastAsia="仿宋" w:cs="仿宋"/>
          <w:color w:val="auto"/>
          <w:sz w:val="32"/>
          <w:szCs w:val="32"/>
          <w:lang w:eastAsia="zh-CN"/>
        </w:rPr>
        <w:t>幼儿园202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年度部门决算编制范围的二级预算单位包括：无。</w:t>
      </w:r>
    </w:p>
    <w:p>
      <w:pPr>
        <w:pStyle w:val="2"/>
        <w:pageBreakBefore w:val="0"/>
        <w:tabs>
          <w:tab w:val="left" w:pos="3540"/>
          <w:tab w:val="center" w:pos="4262"/>
        </w:tabs>
        <w:kinsoku/>
        <w:wordWrap/>
        <w:overflowPunct/>
        <w:topLinePunct w:val="0"/>
        <w:autoSpaceDE/>
        <w:autoSpaceDN/>
        <w:bidi w:val="0"/>
        <w:adjustRightInd/>
        <w:snapToGrid/>
        <w:spacing w:line="600" w:lineRule="exact"/>
        <w:ind w:right="440" w:firstLine="883" w:firstLineChars="200"/>
        <w:jc w:val="left"/>
        <w:textAlignment w:val="auto"/>
        <w:outlineLvl w:val="9"/>
        <w:sectPr>
          <w:footerReference r:id="rId4" w:type="default"/>
          <w:pgSz w:w="11906" w:h="16838"/>
          <w:pgMar w:top="2098" w:right="1474" w:bottom="1985" w:left="1588" w:header="851" w:footer="992" w:gutter="0"/>
          <w:pgNumType w:fmt="decimal" w:start="1"/>
          <w:cols w:space="720" w:num="1"/>
          <w:docGrid w:type="lines" w:linePitch="435" w:charSpace="0"/>
        </w:sectPr>
      </w:pPr>
    </w:p>
    <w:bookmarkEnd w:id="21"/>
    <w:bookmarkEnd w:id="22"/>
    <w:p>
      <w:pPr>
        <w:widowControl/>
        <w:jc w:val="left"/>
        <w:rPr>
          <w:rFonts w:ascii="仿宋" w:hAnsi="仿宋" w:eastAsia="仿宋"/>
          <w:color w:val="auto"/>
          <w:kern w:val="0"/>
          <w:sz w:val="32"/>
          <w:szCs w:val="32"/>
          <w:highlight w:val="none"/>
        </w:rPr>
      </w:pPr>
    </w:p>
    <w:p>
      <w:pPr>
        <w:pStyle w:val="2"/>
        <w:bidi w:val="0"/>
        <w:jc w:val="center"/>
        <w:rPr>
          <w:rStyle w:val="25"/>
          <w:rFonts w:ascii="黑体" w:hAnsi="黑体" w:eastAsia="黑体"/>
          <w:b w:val="0"/>
          <w:bCs/>
          <w:color w:val="auto"/>
          <w:highlight w:val="none"/>
        </w:rPr>
      </w:pPr>
      <w:bookmarkStart w:id="24" w:name="_Toc15377204"/>
      <w:bookmarkStart w:id="25" w:name="_Toc4893"/>
      <w:bookmarkStart w:id="26" w:name="_Toc15396602"/>
      <w:bookmarkStart w:id="27" w:name="_Toc6606"/>
      <w:r>
        <w:rPr>
          <w:rFonts w:hint="eastAsia" w:ascii="黑体" w:hAnsi="黑体" w:eastAsia="黑体" w:cs="黑体"/>
          <w:b/>
          <w:bCs/>
        </w:rPr>
        <w:t xml:space="preserve">第二部分 </w:t>
      </w:r>
      <w:r>
        <w:rPr>
          <w:rFonts w:hint="eastAsia" w:ascii="黑体" w:hAnsi="黑体" w:eastAsia="黑体" w:cs="黑体"/>
          <w:b/>
          <w:bCs/>
          <w:lang w:val="en-US" w:eastAsia="zh-CN"/>
        </w:rPr>
        <w:t>2022年度</w:t>
      </w:r>
      <w:r>
        <w:rPr>
          <w:rFonts w:hint="eastAsia" w:ascii="黑体" w:hAnsi="黑体" w:eastAsia="黑体" w:cs="黑体"/>
          <w:b/>
          <w:bCs/>
          <w:lang w:eastAsia="zh-CN"/>
        </w:rPr>
        <w:t>单位</w:t>
      </w:r>
      <w:r>
        <w:rPr>
          <w:rFonts w:hint="eastAsia" w:ascii="黑体" w:hAnsi="黑体" w:eastAsia="黑体" w:cs="黑体"/>
          <w:b/>
          <w:bCs/>
        </w:rPr>
        <w:t>决算情况说明</w:t>
      </w:r>
      <w:bookmarkEnd w:id="24"/>
      <w:bookmarkEnd w:id="25"/>
      <w:bookmarkEnd w:id="26"/>
      <w:bookmarkEnd w:id="27"/>
    </w:p>
    <w:p>
      <w:pPr>
        <w:rPr>
          <w:color w:val="auto"/>
          <w:highlight w:val="none"/>
        </w:rPr>
      </w:pPr>
    </w:p>
    <w:p>
      <w:pPr>
        <w:pStyle w:val="3"/>
        <w:numPr>
          <w:ilvl w:val="0"/>
          <w:numId w:val="1"/>
        </w:numPr>
        <w:bidi w:val="0"/>
        <w:ind w:left="1350" w:leftChars="0" w:firstLineChars="0"/>
        <w:rPr>
          <w:rStyle w:val="26"/>
          <w:rFonts w:ascii="黑体" w:hAnsi="黑体" w:eastAsia="黑体"/>
          <w:b w:val="0"/>
          <w:bCs/>
          <w:color w:val="auto"/>
          <w:highlight w:val="none"/>
        </w:rPr>
      </w:pPr>
      <w:bookmarkStart w:id="28" w:name="_Toc28437"/>
      <w:bookmarkStart w:id="29" w:name="_Toc15377205"/>
      <w:bookmarkStart w:id="30" w:name="_Toc15396603"/>
      <w:r>
        <w:rPr>
          <w:rFonts w:hint="eastAsia"/>
        </w:rPr>
        <w:t>收入支出决算总体情况说明</w:t>
      </w:r>
      <w:bookmarkEnd w:id="28"/>
      <w:bookmarkEnd w:id="29"/>
      <w:bookmarkEnd w:id="30"/>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_GB2312" w:hAnsi="仿宋" w:eastAsia="仿宋_GB2312"/>
          <w:sz w:val="32"/>
          <w:szCs w:val="32"/>
          <w:lang w:val="en-US" w:eastAsia="zh-CN"/>
        </w:rPr>
        <w:t>2022年总收入220.11万元，较2021年总收入156.98万元，增加63.13万元，增加40.22%。2022年总支出220.11万元，较2021年总支出156.98万元，增加63.13万元，增加40.22%。主要原因是单位扩招人员，人员经费增加。</w:t>
      </w:r>
    </w:p>
    <w:p>
      <w:pPr>
        <w:pStyle w:val="3"/>
        <w:bidi w:val="0"/>
        <w:jc w:val="center"/>
        <w:rPr>
          <w:rFonts w:hint="eastAsia"/>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1276985</wp:posOffset>
                </wp:positionH>
                <wp:positionV relativeFrom="paragraph">
                  <wp:posOffset>2322195</wp:posOffset>
                </wp:positionV>
                <wp:extent cx="3512185" cy="311150"/>
                <wp:effectExtent l="0" t="0" r="5715" b="6350"/>
                <wp:wrapNone/>
                <wp:docPr id="11" name="文本框 11"/>
                <wp:cNvGraphicFramePr/>
                <a:graphic xmlns:a="http://schemas.openxmlformats.org/drawingml/2006/main">
                  <a:graphicData uri="http://schemas.microsoft.com/office/word/2010/wordprocessingShape">
                    <wps:wsp>
                      <wps:cNvSpPr txBox="1"/>
                      <wps:spPr>
                        <a:xfrm>
                          <a:off x="1809115" y="7687310"/>
                          <a:ext cx="351218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2"/>
                                <w:szCs w:val="22"/>
                                <w:lang w:val="en-US" w:eastAsia="zh-CN"/>
                              </w:rPr>
                            </w:pPr>
                            <w:r>
                              <w:rPr>
                                <w:rFonts w:hint="eastAsia"/>
                                <w:sz w:val="22"/>
                                <w:szCs w:val="22"/>
                                <w:lang w:val="en-US" w:eastAsia="zh-CN"/>
                              </w:rPr>
                              <w:t>2021年                          2022年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0.55pt;margin-top:182.85pt;height:24.5pt;width:276.55pt;z-index:251661312;v-text-anchor:middle;mso-width-relative:page;mso-height-relative:page;" filled="f" stroked="f" coordsize="21600,21600" o:gfxdata="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Z+WYHcAAAACwEAAA8AAAAAAAAA&#10;AQAgAAAAIgAAAGRycy9kb3ducmV2LnhtbFBLAQIUABQAAAAIAIdO4kD2Sl3aRgIAAHYEAAAOAAAA&#10;AAAAAAEAIAAAACsBAABkcnMvZTJvRG9jLnhtbFBLBQYAAAAABgAGAFkBAADjBQAAAAA=&#10;">
                <v:fill on="f" focussize="0,0"/>
                <v:stroke on="f" weight="0.5pt"/>
                <v:imagedata o:title=""/>
                <o:lock v:ext="edit" aspectratio="f"/>
                <v:textbox>
                  <w:txbxContent>
                    <w:p>
                      <w:pPr>
                        <w:rPr>
                          <w:rFonts w:hint="default" w:eastAsia="宋体"/>
                          <w:sz w:val="22"/>
                          <w:szCs w:val="22"/>
                          <w:lang w:val="en-US" w:eastAsia="zh-CN"/>
                        </w:rPr>
                      </w:pPr>
                      <w:r>
                        <w:rPr>
                          <w:rFonts w:hint="eastAsia"/>
                          <w:sz w:val="22"/>
                          <w:szCs w:val="22"/>
                          <w:lang w:val="en-US" w:eastAsia="zh-CN"/>
                        </w:rPr>
                        <w:t>2021年                          2022年</w:t>
                      </w:r>
                    </w:p>
                  </w:txbxContent>
                </v:textbox>
              </v:shape>
            </w:pict>
          </mc:Fallback>
        </mc:AlternateContent>
      </w:r>
      <w:r>
        <w:rPr>
          <w:rFonts w:hint="eastAsia"/>
          <w:lang w:eastAsia="zh-CN"/>
        </w:rPr>
        <w:drawing>
          <wp:anchor distT="0" distB="0" distL="114935" distR="114935" simplePos="0" relativeHeight="251660288" behindDoc="0" locked="0" layoutInCell="1" allowOverlap="1">
            <wp:simplePos x="0" y="0"/>
            <wp:positionH relativeFrom="column">
              <wp:posOffset>316865</wp:posOffset>
            </wp:positionH>
            <wp:positionV relativeFrom="paragraph">
              <wp:posOffset>191770</wp:posOffset>
            </wp:positionV>
            <wp:extent cx="4978400" cy="2703830"/>
            <wp:effectExtent l="4445" t="4445" r="8255"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3"/>
        <w:numPr>
          <w:ilvl w:val="0"/>
          <w:numId w:val="1"/>
        </w:numPr>
        <w:bidi w:val="0"/>
        <w:ind w:left="1350" w:leftChars="0" w:firstLineChars="0"/>
      </w:pPr>
      <w:bookmarkStart w:id="31" w:name="_Toc15377206"/>
      <w:bookmarkStart w:id="32" w:name="_Toc19137"/>
      <w:bookmarkStart w:id="33" w:name="_Toc15396604"/>
      <w:r>
        <w:rPr>
          <w:rFonts w:hint="eastAsia"/>
        </w:rPr>
        <w:t>收入决算情况说明</w:t>
      </w:r>
      <w:bookmarkEnd w:id="31"/>
      <w:bookmarkEnd w:id="32"/>
      <w:bookmarkEnd w:id="33"/>
    </w:p>
    <w:p>
      <w:pPr>
        <w:spacing w:line="600" w:lineRule="exact"/>
        <w:ind w:firstLine="640" w:firstLineChars="200"/>
        <w:outlineLvl w:val="1"/>
        <w:rPr>
          <w:rFonts w:ascii="仿宋" w:hAnsi="仿宋" w:eastAsia="仿宋"/>
          <w:color w:val="auto"/>
          <w:sz w:val="32"/>
          <w:szCs w:val="32"/>
          <w:highlight w:val="none"/>
        </w:rPr>
      </w:pPr>
      <w:bookmarkStart w:id="34" w:name="_Toc554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_GB2312" w:hAnsi="仿宋" w:eastAsia="仿宋_GB2312"/>
          <w:sz w:val="32"/>
          <w:szCs w:val="32"/>
          <w:lang w:val="en-US" w:eastAsia="zh-CN"/>
        </w:rPr>
        <w:t>220.09</w:t>
      </w:r>
      <w:r>
        <w:rPr>
          <w:rFonts w:hint="eastAsia" w:ascii="仿宋" w:hAnsi="仿宋" w:eastAsia="仿宋"/>
          <w:color w:val="auto"/>
          <w:sz w:val="32"/>
          <w:szCs w:val="32"/>
          <w:highlight w:val="none"/>
        </w:rPr>
        <w:t>万元，其中：一般公共预算财政拨款收入</w:t>
      </w:r>
      <w:r>
        <w:rPr>
          <w:rFonts w:hint="eastAsia" w:ascii="仿宋_GB2312" w:hAnsi="仿宋" w:eastAsia="仿宋_GB2312"/>
          <w:sz w:val="32"/>
          <w:szCs w:val="32"/>
          <w:lang w:val="en-US" w:eastAsia="zh-CN"/>
        </w:rPr>
        <w:t>220.09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4"/>
    </w:p>
    <w:p>
      <w:pPr>
        <w:pStyle w:val="6"/>
        <w:jc w:val="center"/>
        <w:rPr>
          <w:rFonts w:hint="eastAsia" w:eastAsia="仿宋"/>
          <w:lang w:eastAsia="zh-CN"/>
        </w:rPr>
      </w:pPr>
      <w:r>
        <w:rPr>
          <w:rFonts w:hint="eastAsia" w:eastAsia="仿宋"/>
          <w:lang w:eastAsia="zh-CN"/>
        </w:rPr>
        <w:drawing>
          <wp:inline distT="0" distB="0" distL="114300" distR="114300">
            <wp:extent cx="5256530" cy="2988310"/>
            <wp:effectExtent l="5080" t="4445" r="8890" b="1714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outlineLvl w:val="2"/>
        <w:rPr>
          <w:rFonts w:hint="eastAsia" w:ascii="仿宋" w:hAnsi="仿宋" w:eastAsia="仿宋"/>
          <w:color w:val="auto"/>
          <w:sz w:val="32"/>
          <w:szCs w:val="32"/>
          <w:highlight w:val="none"/>
          <w:lang w:eastAsia="zh-CN"/>
        </w:rPr>
      </w:pPr>
      <w:bookmarkStart w:id="35" w:name="_Toc2531"/>
      <w:r>
        <w:rPr>
          <w:rFonts w:hint="eastAsia" w:ascii="仿宋" w:hAnsi="仿宋" w:eastAsia="仿宋"/>
          <w:color w:val="auto"/>
          <w:sz w:val="32"/>
          <w:szCs w:val="32"/>
          <w:highlight w:val="none"/>
        </w:rPr>
        <w:t>（图2：收入决算结构图）</w:t>
      </w:r>
      <w:bookmarkEnd w:id="35"/>
    </w:p>
    <w:p>
      <w:pPr>
        <w:spacing w:line="600" w:lineRule="exact"/>
        <w:ind w:firstLine="640" w:firstLineChars="200"/>
        <w:rPr>
          <w:rFonts w:ascii="仿宋_GB2312" w:eastAsia="仿宋_GB2312"/>
          <w:color w:val="auto"/>
          <w:sz w:val="32"/>
          <w:szCs w:val="32"/>
          <w:highlight w:val="none"/>
        </w:rPr>
      </w:pPr>
    </w:p>
    <w:p>
      <w:pPr>
        <w:pStyle w:val="3"/>
        <w:numPr>
          <w:ilvl w:val="0"/>
          <w:numId w:val="1"/>
        </w:numPr>
        <w:bidi w:val="0"/>
        <w:ind w:left="1350" w:leftChars="0" w:firstLineChars="0"/>
      </w:pPr>
      <w:bookmarkStart w:id="36" w:name="_Toc15396605"/>
      <w:bookmarkStart w:id="37" w:name="_Toc8794"/>
      <w:bookmarkStart w:id="38" w:name="_Toc15377207"/>
      <w:r>
        <w:rPr>
          <w:rFonts w:hint="eastAsia"/>
        </w:rPr>
        <w:t>支出决算情况说明</w:t>
      </w:r>
      <w:bookmarkEnd w:id="36"/>
      <w:bookmarkEnd w:id="37"/>
      <w:bookmarkEnd w:id="38"/>
    </w:p>
    <w:p>
      <w:pPr>
        <w:spacing w:line="600" w:lineRule="exact"/>
        <w:ind w:firstLine="640" w:firstLineChars="200"/>
        <w:outlineLvl w:val="1"/>
        <w:rPr>
          <w:rFonts w:hint="eastAsia" w:ascii="仿宋" w:hAnsi="仿宋" w:eastAsia="仿宋"/>
          <w:color w:val="auto"/>
          <w:sz w:val="32"/>
          <w:szCs w:val="32"/>
          <w:highlight w:val="none"/>
          <w:lang w:eastAsia="zh-CN"/>
        </w:rPr>
      </w:pPr>
      <w:bookmarkStart w:id="39" w:name="_Toc2396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s="仿宋"/>
          <w:color w:val="000000"/>
          <w:sz w:val="32"/>
          <w:szCs w:val="32"/>
          <w:lang w:val="en-US" w:eastAsia="zh-CN"/>
        </w:rPr>
        <w:t>220.11</w:t>
      </w:r>
      <w:r>
        <w:rPr>
          <w:rFonts w:hint="eastAsia" w:ascii="仿宋" w:hAnsi="仿宋" w:eastAsia="仿宋"/>
          <w:color w:val="auto"/>
          <w:sz w:val="32"/>
          <w:szCs w:val="32"/>
          <w:highlight w:val="none"/>
        </w:rPr>
        <w:t>万元，其中：基本支出</w:t>
      </w:r>
      <w:r>
        <w:rPr>
          <w:rFonts w:hint="eastAsia" w:ascii="仿宋" w:hAnsi="仿宋" w:eastAsia="仿宋" w:cs="仿宋"/>
          <w:color w:val="000000"/>
          <w:sz w:val="32"/>
          <w:szCs w:val="32"/>
          <w:lang w:val="en-US" w:eastAsia="zh-CN"/>
        </w:rPr>
        <w:t>175.11</w:t>
      </w:r>
      <w:r>
        <w:rPr>
          <w:rFonts w:hint="eastAsia" w:ascii="仿宋" w:hAnsi="仿宋" w:eastAsia="仿宋"/>
          <w:color w:val="auto"/>
          <w:sz w:val="32"/>
          <w:szCs w:val="32"/>
          <w:highlight w:val="none"/>
        </w:rPr>
        <w:t>万元，占</w:t>
      </w:r>
      <w:r>
        <w:rPr>
          <w:rFonts w:hint="eastAsia" w:ascii="仿宋" w:hAnsi="仿宋" w:eastAsia="仿宋" w:cs="仿宋"/>
          <w:color w:val="000000"/>
          <w:sz w:val="32"/>
          <w:szCs w:val="32"/>
          <w:lang w:val="en-US" w:eastAsia="zh-CN"/>
        </w:rPr>
        <w:t>79.56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s="仿宋"/>
          <w:color w:val="000000"/>
          <w:sz w:val="32"/>
          <w:szCs w:val="32"/>
          <w:lang w:val="en-US" w:eastAsia="zh-CN"/>
        </w:rPr>
        <w:t>45.00</w:t>
      </w:r>
      <w:r>
        <w:rPr>
          <w:rFonts w:hint="eastAsia" w:ascii="仿宋" w:hAnsi="仿宋" w:eastAsia="仿宋"/>
          <w:color w:val="auto"/>
          <w:sz w:val="32"/>
          <w:szCs w:val="32"/>
          <w:highlight w:val="none"/>
        </w:rPr>
        <w:t>万元，占</w:t>
      </w:r>
      <w:r>
        <w:rPr>
          <w:rFonts w:hint="eastAsia" w:ascii="仿宋" w:hAnsi="仿宋" w:eastAsia="仿宋" w:cs="仿宋"/>
          <w:color w:val="000000"/>
          <w:sz w:val="32"/>
          <w:szCs w:val="32"/>
          <w:lang w:val="en-US" w:eastAsia="zh-CN"/>
        </w:rPr>
        <w:t>20.44</w:t>
      </w:r>
      <w:r>
        <w:rPr>
          <w:rFonts w:ascii="仿宋" w:hAnsi="仿宋" w:eastAsia="仿宋"/>
          <w:color w:val="auto"/>
          <w:sz w:val="32"/>
          <w:szCs w:val="32"/>
          <w:highlight w:val="none"/>
        </w:rPr>
        <w:t>%</w:t>
      </w:r>
      <w:bookmarkEnd w:id="39"/>
      <w:r>
        <w:rPr>
          <w:rFonts w:hint="eastAsia" w:ascii="仿宋" w:hAnsi="仿宋" w:eastAsia="仿宋"/>
          <w:color w:val="auto"/>
          <w:sz w:val="32"/>
          <w:szCs w:val="32"/>
          <w:highlight w:val="none"/>
          <w:lang w:eastAsia="zh-CN"/>
        </w:rPr>
        <w:t>。</w:t>
      </w:r>
    </w:p>
    <w:p>
      <w:pPr>
        <w:pStyle w:val="6"/>
        <w:jc w:val="center"/>
        <w:rPr>
          <w:rFonts w:hint="eastAsia" w:eastAsia="仿宋_GB2312"/>
          <w:lang w:eastAsia="zh-CN"/>
        </w:rPr>
      </w:pPr>
      <w:r>
        <w:rPr>
          <w:rFonts w:hint="eastAsia" w:eastAsia="仿宋_GB2312"/>
          <w:lang w:eastAsia="zh-CN"/>
        </w:rPr>
        <w:drawing>
          <wp:inline distT="0" distB="0" distL="114300" distR="114300">
            <wp:extent cx="5256530" cy="2988310"/>
            <wp:effectExtent l="5080" t="4445" r="8890" b="1714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pStyle w:val="3"/>
        <w:bidi w:val="0"/>
        <w:ind w:firstLine="643" w:firstLineChars="200"/>
      </w:pPr>
      <w:bookmarkStart w:id="40" w:name="_Toc15396606"/>
      <w:bookmarkStart w:id="41" w:name="_Toc15377208"/>
      <w:bookmarkStart w:id="42" w:name="_Toc12594"/>
      <w:r>
        <w:rPr>
          <w:rFonts w:hint="eastAsia"/>
        </w:rPr>
        <w:t>四、财政拨款收入支出决算总体情况说明</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2022年总收入220.11万元，较2021年总收入156.98万元，增加63.13万元，增加40.22%，主要原因是单位扩招人员，人员经费增加。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2022年总支出220.11万元，较2021年总支出156.98万元，增加63.13万元，增加40.22%，主要原因是单位扩招人员，人员经费增加。</w:t>
      </w:r>
    </w:p>
    <w:p>
      <w:pPr>
        <w:pStyle w:val="3"/>
        <w:jc w:val="center"/>
        <w:outlineLvl w:val="9"/>
      </w:pPr>
    </w:p>
    <w:p>
      <w:pPr>
        <w:jc w:val="center"/>
        <w:rPr>
          <w:rFonts w:hint="eastAsia" w:eastAsia="宋体"/>
          <w:lang w:eastAsia="zh-CN"/>
        </w:rPr>
      </w:pPr>
      <w:r>
        <w:rPr>
          <w:rFonts w:hint="eastAsia" w:eastAsia="宋体"/>
          <w:lang w:eastAsia="zh-CN"/>
        </w:rPr>
        <w:drawing>
          <wp:inline distT="0" distB="0" distL="114300" distR="114300">
            <wp:extent cx="5256530" cy="2988310"/>
            <wp:effectExtent l="5080" t="4445" r="889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pStyle w:val="3"/>
        <w:bidi w:val="0"/>
        <w:ind w:firstLine="643" w:firstLineChars="200"/>
      </w:pPr>
      <w:bookmarkStart w:id="43" w:name="_Toc2573"/>
      <w:bookmarkStart w:id="44" w:name="_Toc15377209"/>
      <w:bookmarkStart w:id="45" w:name="_Toc15396607"/>
      <w:r>
        <w:rPr>
          <w:rFonts w:hint="eastAsia"/>
        </w:rPr>
        <w:t>五、一般公共预算财政拨款支出决算情况说明</w:t>
      </w:r>
      <w:bookmarkEnd w:id="43"/>
      <w:bookmarkEnd w:id="44"/>
      <w:bookmarkEnd w:id="45"/>
    </w:p>
    <w:p>
      <w:pPr>
        <w:spacing w:line="600" w:lineRule="exact"/>
        <w:ind w:firstLine="643" w:firstLineChars="200"/>
        <w:outlineLvl w:val="2"/>
        <w:rPr>
          <w:rFonts w:ascii="仿宋" w:hAnsi="仿宋" w:eastAsia="仿宋"/>
          <w:b/>
          <w:color w:val="auto"/>
          <w:sz w:val="32"/>
          <w:szCs w:val="32"/>
          <w:highlight w:val="none"/>
        </w:rPr>
      </w:pPr>
      <w:bookmarkStart w:id="46" w:name="_Toc14263"/>
      <w:bookmarkStart w:id="47" w:name="_Toc15377210"/>
      <w:r>
        <w:rPr>
          <w:rFonts w:hint="eastAsia" w:ascii="仿宋" w:hAnsi="仿宋" w:eastAsia="仿宋"/>
          <w:b/>
          <w:color w:val="auto"/>
          <w:sz w:val="32"/>
          <w:szCs w:val="32"/>
          <w:highlight w:val="none"/>
        </w:rPr>
        <w:t>（一）一般公共预算财政拨款支出决算总体情况</w:t>
      </w:r>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年一般公共预算财政拨款支出</w:t>
      </w:r>
      <w:r>
        <w:rPr>
          <w:rFonts w:hint="eastAsia" w:ascii="仿宋" w:hAnsi="仿宋" w:eastAsia="仿宋" w:cs="仿宋"/>
          <w:sz w:val="32"/>
          <w:szCs w:val="32"/>
          <w:lang w:val="en-US" w:eastAsia="zh-CN"/>
        </w:rPr>
        <w:t>220.11</w:t>
      </w:r>
      <w:r>
        <w:rPr>
          <w:rFonts w:hint="eastAsia" w:ascii="仿宋" w:hAnsi="仿宋" w:eastAsia="仿宋" w:cs="仿宋"/>
          <w:color w:val="auto"/>
          <w:sz w:val="32"/>
          <w:szCs w:val="32"/>
          <w:highlight w:val="none"/>
        </w:rPr>
        <w:t>万元，占本年支出合计的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%。与20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年相比，一般公共预算财政拨款</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增加</w:t>
      </w:r>
      <w:r>
        <w:rPr>
          <w:rFonts w:hint="eastAsia" w:ascii="仿宋" w:hAnsi="仿宋" w:eastAsia="仿宋" w:cs="仿宋"/>
          <w:sz w:val="32"/>
          <w:szCs w:val="32"/>
          <w:lang w:val="en-US" w:eastAsia="zh-CN"/>
        </w:rPr>
        <w:t>63.13</w:t>
      </w:r>
      <w:r>
        <w:rPr>
          <w:rFonts w:hint="eastAsia" w:ascii="仿宋" w:hAnsi="仿宋" w:eastAsia="仿宋" w:cs="仿宋"/>
          <w:color w:val="auto"/>
          <w:sz w:val="32"/>
          <w:szCs w:val="32"/>
          <w:highlight w:val="none"/>
        </w:rPr>
        <w:t>万元，增长</w:t>
      </w:r>
      <w:r>
        <w:rPr>
          <w:rFonts w:hint="eastAsia" w:ascii="仿宋" w:hAnsi="仿宋" w:eastAsia="仿宋" w:cs="仿宋"/>
          <w:sz w:val="32"/>
          <w:szCs w:val="32"/>
          <w:lang w:val="en-US" w:eastAsia="zh-CN"/>
        </w:rPr>
        <w:t>40.22</w:t>
      </w:r>
      <w:r>
        <w:rPr>
          <w:rFonts w:hint="eastAsia" w:ascii="仿宋" w:hAnsi="仿宋" w:eastAsia="仿宋" w:cs="仿宋"/>
          <w:color w:val="auto"/>
          <w:sz w:val="32"/>
          <w:szCs w:val="32"/>
          <w:highlight w:val="none"/>
        </w:rPr>
        <w:t>%。主要变动原因是</w:t>
      </w:r>
      <w:r>
        <w:rPr>
          <w:rFonts w:hint="eastAsia" w:ascii="仿宋" w:hAnsi="仿宋" w:eastAsia="仿宋" w:cs="仿宋"/>
          <w:sz w:val="32"/>
          <w:szCs w:val="32"/>
          <w:lang w:val="en-US" w:eastAsia="zh-CN"/>
        </w:rPr>
        <w:t>单位扩招人员，人员经费增加。</w:t>
      </w:r>
    </w:p>
    <w:p>
      <w:pPr>
        <w:pStyle w:val="3"/>
        <w:outlineLvl w:val="9"/>
      </w:pPr>
    </w:p>
    <w:p>
      <w:pPr>
        <w:pStyle w:val="3"/>
        <w:jc w:val="center"/>
        <w:outlineLvl w:val="9"/>
        <w:rPr>
          <w:rFonts w:hint="eastAsia" w:ascii="仿宋_GB2312" w:hAnsi="仿宋" w:eastAsia="仿宋_GB2312"/>
          <w:sz w:val="32"/>
          <w:szCs w:val="32"/>
          <w:lang w:val="en-US" w:eastAsia="zh-CN"/>
        </w:rPr>
      </w:pPr>
      <w:bookmarkStart w:id="48" w:name="_Toc32165"/>
      <w:r>
        <w:drawing>
          <wp:inline distT="0" distB="0" distL="114300" distR="114300">
            <wp:extent cx="2348230" cy="312039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4"/>
                    <a:srcRect l="54880" t="9000"/>
                    <a:stretch>
                      <a:fillRect/>
                    </a:stretch>
                  </pic:blipFill>
                  <pic:spPr>
                    <a:xfrm>
                      <a:off x="0" y="0"/>
                      <a:ext cx="2348230" cy="3120390"/>
                    </a:xfrm>
                    <a:prstGeom prst="rect">
                      <a:avLst/>
                    </a:prstGeom>
                    <a:noFill/>
                    <a:ln>
                      <a:noFill/>
                    </a:ln>
                  </pic:spPr>
                </pic:pic>
              </a:graphicData>
            </a:graphic>
          </wp:inline>
        </w:drawing>
      </w:r>
      <w:bookmarkEnd w:id="48"/>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9" w:name="_Toc3018"/>
      <w:bookmarkStart w:id="50" w:name="_Toc15377211"/>
      <w:r>
        <w:rPr>
          <w:rFonts w:hint="eastAsia" w:ascii="仿宋" w:hAnsi="仿宋" w:eastAsia="仿宋"/>
          <w:b/>
          <w:color w:val="auto"/>
          <w:sz w:val="32"/>
          <w:szCs w:val="32"/>
          <w:highlight w:val="none"/>
        </w:rPr>
        <w:t>（二）一般公共预算财政拨款支出决算结构情况</w:t>
      </w:r>
      <w:bookmarkEnd w:id="49"/>
      <w:bookmarkEnd w:id="50"/>
    </w:p>
    <w:p>
      <w:pPr>
        <w:spacing w:line="600" w:lineRule="exact"/>
        <w:ind w:firstLine="640"/>
        <w:rPr>
          <w:rFonts w:hint="eastAsia"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年一般公共预算财政拨款支出</w:t>
      </w:r>
      <w:r>
        <w:rPr>
          <w:rFonts w:hint="eastAsia" w:ascii="仿宋_GB2312" w:hAnsi="仿宋" w:eastAsia="仿宋_GB2312"/>
          <w:b w:val="0"/>
          <w:bCs w:val="0"/>
          <w:sz w:val="32"/>
          <w:szCs w:val="32"/>
          <w:lang w:val="en-US" w:eastAsia="zh-CN"/>
        </w:rPr>
        <w:t>220.11</w:t>
      </w:r>
      <w:r>
        <w:rPr>
          <w:rFonts w:hint="eastAsia" w:ascii="仿宋" w:hAnsi="仿宋" w:eastAsia="仿宋"/>
          <w:b w:val="0"/>
          <w:bCs w:val="0"/>
          <w:color w:val="auto"/>
          <w:sz w:val="32"/>
          <w:szCs w:val="32"/>
          <w:highlight w:val="none"/>
        </w:rPr>
        <w:t>万元，主要用于以下方面</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教育支出</w:t>
      </w:r>
      <w:r>
        <w:rPr>
          <w:rFonts w:hint="eastAsia" w:ascii="仿宋" w:hAnsi="仿宋" w:eastAsia="仿宋"/>
          <w:b w:val="0"/>
          <w:bCs w:val="0"/>
          <w:color w:val="auto"/>
          <w:sz w:val="32"/>
          <w:szCs w:val="32"/>
          <w:highlight w:val="none"/>
          <w:lang w:val="en-US" w:eastAsia="zh-CN"/>
        </w:rPr>
        <w:t>210.54</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95.65</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；社会保障和就业支出</w:t>
      </w:r>
      <w:r>
        <w:rPr>
          <w:rFonts w:hint="eastAsia" w:ascii="仿宋" w:hAnsi="仿宋" w:eastAsia="仿宋"/>
          <w:b w:val="0"/>
          <w:bCs w:val="0"/>
          <w:color w:val="auto"/>
          <w:sz w:val="32"/>
          <w:szCs w:val="32"/>
          <w:highlight w:val="none"/>
          <w:lang w:val="en-US" w:eastAsia="zh-CN"/>
        </w:rPr>
        <w:t>3.77</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1.71</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1.97</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0.9</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3.83</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1.74%</w:t>
      </w:r>
      <w:r>
        <w:rPr>
          <w:rFonts w:hint="eastAsia" w:ascii="仿宋" w:hAnsi="仿宋" w:eastAsia="仿宋"/>
          <w:b w:val="0"/>
          <w:bCs w:val="0"/>
          <w:color w:val="auto"/>
          <w:sz w:val="32"/>
          <w:szCs w:val="32"/>
          <w:highlight w:val="none"/>
        </w:rPr>
        <w:t>。</w:t>
      </w:r>
    </w:p>
    <w:p>
      <w:pPr>
        <w:pStyle w:val="3"/>
        <w:outlineLvl w:val="9"/>
        <w:rPr>
          <w:rFonts w:hint="eastAsia" w:eastAsia="仿宋"/>
          <w:lang w:eastAsia="zh-CN"/>
        </w:rPr>
      </w:pPr>
      <w:bookmarkStart w:id="51" w:name="_Toc7040"/>
      <w:r>
        <w:rPr>
          <w:rFonts w:hint="eastAsia" w:eastAsia="仿宋"/>
          <w:lang w:eastAsia="zh-CN"/>
        </w:rPr>
        <w:drawing>
          <wp:inline distT="0" distB="0" distL="114300" distR="114300">
            <wp:extent cx="5256530" cy="2988310"/>
            <wp:effectExtent l="5080" t="4445" r="8890" b="1714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51"/>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52" w:name="_Toc15377212"/>
      <w:bookmarkStart w:id="53" w:name="_Toc28700"/>
      <w:r>
        <w:rPr>
          <w:rFonts w:hint="eastAsia" w:ascii="仿宋" w:hAnsi="仿宋" w:eastAsia="仿宋"/>
          <w:b/>
          <w:color w:val="auto"/>
          <w:sz w:val="32"/>
          <w:szCs w:val="32"/>
          <w:highlight w:val="none"/>
        </w:rPr>
        <w:t>（三）一般公共预算财政拨款支出决算具体情况</w:t>
      </w:r>
      <w:bookmarkEnd w:id="52"/>
      <w:bookmarkEnd w:id="53"/>
    </w:p>
    <w:p>
      <w:pPr>
        <w:spacing w:line="600" w:lineRule="exact"/>
        <w:ind w:firstLine="640" w:firstLineChars="200"/>
        <w:outlineLvl w:val="1"/>
        <w:rPr>
          <w:rFonts w:ascii="仿宋" w:hAnsi="仿宋" w:eastAsia="仿宋"/>
          <w:b w:val="0"/>
          <w:bCs/>
          <w:color w:val="auto"/>
          <w:sz w:val="32"/>
          <w:szCs w:val="32"/>
          <w:highlight w:val="none"/>
        </w:rPr>
      </w:pPr>
      <w:bookmarkStart w:id="54" w:name="_Toc15378460"/>
      <w:bookmarkStart w:id="55" w:name="_Toc15377213"/>
      <w:bookmarkStart w:id="56" w:name="_Toc15377444"/>
      <w:bookmarkStart w:id="57" w:name="_Toc4228"/>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22</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_GB2312" w:hAnsi="仿宋" w:eastAsia="仿宋_GB2312"/>
          <w:b w:val="0"/>
          <w:bCs/>
          <w:sz w:val="32"/>
          <w:szCs w:val="32"/>
          <w:lang w:val="en-US" w:eastAsia="zh-CN"/>
        </w:rPr>
        <w:t>220.11万元</w:t>
      </w:r>
      <w:r>
        <w:rPr>
          <w:rFonts w:hint="eastAsia"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。其中：</w:t>
      </w:r>
      <w:bookmarkEnd w:id="54"/>
      <w:bookmarkEnd w:id="55"/>
      <w:bookmarkEnd w:id="56"/>
      <w:bookmarkEnd w:id="57"/>
    </w:p>
    <w:p>
      <w:pPr>
        <w:spacing w:line="600" w:lineRule="exact"/>
        <w:ind w:firstLine="640" w:firstLineChars="200"/>
        <w:rPr>
          <w:rFonts w:ascii="仿宋" w:hAnsi="仿宋" w:eastAsia="仿宋"/>
          <w:b w:val="0"/>
          <w:bCs/>
          <w:color w:val="000000" w:themeColor="text1"/>
          <w:sz w:val="32"/>
          <w:szCs w:val="32"/>
          <w14:textFill>
            <w14:solidFill>
              <w14:schemeClr w14:val="tx1"/>
            </w14:solidFill>
          </w14:textFill>
        </w:rPr>
      </w:pPr>
      <w:r>
        <w:rPr>
          <w:rStyle w:val="15"/>
          <w:rFonts w:ascii="仿宋" w:hAnsi="仿宋" w:eastAsia="仿宋"/>
          <w:b w:val="0"/>
          <w:bCs/>
          <w:color w:val="000000" w:themeColor="text1"/>
          <w:sz w:val="32"/>
          <w:szCs w:val="32"/>
          <w14:textFill>
            <w14:solidFill>
              <w14:schemeClr w14:val="tx1"/>
            </w14:solidFill>
          </w14:textFill>
        </w:rPr>
        <w:t>1.</w:t>
      </w:r>
      <w:r>
        <w:rPr>
          <w:rStyle w:val="15"/>
          <w:rFonts w:hint="eastAsia" w:ascii="仿宋" w:hAnsi="仿宋" w:eastAsia="仿宋"/>
          <w:b w:val="0"/>
          <w:bCs/>
          <w:color w:val="000000" w:themeColor="text1"/>
          <w:sz w:val="32"/>
          <w:szCs w:val="32"/>
          <w14:textFill>
            <w14:solidFill>
              <w14:schemeClr w14:val="tx1"/>
            </w14:solidFill>
          </w14:textFill>
        </w:rPr>
        <w:t>教育支出（205）普通教育（02）学前教育（01）</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color w:val="auto"/>
          <w:sz w:val="32"/>
          <w:szCs w:val="32"/>
          <w:highlight w:val="none"/>
          <w:lang w:val="en-US" w:eastAsia="zh-CN"/>
        </w:rPr>
        <w:t>210.54</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 w:val="0"/>
          <w:bCs/>
          <w:color w:val="000000" w:themeColor="text1"/>
          <w:sz w:val="32"/>
          <w:szCs w:val="32"/>
          <w14:textFill>
            <w14:solidFill>
              <w14:schemeClr w14:val="tx1"/>
            </w14:solidFill>
          </w14:textFill>
        </w:rPr>
        <w:t>2.社会保障和就业支出（208）行政事业单位养老支出（05）机关事业单位基本养老保险缴费支出（05）</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color w:val="auto"/>
          <w:sz w:val="32"/>
          <w:szCs w:val="32"/>
          <w:highlight w:val="none"/>
          <w:lang w:val="en-US" w:eastAsia="zh-CN"/>
        </w:rPr>
        <w:t>3.77</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firstLineChars="200"/>
        <w:rPr>
          <w:rStyle w:val="15"/>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 w:val="0"/>
          <w:bCs/>
          <w:color w:val="000000" w:themeColor="text1"/>
          <w:sz w:val="32"/>
          <w:szCs w:val="32"/>
          <w14:textFill>
            <w14:solidFill>
              <w14:schemeClr w14:val="tx1"/>
            </w14:solidFill>
          </w14:textFill>
        </w:rPr>
        <w:t>3.</w:t>
      </w:r>
      <w:r>
        <w:rPr>
          <w:rFonts w:hint="eastAsia" w:ascii="仿宋" w:hAnsi="仿宋" w:eastAsia="仿宋"/>
          <w:b w:val="0"/>
          <w:bCs/>
          <w:color w:val="000000" w:themeColor="text1"/>
          <w:sz w:val="32"/>
          <w:szCs w:val="32"/>
          <w14:textFill>
            <w14:solidFill>
              <w14:schemeClr w14:val="tx1"/>
            </w14:solidFill>
          </w14:textFill>
        </w:rPr>
        <w:t>卫生健康</w:t>
      </w:r>
      <w:r>
        <w:rPr>
          <w:rStyle w:val="15"/>
          <w:rFonts w:hint="eastAsia" w:ascii="仿宋" w:hAnsi="仿宋" w:eastAsia="仿宋"/>
          <w:b w:val="0"/>
          <w:bCs/>
          <w:color w:val="000000" w:themeColor="text1"/>
          <w:sz w:val="32"/>
          <w:szCs w:val="32"/>
          <w14:textFill>
            <w14:solidFill>
              <w14:schemeClr w14:val="tx1"/>
            </w14:solidFill>
          </w14:textFill>
        </w:rPr>
        <w:t>支出</w:t>
      </w:r>
      <w:r>
        <w:rPr>
          <w:rFonts w:hint="eastAsia" w:ascii="仿宋" w:hAnsi="仿宋" w:eastAsia="仿宋"/>
          <w:b w:val="0"/>
          <w:bCs/>
          <w:color w:val="000000" w:themeColor="text1"/>
          <w:sz w:val="32"/>
          <w:szCs w:val="32"/>
          <w14:textFill>
            <w14:solidFill>
              <w14:schemeClr w14:val="tx1"/>
            </w14:solidFill>
          </w14:textFill>
        </w:rPr>
        <w:t>（210）</w:t>
      </w:r>
      <w:r>
        <w:rPr>
          <w:rStyle w:val="15"/>
          <w:rFonts w:hint="eastAsia" w:ascii="仿宋" w:hAnsi="仿宋" w:eastAsia="仿宋"/>
          <w:b w:val="0"/>
          <w:bCs/>
          <w:color w:val="000000" w:themeColor="text1"/>
          <w:sz w:val="32"/>
          <w:szCs w:val="32"/>
          <w14:textFill>
            <w14:solidFill>
              <w14:schemeClr w14:val="tx1"/>
            </w14:solidFill>
          </w14:textFill>
        </w:rPr>
        <w:t>行政事业单位医疗</w:t>
      </w:r>
      <w:r>
        <w:rPr>
          <w:rFonts w:hint="eastAsia" w:ascii="仿宋" w:hAnsi="仿宋" w:eastAsia="仿宋"/>
          <w:b w:val="0"/>
          <w:bCs/>
          <w:color w:val="000000" w:themeColor="text1"/>
          <w:sz w:val="32"/>
          <w:szCs w:val="32"/>
          <w14:textFill>
            <w14:solidFill>
              <w14:schemeClr w14:val="tx1"/>
            </w14:solidFill>
          </w14:textFill>
        </w:rPr>
        <w:t>（11）事业单位医疗（02）</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color w:val="auto"/>
          <w:sz w:val="32"/>
          <w:szCs w:val="32"/>
          <w:highlight w:val="none"/>
          <w:lang w:val="en-US" w:eastAsia="zh-CN"/>
        </w:rPr>
        <w:t>1.97</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before="130" w:line="60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000000" w:themeColor="text1"/>
          <w:kern w:val="2"/>
          <w:sz w:val="32"/>
          <w:szCs w:val="32"/>
          <w14:textFill>
            <w14:solidFill>
              <w14:schemeClr w14:val="tx1"/>
            </w14:solidFill>
          </w14:textFill>
        </w:rPr>
        <w:t>4.住房保障支出（221）住房改革支出</w:t>
      </w:r>
      <w:r>
        <w:rPr>
          <w:rFonts w:hint="eastAsia" w:ascii="仿宋" w:hAnsi="仿宋" w:eastAsia="仿宋"/>
          <w:b w:val="0"/>
          <w:bCs/>
          <w:color w:val="000000" w:themeColor="text1"/>
          <w:sz w:val="32"/>
          <w:szCs w:val="32"/>
          <w14:textFill>
            <w14:solidFill>
              <w14:schemeClr w14:val="tx1"/>
            </w14:solidFill>
          </w14:textFill>
        </w:rPr>
        <w:t>（02）</w:t>
      </w:r>
      <w:r>
        <w:rPr>
          <w:rFonts w:hint="eastAsia" w:ascii="仿宋" w:hAnsi="仿宋" w:eastAsia="仿宋"/>
          <w:b w:val="0"/>
          <w:bCs/>
          <w:color w:val="000000" w:themeColor="text1"/>
          <w:kern w:val="2"/>
          <w:sz w:val="32"/>
          <w:szCs w:val="32"/>
          <w14:textFill>
            <w14:solidFill>
              <w14:schemeClr w14:val="tx1"/>
            </w14:solidFill>
          </w14:textFill>
        </w:rPr>
        <w:t>住房公积金</w:t>
      </w:r>
      <w:r>
        <w:rPr>
          <w:rFonts w:hint="eastAsia" w:ascii="仿宋" w:hAnsi="仿宋" w:eastAsia="仿宋"/>
          <w:b w:val="0"/>
          <w:bCs/>
          <w:color w:val="000000" w:themeColor="text1"/>
          <w:sz w:val="32"/>
          <w:szCs w:val="32"/>
          <w14:textFill>
            <w14:solidFill>
              <w14:schemeClr w14:val="tx1"/>
            </w14:solidFill>
          </w14:textFill>
        </w:rPr>
        <w:t>（01）</w:t>
      </w:r>
      <w:r>
        <w:rPr>
          <w:rFonts w:hint="eastAsia" w:ascii="仿宋" w:hAnsi="仿宋" w:eastAsia="仿宋"/>
          <w:b w:val="0"/>
          <w:bCs/>
          <w:color w:val="000000" w:themeColor="text1"/>
          <w:kern w:val="2"/>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color w:val="auto"/>
          <w:sz w:val="32"/>
          <w:szCs w:val="32"/>
          <w:highlight w:val="none"/>
          <w:lang w:val="en-US" w:eastAsia="zh-CN"/>
        </w:rPr>
        <w:t>3.83</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pPr>
        <w:tabs>
          <w:tab w:val="right" w:pos="8306"/>
        </w:tabs>
        <w:spacing w:line="600" w:lineRule="exact"/>
        <w:ind w:firstLine="640"/>
        <w:outlineLvl w:val="1"/>
        <w:rPr>
          <w:rStyle w:val="26"/>
          <w:b w:val="0"/>
          <w:bCs/>
          <w:color w:val="auto"/>
          <w:highlight w:val="none"/>
        </w:rPr>
      </w:pPr>
      <w:bookmarkStart w:id="58" w:name="_Toc15396608"/>
      <w:bookmarkStart w:id="59" w:name="_Toc6211"/>
      <w:bookmarkStart w:id="60" w:name="_Toc15377214"/>
      <w:r>
        <w:rPr>
          <w:rStyle w:val="26"/>
          <w:rFonts w:hint="eastAsia"/>
          <w:b w:val="0"/>
          <w:bCs/>
        </w:rPr>
        <w:t>六、一般公共预算财政拨款基本支出决算情况说明</w:t>
      </w:r>
      <w:bookmarkEnd w:id="58"/>
      <w:bookmarkEnd w:id="59"/>
      <w:bookmarkEnd w:id="60"/>
      <w:r>
        <w:rPr>
          <w:rStyle w:val="26"/>
          <w:rFonts w:ascii="黑体" w:hAnsi="黑体" w:eastAsia="黑体"/>
          <w:b w:val="0"/>
          <w:bCs/>
          <w:color w:val="auto"/>
          <w:highlight w:val="none"/>
        </w:rPr>
        <w:tab/>
      </w:r>
    </w:p>
    <w:p>
      <w:pPr>
        <w:spacing w:line="600" w:lineRule="exact"/>
        <w:ind w:firstLine="645"/>
        <w:rPr>
          <w:rFonts w:ascii="仿宋" w:hAnsi="仿宋" w:eastAsia="仿宋"/>
          <w:b w:val="0"/>
          <w:bCs/>
          <w:color w:val="auto"/>
          <w:sz w:val="32"/>
          <w:szCs w:val="32"/>
          <w:highlight w:val="none"/>
        </w:rPr>
      </w:pPr>
      <w:r>
        <w:rPr>
          <w:rFonts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22</w:t>
      </w:r>
      <w:r>
        <w:rPr>
          <w:rFonts w:hint="eastAsia" w:ascii="仿宋" w:hAnsi="仿宋" w:eastAsia="仿宋"/>
          <w:b w:val="0"/>
          <w:bCs/>
          <w:color w:val="auto"/>
          <w:sz w:val="32"/>
          <w:szCs w:val="32"/>
          <w:highlight w:val="none"/>
        </w:rPr>
        <w:t>年一般公共预算财政拨款基本支出</w:t>
      </w:r>
      <w:r>
        <w:rPr>
          <w:rFonts w:hint="eastAsia" w:ascii="仿宋" w:hAnsi="仿宋" w:eastAsia="仿宋" w:cs="仿宋"/>
          <w:b w:val="0"/>
          <w:bCs/>
          <w:color w:val="000000"/>
          <w:sz w:val="32"/>
          <w:szCs w:val="32"/>
          <w:lang w:val="en-US" w:eastAsia="zh-CN"/>
        </w:rPr>
        <w:t>175.11</w:t>
      </w:r>
      <w:r>
        <w:rPr>
          <w:rFonts w:hint="eastAsia" w:ascii="仿宋" w:hAnsi="仿宋" w:eastAsia="仿宋"/>
          <w:b w:val="0"/>
          <w:bCs/>
          <w:color w:val="auto"/>
          <w:sz w:val="32"/>
          <w:szCs w:val="32"/>
          <w:highlight w:val="none"/>
        </w:rPr>
        <w:t>万元，其中：</w:t>
      </w:r>
    </w:p>
    <w:p>
      <w:pPr>
        <w:spacing w:line="600" w:lineRule="exact"/>
        <w:ind w:firstLine="645"/>
        <w:rPr>
          <w:rFonts w:hint="default"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rPr>
        <w:t>人员经费</w:t>
      </w:r>
      <w:r>
        <w:rPr>
          <w:rFonts w:hint="eastAsia" w:ascii="仿宋" w:hAnsi="仿宋" w:eastAsia="仿宋"/>
          <w:b w:val="0"/>
          <w:bCs/>
          <w:color w:val="auto"/>
          <w:sz w:val="32"/>
          <w:szCs w:val="32"/>
          <w:highlight w:val="none"/>
          <w:lang w:val="en-US" w:eastAsia="zh-CN"/>
        </w:rPr>
        <w:t>57.24</w:t>
      </w:r>
      <w:r>
        <w:rPr>
          <w:rFonts w:hint="eastAsia" w:ascii="仿宋" w:hAnsi="仿宋" w:eastAsia="仿宋"/>
          <w:b w:val="0"/>
          <w:bCs/>
          <w:color w:val="auto"/>
          <w:sz w:val="32"/>
          <w:szCs w:val="32"/>
          <w:highlight w:val="none"/>
        </w:rPr>
        <w:t>万元，主要包括：基本工资26.92</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、津贴补贴0.44</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、绩效工资17.34</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、机关事业单位基本养老保险缴费3.77</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、职工基本医疗保险缴费1.97</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、住房公积金</w:t>
      </w:r>
      <w:r>
        <w:rPr>
          <w:rFonts w:hint="eastAsia" w:ascii="仿宋" w:hAnsi="仿宋" w:eastAsia="仿宋"/>
          <w:b w:val="0"/>
          <w:bCs/>
          <w:color w:val="auto"/>
          <w:sz w:val="32"/>
          <w:szCs w:val="32"/>
          <w:highlight w:val="none"/>
          <w:lang w:val="en-US" w:eastAsia="zh-CN"/>
        </w:rPr>
        <w:t>3.83万元</w:t>
      </w:r>
      <w:r>
        <w:rPr>
          <w:rFonts w:hint="eastAsia" w:ascii="仿宋" w:hAnsi="仿宋" w:eastAsia="仿宋"/>
          <w:b w:val="0"/>
          <w:bCs/>
          <w:color w:val="auto"/>
          <w:sz w:val="32"/>
          <w:szCs w:val="32"/>
          <w:highlight w:val="none"/>
        </w:rPr>
        <w:t>、其他工资福利支出</w:t>
      </w:r>
      <w:r>
        <w:rPr>
          <w:rFonts w:hint="eastAsia" w:ascii="仿宋" w:hAnsi="仿宋" w:eastAsia="仿宋"/>
          <w:b w:val="0"/>
          <w:bCs/>
          <w:color w:val="auto"/>
          <w:sz w:val="32"/>
          <w:szCs w:val="32"/>
          <w:highlight w:val="none"/>
          <w:lang w:val="en-US" w:eastAsia="zh-CN"/>
        </w:rPr>
        <w:t>2.97万元。</w:t>
      </w:r>
    </w:p>
    <w:p>
      <w:pPr>
        <w:spacing w:line="600" w:lineRule="exact"/>
        <w:ind w:firstLine="645"/>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公用经费117.87万元，主要包括：办公费81.03</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、水费</w:t>
      </w:r>
      <w:r>
        <w:rPr>
          <w:rFonts w:hint="eastAsia" w:ascii="仿宋" w:hAnsi="仿宋" w:eastAsia="仿宋"/>
          <w:b w:val="0"/>
          <w:bCs/>
          <w:color w:val="auto"/>
          <w:sz w:val="32"/>
          <w:szCs w:val="32"/>
          <w:highlight w:val="none"/>
          <w:lang w:val="en-US" w:eastAsia="zh-CN"/>
        </w:rPr>
        <w:t>0.3万元</w:t>
      </w:r>
      <w:r>
        <w:rPr>
          <w:rFonts w:hint="eastAsia" w:ascii="仿宋" w:hAnsi="仿宋" w:eastAsia="仿宋"/>
          <w:b w:val="0"/>
          <w:bCs/>
          <w:color w:val="auto"/>
          <w:sz w:val="32"/>
          <w:szCs w:val="32"/>
          <w:highlight w:val="none"/>
        </w:rPr>
        <w:t>、电费</w:t>
      </w:r>
      <w:r>
        <w:rPr>
          <w:rFonts w:hint="eastAsia" w:ascii="仿宋" w:hAnsi="仿宋" w:eastAsia="仿宋"/>
          <w:b w:val="0"/>
          <w:bCs/>
          <w:color w:val="auto"/>
          <w:sz w:val="32"/>
          <w:szCs w:val="32"/>
          <w:highlight w:val="none"/>
          <w:lang w:val="en-US" w:eastAsia="zh-CN"/>
        </w:rPr>
        <w:t>0.3万元</w:t>
      </w:r>
      <w:r>
        <w:rPr>
          <w:rFonts w:hint="eastAsia" w:ascii="仿宋" w:hAnsi="仿宋" w:eastAsia="仿宋"/>
          <w:b w:val="0"/>
          <w:bCs/>
          <w:color w:val="auto"/>
          <w:sz w:val="32"/>
          <w:szCs w:val="32"/>
          <w:highlight w:val="none"/>
        </w:rPr>
        <w:t>、工会经费</w:t>
      </w:r>
      <w:r>
        <w:rPr>
          <w:rFonts w:hint="eastAsia" w:ascii="仿宋" w:hAnsi="仿宋" w:eastAsia="仿宋"/>
          <w:b w:val="0"/>
          <w:bCs/>
          <w:color w:val="auto"/>
          <w:sz w:val="32"/>
          <w:szCs w:val="32"/>
          <w:highlight w:val="none"/>
          <w:lang w:val="en-US" w:eastAsia="zh-CN"/>
        </w:rPr>
        <w:t>0.4万元</w:t>
      </w:r>
      <w:r>
        <w:rPr>
          <w:rFonts w:hint="eastAsia" w:ascii="仿宋" w:hAnsi="仿宋" w:eastAsia="仿宋"/>
          <w:b w:val="0"/>
          <w:bCs/>
          <w:color w:val="auto"/>
          <w:sz w:val="32"/>
          <w:szCs w:val="32"/>
          <w:highlight w:val="none"/>
        </w:rPr>
        <w:t>、福利费</w:t>
      </w:r>
      <w:r>
        <w:rPr>
          <w:rFonts w:hint="eastAsia" w:ascii="仿宋" w:hAnsi="仿宋" w:eastAsia="仿宋"/>
          <w:b w:val="0"/>
          <w:bCs/>
          <w:color w:val="auto"/>
          <w:sz w:val="32"/>
          <w:szCs w:val="32"/>
          <w:highlight w:val="none"/>
          <w:lang w:val="en-US" w:eastAsia="zh-CN"/>
        </w:rPr>
        <w:t>0.48万元</w:t>
      </w:r>
      <w:r>
        <w:rPr>
          <w:rFonts w:hint="eastAsia" w:ascii="仿宋" w:hAnsi="仿宋" w:eastAsia="仿宋"/>
          <w:b w:val="0"/>
          <w:bCs/>
          <w:color w:val="auto"/>
          <w:sz w:val="32"/>
          <w:szCs w:val="32"/>
          <w:highlight w:val="none"/>
        </w:rPr>
        <w:t>、其他商品和服务支出</w:t>
      </w:r>
      <w:r>
        <w:rPr>
          <w:rFonts w:hint="eastAsia" w:ascii="仿宋" w:hAnsi="仿宋" w:eastAsia="仿宋"/>
          <w:b w:val="0"/>
          <w:bCs/>
          <w:color w:val="auto"/>
          <w:sz w:val="32"/>
          <w:szCs w:val="32"/>
          <w:highlight w:val="none"/>
          <w:lang w:val="en-US" w:eastAsia="zh-CN"/>
        </w:rPr>
        <w:t>35.36万元。</w:t>
      </w:r>
    </w:p>
    <w:p>
      <w:pPr>
        <w:pStyle w:val="3"/>
        <w:bidi w:val="0"/>
        <w:ind w:firstLine="643" w:firstLineChars="200"/>
      </w:pPr>
      <w:bookmarkStart w:id="61" w:name="_Toc15377215"/>
      <w:bookmarkStart w:id="62" w:name="_Toc15117"/>
      <w:bookmarkStart w:id="63" w:name="_Toc15396609"/>
      <w:r>
        <w:rPr>
          <w:rFonts w:hint="eastAsia"/>
        </w:rPr>
        <w:t>七、财政拨款“三公”经费支出决算情况说明</w:t>
      </w:r>
      <w:bookmarkEnd w:id="61"/>
      <w:bookmarkEnd w:id="62"/>
      <w:bookmarkEnd w:id="63"/>
    </w:p>
    <w:p>
      <w:pPr>
        <w:spacing w:line="600" w:lineRule="exact"/>
        <w:ind w:firstLine="640"/>
        <w:outlineLvl w:val="2"/>
        <w:rPr>
          <w:rFonts w:ascii="仿宋" w:hAnsi="仿宋" w:eastAsia="仿宋"/>
          <w:b/>
          <w:color w:val="auto"/>
          <w:sz w:val="32"/>
          <w:szCs w:val="32"/>
          <w:highlight w:val="none"/>
        </w:rPr>
      </w:pPr>
      <w:bookmarkStart w:id="64" w:name="_Toc1484"/>
      <w:bookmarkStart w:id="65" w:name="_Toc15377216"/>
      <w:r>
        <w:rPr>
          <w:rFonts w:hint="eastAsia" w:ascii="仿宋" w:hAnsi="仿宋" w:eastAsia="仿宋"/>
          <w:b/>
          <w:color w:val="auto"/>
          <w:sz w:val="32"/>
          <w:szCs w:val="32"/>
          <w:highlight w:val="none"/>
        </w:rPr>
        <w:t>（一）“三公”经费财政拨款支出决算总体情况说明</w:t>
      </w:r>
      <w:bookmarkEnd w:id="64"/>
      <w:bookmarkEnd w:id="65"/>
    </w:p>
    <w:p>
      <w:pPr>
        <w:spacing w:line="600" w:lineRule="exact"/>
        <w:ind w:firstLine="640"/>
        <w:rPr>
          <w:rFonts w:ascii="仿宋" w:hAnsi="仿宋" w:eastAsia="仿宋"/>
          <w:b/>
          <w:color w:val="auto"/>
          <w:sz w:val="32"/>
          <w:szCs w:val="32"/>
          <w:highlight w:val="none"/>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年“三公”经费财政拨款支出决算为0万元，完成预算100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color w:val="auto"/>
          <w:sz w:val="32"/>
          <w:szCs w:val="32"/>
          <w:highlight w:val="none"/>
        </w:rPr>
      </w:pPr>
      <w:bookmarkStart w:id="66" w:name="_Toc10411"/>
      <w:bookmarkStart w:id="67" w:name="_Toc15377217"/>
      <w:r>
        <w:rPr>
          <w:rFonts w:hint="eastAsia" w:ascii="仿宋" w:hAnsi="仿宋" w:eastAsia="仿宋"/>
          <w:b/>
          <w:color w:val="auto"/>
          <w:sz w:val="32"/>
          <w:szCs w:val="32"/>
          <w:highlight w:val="none"/>
        </w:rPr>
        <w:t>（二）“三公”经费财政拨款支出决算具体情况说明</w:t>
      </w:r>
      <w:bookmarkEnd w:id="66"/>
      <w:bookmarkEnd w:id="67"/>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21年“三公”经费财政拨款支出决算中，因公出国（境）费支出决算0万元；公务用车购置及运行维护费支出决算0万元；公务接待费支出决算0万元。具体情况如下：</w:t>
      </w:r>
    </w:p>
    <w:p>
      <w:pPr>
        <w:pStyle w:val="3"/>
        <w:outlineLvl w:val="9"/>
        <w:rPr>
          <w:rFonts w:hint="eastAsia" w:ascii="仿宋" w:hAnsi="仿宋" w:eastAsia="仿宋"/>
          <w:sz w:val="32"/>
          <w:szCs w:val="32"/>
        </w:rPr>
      </w:pPr>
    </w:p>
    <w:p>
      <w:pPr>
        <w:rPr>
          <w:rFonts w:hint="eastAsia"/>
        </w:rPr>
      </w:pPr>
    </w:p>
    <w:p>
      <w:pPr>
        <w:pStyle w:val="3"/>
        <w:outlineLvl w:val="9"/>
      </w:pPr>
    </w:p>
    <w:p>
      <w:pPr>
        <w:pStyle w:val="3"/>
        <w:outlineLvl w:val="9"/>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323850</wp:posOffset>
            </wp:positionH>
            <wp:positionV relativeFrom="paragraph">
              <wp:posOffset>200660</wp:posOffset>
            </wp:positionV>
            <wp:extent cx="4640580" cy="2136140"/>
            <wp:effectExtent l="4445" t="4445" r="15875" b="571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jc w:val="center"/>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jc w:val="center"/>
        <w:rPr>
          <w:rFonts w:hint="eastAsia" w:ascii="仿宋" w:hAnsi="仿宋" w:eastAsia="仿宋"/>
          <w:color w:val="auto"/>
          <w:sz w:val="32"/>
          <w:szCs w:val="32"/>
          <w:highlight w:val="none"/>
        </w:rPr>
      </w:pPr>
    </w:p>
    <w:p>
      <w:pPr>
        <w:spacing w:line="600" w:lineRule="exact"/>
        <w:ind w:firstLine="960" w:firstLineChars="300"/>
        <w:jc w:val="cente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sz w:val="32"/>
          <w:szCs w:val="32"/>
        </w:rPr>
      </w:pPr>
      <w:bookmarkStart w:id="68" w:name="_Toc15396610"/>
      <w:bookmarkStart w:id="69" w:name="_Toc15377218"/>
      <w:r>
        <w:rPr>
          <w:rFonts w:ascii="仿宋_GB2312" w:eastAsia="仿宋_GB2312"/>
          <w:b/>
          <w:sz w:val="32"/>
          <w:szCs w:val="32"/>
        </w:rPr>
        <w:t>1.</w:t>
      </w:r>
      <w:r>
        <w:rPr>
          <w:rFonts w:hint="eastAsia" w:ascii="仿宋_GB2312" w:eastAsia="仿宋_GB2312"/>
          <w:b w:val="0"/>
          <w:bCs/>
          <w:sz w:val="32"/>
          <w:szCs w:val="32"/>
        </w:rPr>
        <w:t>因公出国（境）经费支出0万</w:t>
      </w:r>
      <w:r>
        <w:rPr>
          <w:rFonts w:hint="eastAsia" w:ascii="仿宋_GB2312" w:eastAsia="仿宋_GB2312"/>
          <w:sz w:val="32"/>
          <w:szCs w:val="32"/>
        </w:rPr>
        <w:t>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val="0"/>
          <w:bCs/>
          <w:sz w:val="32"/>
          <w:szCs w:val="32"/>
        </w:rPr>
        <w:t>公务用车购置及运行维护费支出0万元</w:t>
      </w:r>
      <w:r>
        <w:rPr>
          <w:rFonts w:hint="eastAsia" w:ascii="仿宋_GB2312" w:eastAsia="仿宋_GB2312"/>
          <w:sz w:val="32"/>
          <w:szCs w:val="32"/>
        </w:rPr>
        <w:t>,</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val="0"/>
          <w:bCs/>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b w:val="0"/>
          <w:bCs/>
          <w:sz w:val="32"/>
          <w:szCs w:val="32"/>
        </w:rPr>
      </w:pPr>
      <w:r>
        <w:rPr>
          <w:rFonts w:hint="eastAsia" w:ascii="仿宋_GB2312" w:eastAsia="仿宋_GB2312"/>
          <w:b w:val="0"/>
          <w:bCs/>
          <w:sz w:val="32"/>
          <w:szCs w:val="32"/>
        </w:rPr>
        <w:t>公务用车运行维护费支出0万元。</w:t>
      </w:r>
    </w:p>
    <w:p>
      <w:pPr>
        <w:spacing w:line="600" w:lineRule="exact"/>
        <w:ind w:firstLine="640"/>
        <w:rPr>
          <w:rFonts w:ascii="仿宋_GB2312" w:eastAsia="仿宋_GB2312"/>
          <w:b w:val="0"/>
          <w:bCs/>
          <w:sz w:val="32"/>
          <w:szCs w:val="32"/>
        </w:rPr>
      </w:pPr>
      <w:r>
        <w:rPr>
          <w:rFonts w:ascii="仿宋_GB2312" w:eastAsia="仿宋_GB2312"/>
          <w:b w:val="0"/>
          <w:bCs/>
          <w:sz w:val="32"/>
          <w:szCs w:val="32"/>
        </w:rPr>
        <w:t>3.</w:t>
      </w:r>
      <w:r>
        <w:rPr>
          <w:rFonts w:hint="eastAsia" w:ascii="仿宋_GB2312" w:eastAsia="仿宋_GB2312"/>
          <w:b w:val="0"/>
          <w:bCs/>
          <w:sz w:val="32"/>
          <w:szCs w:val="32"/>
        </w:rPr>
        <w:t>公务接待费支出0万元</w:t>
      </w:r>
      <w:r>
        <w:rPr>
          <w:rStyle w:val="15"/>
          <w:rFonts w:hint="eastAsia" w:ascii="仿宋" w:hAnsi="仿宋" w:eastAsia="仿宋"/>
          <w:b w:val="0"/>
          <w:bCs/>
          <w:sz w:val="32"/>
          <w:szCs w:val="32"/>
        </w:rPr>
        <w:t>。</w:t>
      </w:r>
      <w:r>
        <w:rPr>
          <w:rFonts w:hint="eastAsia" w:ascii="仿宋_GB2312" w:eastAsia="仿宋_GB2312"/>
          <w:b w:val="0"/>
          <w:bCs/>
          <w:sz w:val="32"/>
          <w:szCs w:val="32"/>
        </w:rPr>
        <w:t>公务接待费支出决算与</w:t>
      </w:r>
      <w:r>
        <w:rPr>
          <w:rFonts w:ascii="仿宋_GB2312" w:eastAsia="仿宋_GB2312"/>
          <w:b w:val="0"/>
          <w:bCs/>
          <w:sz w:val="32"/>
          <w:szCs w:val="32"/>
        </w:rPr>
        <w:t>20</w:t>
      </w:r>
      <w:r>
        <w:rPr>
          <w:rFonts w:hint="eastAsia" w:ascii="仿宋_GB2312" w:eastAsia="仿宋_GB2312"/>
          <w:b w:val="0"/>
          <w:bCs/>
          <w:sz w:val="32"/>
          <w:szCs w:val="32"/>
        </w:rPr>
        <w:t>2</w:t>
      </w:r>
      <w:r>
        <w:rPr>
          <w:rFonts w:hint="eastAsia" w:ascii="仿宋_GB2312" w:eastAsia="仿宋_GB2312"/>
          <w:b w:val="0"/>
          <w:bCs/>
          <w:sz w:val="32"/>
          <w:szCs w:val="32"/>
          <w:lang w:val="en-US" w:eastAsia="zh-CN"/>
        </w:rPr>
        <w:t>1</w:t>
      </w:r>
      <w:r>
        <w:rPr>
          <w:rFonts w:hint="eastAsia" w:ascii="仿宋_GB2312" w:eastAsia="仿宋_GB2312"/>
          <w:b w:val="0"/>
          <w:bCs/>
          <w:sz w:val="32"/>
          <w:szCs w:val="32"/>
        </w:rPr>
        <w:t>年持平。其中：</w:t>
      </w:r>
    </w:p>
    <w:p>
      <w:pPr>
        <w:spacing w:line="600" w:lineRule="exact"/>
        <w:ind w:firstLine="640"/>
        <w:rPr>
          <w:rFonts w:ascii="仿宋_GB2312" w:eastAsia="仿宋_GB2312"/>
          <w:sz w:val="32"/>
          <w:szCs w:val="32"/>
        </w:rPr>
      </w:pPr>
      <w:r>
        <w:rPr>
          <w:rFonts w:hint="eastAsia" w:ascii="仿宋" w:hAnsi="仿宋" w:eastAsia="仿宋"/>
          <w:b w:val="0"/>
          <w:bCs/>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万元，主要用于执行公务、开展业务活动开支的交通费、住宿费、用餐费等。国内公务接待0批次，0人次（不包括陪同人员），共计支出0万元。</w:t>
      </w:r>
    </w:p>
    <w:p>
      <w:pPr>
        <w:spacing w:line="600" w:lineRule="exact"/>
        <w:ind w:firstLine="640" w:firstLineChars="200"/>
        <w:rPr>
          <w:rFonts w:ascii="仿宋_GB2312" w:eastAsia="仿宋_GB2312"/>
          <w:sz w:val="32"/>
          <w:szCs w:val="32"/>
        </w:rPr>
      </w:pPr>
      <w:r>
        <w:rPr>
          <w:rFonts w:hint="eastAsia" w:ascii="仿宋" w:hAnsi="仿宋" w:eastAsia="仿宋"/>
          <w:b w:val="0"/>
          <w:bCs/>
          <w:sz w:val="32"/>
          <w:szCs w:val="32"/>
        </w:rPr>
        <w:t>外事接待支出0</w:t>
      </w:r>
      <w:r>
        <w:rPr>
          <w:rFonts w:hint="eastAsia" w:ascii="仿宋_GB2312" w:eastAsia="仿宋_GB2312"/>
          <w:sz w:val="32"/>
          <w:szCs w:val="32"/>
        </w:rPr>
        <w:t>万元，外事接待0批次，0人，共计支出0万元。</w:t>
      </w:r>
    </w:p>
    <w:p>
      <w:pPr>
        <w:pStyle w:val="3"/>
        <w:bidi w:val="0"/>
        <w:ind w:firstLine="643" w:firstLineChars="200"/>
      </w:pPr>
      <w:bookmarkStart w:id="70" w:name="_Toc4863"/>
      <w:r>
        <w:rPr>
          <w:rFonts w:hint="eastAsia"/>
        </w:rPr>
        <w:t>八、政府性基金预算支出决算情况说明</w:t>
      </w:r>
      <w:bookmarkEnd w:id="68"/>
      <w:bookmarkEnd w:id="69"/>
      <w:bookmarkEnd w:id="7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pStyle w:val="3"/>
        <w:numPr>
          <w:ilvl w:val="0"/>
          <w:numId w:val="0"/>
        </w:numPr>
        <w:bidi w:val="0"/>
        <w:ind w:firstLine="643" w:firstLineChars="200"/>
      </w:pPr>
      <w:bookmarkStart w:id="71" w:name="_Toc27387"/>
      <w:bookmarkStart w:id="72" w:name="_Toc15377219"/>
      <w:bookmarkStart w:id="73" w:name="_Toc15396611"/>
      <w:r>
        <w:rPr>
          <w:rFonts w:hint="eastAsia"/>
          <w:lang w:val="en-US" w:eastAsia="zh-CN"/>
        </w:rPr>
        <w:t>九、</w:t>
      </w:r>
      <w:r>
        <w:rPr>
          <w:rFonts w:hint="eastAsia"/>
        </w:rPr>
        <w:t>国有资本经营预算支出决算情况说明</w:t>
      </w:r>
      <w:bookmarkEnd w:id="71"/>
      <w:bookmarkEnd w:id="72"/>
      <w:bookmarkEnd w:id="7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pStyle w:val="3"/>
        <w:numPr>
          <w:ilvl w:val="0"/>
          <w:numId w:val="0"/>
        </w:numPr>
        <w:bidi w:val="0"/>
        <w:ind w:firstLine="643" w:firstLineChars="200"/>
        <w:rPr>
          <w:rFonts w:hint="eastAsia"/>
        </w:rPr>
      </w:pPr>
      <w:bookmarkStart w:id="74" w:name="_Toc23627"/>
      <w:bookmarkStart w:id="75" w:name="_Toc15396612"/>
      <w:bookmarkStart w:id="76" w:name="_Toc15377221"/>
      <w:r>
        <w:rPr>
          <w:rFonts w:hint="eastAsia"/>
          <w:lang w:val="en-US" w:eastAsia="zh-CN"/>
        </w:rPr>
        <w:t>十、</w:t>
      </w:r>
      <w:r>
        <w:rPr>
          <w:rFonts w:hint="eastAsia"/>
        </w:rPr>
        <w:t>其他重要事项的情况说明</w:t>
      </w:r>
      <w:bookmarkEnd w:id="74"/>
      <w:bookmarkEnd w:id="75"/>
      <w:bookmarkEnd w:id="76"/>
    </w:p>
    <w:p>
      <w:pPr>
        <w:spacing w:line="600" w:lineRule="exact"/>
        <w:ind w:firstLine="643" w:firstLineChars="200"/>
        <w:outlineLvl w:val="2"/>
        <w:rPr>
          <w:rFonts w:ascii="仿宋" w:hAnsi="仿宋" w:eastAsia="仿宋"/>
          <w:color w:val="auto"/>
          <w:sz w:val="32"/>
          <w:szCs w:val="32"/>
          <w:highlight w:val="none"/>
        </w:rPr>
      </w:pPr>
      <w:bookmarkStart w:id="77" w:name="_Toc15377222"/>
      <w:bookmarkStart w:id="78" w:name="_Toc24126"/>
      <w:r>
        <w:rPr>
          <w:rFonts w:hint="eastAsia" w:ascii="仿宋" w:hAnsi="仿宋" w:eastAsia="仿宋"/>
          <w:b/>
          <w:color w:val="auto"/>
          <w:sz w:val="32"/>
          <w:szCs w:val="32"/>
          <w:highlight w:val="none"/>
        </w:rPr>
        <w:t>（一）机关运行经费支出情况</w:t>
      </w:r>
      <w:bookmarkEnd w:id="77"/>
      <w:bookmarkEnd w:id="78"/>
    </w:p>
    <w:p>
      <w:pPr>
        <w:spacing w:line="600" w:lineRule="exact"/>
        <w:ind w:firstLine="640" w:firstLineChars="200"/>
        <w:rPr>
          <w:rFonts w:ascii="仿宋" w:hAnsi="仿宋" w:eastAsia="仿宋"/>
          <w:b/>
          <w:color w:val="auto"/>
          <w:sz w:val="32"/>
          <w:szCs w:val="32"/>
          <w:highlight w:val="none"/>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年，机关运行经费支出0万元，与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9" w:name="_Toc15377223"/>
      <w:bookmarkStart w:id="80" w:name="_Toc20912"/>
      <w:r>
        <w:rPr>
          <w:rFonts w:hint="eastAsia" w:ascii="仿宋" w:hAnsi="仿宋" w:eastAsia="仿宋"/>
          <w:b/>
          <w:color w:val="auto"/>
          <w:sz w:val="32"/>
          <w:szCs w:val="32"/>
          <w:highlight w:val="none"/>
        </w:rPr>
        <w:t>（二）政府采购支出情况</w:t>
      </w:r>
      <w:bookmarkEnd w:id="79"/>
      <w:bookmarkEnd w:id="80"/>
    </w:p>
    <w:p>
      <w:pPr>
        <w:spacing w:line="600" w:lineRule="exact"/>
        <w:ind w:firstLine="640" w:firstLineChars="200"/>
        <w:rPr>
          <w:rFonts w:ascii="仿宋_GB2312" w:eastAsia="仿宋_GB2312"/>
          <w:color w:val="auto"/>
          <w:sz w:val="32"/>
          <w:szCs w:val="32"/>
          <w:highlight w:val="none"/>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1" w:name="_Toc23213"/>
      <w:bookmarkStart w:id="82" w:name="_Toc15377224"/>
      <w:r>
        <w:rPr>
          <w:rFonts w:hint="eastAsia" w:ascii="仿宋" w:hAnsi="仿宋" w:eastAsia="仿宋"/>
          <w:b/>
          <w:color w:val="auto"/>
          <w:sz w:val="32"/>
          <w:szCs w:val="32"/>
          <w:highlight w:val="none"/>
        </w:rPr>
        <w:t>（三）国有资产占有使用情况</w:t>
      </w:r>
      <w:bookmarkEnd w:id="81"/>
      <w:bookmarkEnd w:id="82"/>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83" w:name="_Toc26672"/>
      <w:r>
        <w:rPr>
          <w:rFonts w:hint="eastAsia" w:ascii="仿宋" w:hAnsi="仿宋" w:eastAsia="仿宋"/>
          <w:b/>
          <w:color w:val="auto"/>
          <w:sz w:val="32"/>
          <w:szCs w:val="32"/>
          <w:highlight w:val="none"/>
        </w:rPr>
        <w:t>（四）预算绩效管理情况</w:t>
      </w:r>
      <w:bookmarkEnd w:id="83"/>
    </w:p>
    <w:p>
      <w:pPr>
        <w:spacing w:line="580" w:lineRule="exact"/>
        <w:ind w:firstLine="640" w:firstLineChars="200"/>
        <w:rPr>
          <w:rFonts w:ascii="仿宋_GB2312" w:eastAsia="仿宋_GB2312"/>
          <w:b/>
          <w:color w:val="auto"/>
          <w:sz w:val="32"/>
          <w:szCs w:val="32"/>
        </w:rPr>
      </w:pPr>
      <w:bookmarkStart w:id="84" w:name="_Toc15396613"/>
      <w:bookmarkStart w:id="85" w:name="_Toc15377225"/>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根据预算绩效管理要求，本单位在年初预算编制阶段，组织对0个项目开展了预算事前绩效评估，对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自评，</w:t>
      </w:r>
      <w:r>
        <w:rPr>
          <w:rFonts w:hint="eastAsia" w:ascii="仿宋_GB2312" w:hAnsi="仿宋_GB2312" w:eastAsia="仿宋_GB2312" w:cs="仿宋_GB2312"/>
          <w:color w:val="auto"/>
          <w:sz w:val="32"/>
          <w:szCs w:val="32"/>
        </w:rPr>
        <w:t>绩效自评表详见第四部分附件。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
      <w:pPr>
        <w:pStyle w:val="2"/>
        <w:numPr>
          <w:ilvl w:val="0"/>
          <w:numId w:val="2"/>
        </w:numPr>
        <w:bidi w:val="0"/>
        <w:jc w:val="center"/>
        <w:rPr>
          <w:rFonts w:hint="eastAsia" w:ascii="黑体" w:hAnsi="黑体" w:eastAsia="黑体" w:cs="黑体"/>
          <w:b/>
          <w:bCs/>
        </w:rPr>
      </w:pPr>
      <w:bookmarkStart w:id="86" w:name="_Toc21837"/>
      <w:bookmarkStart w:id="87" w:name="_Toc3815"/>
      <w:r>
        <w:rPr>
          <w:rFonts w:hint="eastAsia" w:ascii="黑体" w:hAnsi="黑体" w:eastAsia="黑体" w:cs="黑体"/>
          <w:b/>
          <w:bCs/>
        </w:rPr>
        <w:t>名词解释</w:t>
      </w:r>
      <w:bookmarkEnd w:id="84"/>
      <w:bookmarkEnd w:id="85"/>
      <w:bookmarkEnd w:id="86"/>
      <w:bookmarkEnd w:id="87"/>
    </w:p>
    <w:p>
      <w:pPr>
        <w:spacing w:line="600" w:lineRule="exact"/>
        <w:jc w:val="left"/>
        <w:rPr>
          <w:rFonts w:ascii="宋体"/>
          <w:b/>
          <w:color w:val="auto"/>
          <w:sz w:val="44"/>
          <w:szCs w:val="44"/>
          <w:highlight w:val="none"/>
        </w:rPr>
      </w:pPr>
    </w:p>
    <w:p>
      <w:pPr>
        <w:pStyle w:val="23"/>
        <w:spacing w:line="560" w:lineRule="exact"/>
        <w:ind w:firstLine="640" w:firstLineChars="200"/>
        <w:outlineLvl w:val="1"/>
        <w:rPr>
          <w:rFonts w:ascii="仿宋_GB2312" w:eastAsia="仿宋_GB2312"/>
          <w:color w:val="auto"/>
          <w:sz w:val="32"/>
          <w:szCs w:val="32"/>
          <w:highlight w:val="none"/>
        </w:rPr>
      </w:pPr>
      <w:bookmarkStart w:id="88" w:name="_Toc484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88"/>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Calibri" w:eastAsia="仿宋_GB2312" w:cs="仿宋"/>
          <w:color w:val="auto"/>
          <w:kern w:val="0"/>
          <w:sz w:val="32"/>
          <w:szCs w:val="32"/>
          <w:lang w:eastAsia="zh-CN"/>
        </w:rPr>
      </w:pPr>
      <w:r>
        <w:rPr>
          <w:rFonts w:hint="eastAsia" w:ascii="仿宋_GB2312"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lang w:val="en-US"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3</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4</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5</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Calibri" w:eastAsia="仿宋_GB2312" w:cs="仿宋"/>
          <w:color w:val="auto"/>
          <w:kern w:val="0"/>
          <w:sz w:val="32"/>
          <w:szCs w:val="32"/>
        </w:rPr>
      </w:pPr>
    </w:p>
    <w:p>
      <w:pPr>
        <w:keepNext w:val="0"/>
        <w:keepLines w:val="0"/>
        <w:pageBreakBefore w:val="0"/>
        <w:widowControl w:val="0"/>
        <w:kinsoku/>
        <w:wordWrap/>
        <w:overflowPunct/>
        <w:topLinePunct w:val="0"/>
        <w:bidi w:val="0"/>
        <w:snapToGrid/>
        <w:spacing w:line="600" w:lineRule="exact"/>
        <w:textAlignment w:val="auto"/>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br w:type="page"/>
      </w:r>
    </w:p>
    <w:p>
      <w:pPr>
        <w:pStyle w:val="23"/>
        <w:spacing w:line="560" w:lineRule="exact"/>
        <w:rPr>
          <w:rFonts w:hint="eastAsia" w:ascii="仿宋_GB2312" w:hAnsi="Calibri" w:eastAsia="仿宋_GB2312" w:cs="仿宋"/>
          <w:color w:val="auto"/>
          <w:kern w:val="0"/>
          <w:sz w:val="32"/>
          <w:szCs w:val="32"/>
          <w:lang w:eastAsia="zh-CN"/>
        </w:rPr>
        <w:sectPr>
          <w:footerReference r:id="rId6" w:type="first"/>
          <w:footerReference r:id="rId5" w:type="default"/>
          <w:pgSz w:w="11906" w:h="16838"/>
          <w:pgMar w:top="2098" w:right="1474" w:bottom="1985" w:left="1588" w:header="851" w:footer="992" w:gutter="0"/>
          <w:pgNumType w:fmt="decimal"/>
          <w:cols w:space="720" w:num="1"/>
          <w:titlePg/>
          <w:docGrid w:type="lines" w:linePitch="435" w:charSpace="0"/>
        </w:sectPr>
      </w:pPr>
    </w:p>
    <w:p>
      <w:pPr>
        <w:spacing w:line="600" w:lineRule="exact"/>
        <w:jc w:val="center"/>
        <w:outlineLvl w:val="0"/>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p>
    <w:p>
      <w:pPr>
        <w:rPr>
          <w:rFonts w:hint="eastAsia" w:ascii="仿宋_GB2312" w:hAnsi="Calibri" w:eastAsia="仿宋_GB2312" w:cs="仿宋"/>
          <w:color w:val="auto"/>
          <w:kern w:val="0"/>
          <w:sz w:val="32"/>
          <w:szCs w:val="32"/>
          <w:lang w:eastAsia="zh-CN"/>
        </w:rPr>
      </w:pPr>
    </w:p>
    <w:tbl>
      <w:tblPr>
        <w:tblStyle w:val="13"/>
        <w:tblW w:w="12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1834"/>
        <w:gridCol w:w="1579"/>
        <w:gridCol w:w="2035"/>
        <w:gridCol w:w="477"/>
        <w:gridCol w:w="1492"/>
        <w:gridCol w:w="477"/>
        <w:gridCol w:w="997"/>
        <w:gridCol w:w="576"/>
        <w:gridCol w:w="576"/>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51172423T000008001049-校舍维修改造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大竹县青年路幼儿园部门</w:t>
            </w:r>
          </w:p>
        </w:tc>
        <w:tc>
          <w:tcPr>
            <w:tcW w:w="9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大竹县青年路幼儿园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1.项目年度目标完成情况</w:t>
            </w:r>
            <w:r>
              <w:rPr>
                <w:rFonts w:hint="default" w:ascii="等线" w:hAnsi="等线" w:eastAsia="等线" w:cs="等线"/>
                <w:i w:val="0"/>
                <w:iCs w:val="0"/>
                <w:color w:val="000000"/>
                <w:kern w:val="0"/>
                <w:sz w:val="18"/>
                <w:szCs w:val="18"/>
                <w:u w:val="none"/>
                <w:lang w:val="en-US" w:eastAsia="zh-CN" w:bidi="ar"/>
              </w:rPr>
              <w:t>社会效益指标</w:t>
            </w:r>
          </w:p>
          <w:p>
            <w:pPr>
              <w:keepNext w:val="0"/>
              <w:keepLines w:val="0"/>
              <w:widowControl/>
              <w:suppressLineNumbers w:val="0"/>
              <w:jc w:val="left"/>
              <w:textAlignment w:val="center"/>
              <w:rPr>
                <w:rFonts w:ascii="宋体" w:hAnsi="宋体" w:eastAsia="宋体" w:cs="宋体"/>
                <w:i w:val="0"/>
                <w:iCs w:val="0"/>
                <w:color w:val="000000"/>
                <w:sz w:val="18"/>
                <w:szCs w:val="18"/>
                <w:u w:val="none"/>
              </w:rPr>
            </w:pPr>
          </w:p>
        </w:tc>
        <w:tc>
          <w:tcPr>
            <w:tcW w:w="6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学校校舍安全，完善基础设施</w:t>
            </w:r>
          </w:p>
        </w:tc>
        <w:tc>
          <w:tcPr>
            <w:tcW w:w="4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学校校舍安全，完善基础设施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通过维修校舍，</w:t>
            </w:r>
            <w:r>
              <w:rPr>
                <w:rFonts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学校校舍美观</w:t>
            </w:r>
            <w:bookmarkStart w:id="119" w:name="_GoBack"/>
            <w:bookmarkEnd w:id="119"/>
            <w:r>
              <w:rPr>
                <w:rFonts w:hint="eastAsia" w:ascii="宋体" w:hAnsi="宋体" w:cs="宋体"/>
                <w:i w:val="0"/>
                <w:iCs w:val="0"/>
                <w:color w:val="000000"/>
                <w:kern w:val="0"/>
                <w:sz w:val="18"/>
                <w:szCs w:val="18"/>
                <w:u w:val="none"/>
                <w:lang w:val="en-US" w:eastAsia="zh-CN" w:bidi="ar"/>
              </w:rPr>
              <w:t>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追加项目资金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产出指标</w:t>
            </w:r>
          </w:p>
        </w:tc>
        <w:tc>
          <w:tcPr>
            <w:tcW w:w="15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时效指标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项目完成时间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年</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2"/>
                <w:sz w:val="16"/>
                <w:szCs w:val="16"/>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2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数量指标</w:t>
            </w:r>
          </w:p>
        </w:tc>
        <w:tc>
          <w:tcPr>
            <w:tcW w:w="15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基础设施改造面积</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数量指标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300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平方米</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2"/>
                <w:sz w:val="16"/>
                <w:szCs w:val="16"/>
                <w:u w:val="none"/>
                <w:lang w:val="en-US" w:eastAsia="zh-CN" w:bidi="ar-SA"/>
              </w:rPr>
              <w:t>300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2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质量指标</w:t>
            </w:r>
          </w:p>
        </w:tc>
        <w:tc>
          <w:tcPr>
            <w:tcW w:w="15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竣工验收合格率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质量指标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30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可持续发展指标</w:t>
            </w:r>
          </w:p>
        </w:tc>
        <w:tc>
          <w:tcPr>
            <w:tcW w:w="15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改造后设施使用年限</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可持续发展指标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40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20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社会效益指标</w:t>
            </w:r>
          </w:p>
        </w:tc>
        <w:tc>
          <w:tcPr>
            <w:tcW w:w="15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改善师生教学和学习条件</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社会效益指标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定性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较改造前</w:t>
            </w:r>
            <w:r>
              <w:rPr>
                <w:rFonts w:hint="eastAsia" w:ascii="等线" w:hAnsi="等线" w:eastAsia="等线" w:cs="等线"/>
                <w:i w:val="0"/>
                <w:iCs w:val="0"/>
                <w:color w:val="000000"/>
                <w:kern w:val="0"/>
                <w:sz w:val="18"/>
                <w:szCs w:val="18"/>
                <w:u w:val="none"/>
                <w:lang w:val="en-US" w:eastAsia="zh-CN" w:bidi="ar"/>
              </w:rPr>
              <w:t>硬件更佳</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较改造前</w:t>
            </w:r>
            <w:r>
              <w:rPr>
                <w:rFonts w:hint="eastAsia" w:ascii="等线" w:hAnsi="等线" w:eastAsia="等线" w:cs="等线"/>
                <w:i w:val="0"/>
                <w:iCs w:val="0"/>
                <w:color w:val="000000"/>
                <w:kern w:val="0"/>
                <w:sz w:val="18"/>
                <w:szCs w:val="18"/>
                <w:u w:val="none"/>
                <w:lang w:val="en-US" w:eastAsia="zh-CN" w:bidi="ar"/>
              </w:rPr>
              <w:t>硬件更佳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服务对象满意度指标</w:t>
            </w:r>
          </w:p>
        </w:tc>
        <w:tc>
          <w:tcPr>
            <w:tcW w:w="157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教职工满意度</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服务对象满意度指标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95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3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3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3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项目负责人：唐天香</w:t>
            </w:r>
          </w:p>
        </w:tc>
        <w:tc>
          <w:tcPr>
            <w:tcW w:w="63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财务负责人：王庆曜</w:t>
            </w:r>
          </w:p>
        </w:tc>
      </w:tr>
    </w:tbl>
    <w:p>
      <w:pPr>
        <w:pStyle w:val="23"/>
        <w:spacing w:line="560" w:lineRule="exact"/>
        <w:ind w:firstLine="640" w:firstLineChars="200"/>
        <w:rPr>
          <w:rFonts w:hint="eastAsia" w:ascii="仿宋_GB2312" w:hAnsi="Calibri" w:eastAsia="仿宋_GB2312" w:cs="仿宋"/>
          <w:color w:val="auto"/>
          <w:kern w:val="0"/>
          <w:sz w:val="32"/>
          <w:szCs w:val="32"/>
          <w:lang w:eastAsia="zh-CN"/>
        </w:rPr>
        <w:sectPr>
          <w:pgSz w:w="16838" w:h="11906" w:orient="landscape"/>
          <w:pgMar w:top="1588" w:right="2098" w:bottom="1474" w:left="1985" w:header="851" w:footer="992" w:gutter="0"/>
          <w:pgNumType w:fmt="decimal"/>
          <w:cols w:space="720" w:num="1"/>
          <w:titlePg/>
          <w:docGrid w:type="lines" w:linePitch="435" w:charSpace="0"/>
        </w:sectPr>
      </w:pPr>
    </w:p>
    <w:p>
      <w:pPr>
        <w:pStyle w:val="2"/>
        <w:bidi w:val="0"/>
        <w:jc w:val="center"/>
        <w:rPr>
          <w:rFonts w:hint="eastAsia" w:ascii="黑体" w:hAnsi="黑体" w:eastAsia="黑体" w:cs="黑体"/>
        </w:rPr>
      </w:pPr>
      <w:bookmarkStart w:id="89" w:name="_Toc15377226"/>
      <w:bookmarkStart w:id="90" w:name="_Toc10531"/>
      <w:bookmarkStart w:id="91" w:name="_Toc15396618"/>
      <w:bookmarkStart w:id="92" w:name="_Toc6866"/>
      <w:r>
        <w:rPr>
          <w:rFonts w:hint="eastAsia" w:ascii="黑体" w:hAnsi="黑体" w:eastAsia="黑体" w:cs="黑体"/>
        </w:rPr>
        <w:t>第五部分 附表</w:t>
      </w:r>
      <w:bookmarkEnd w:id="89"/>
      <w:bookmarkEnd w:id="90"/>
      <w:bookmarkEnd w:id="91"/>
      <w:bookmarkEnd w:id="92"/>
      <w:bookmarkStart w:id="93" w:name="_Toc15396619"/>
    </w:p>
    <w:p>
      <w:pPr>
        <w:pStyle w:val="3"/>
        <w:rPr>
          <w:rFonts w:ascii="仿宋" w:hAnsi="仿宋" w:eastAsia="仿宋"/>
          <w:color w:val="auto"/>
          <w:highlight w:val="none"/>
        </w:rPr>
      </w:pPr>
      <w:bookmarkStart w:id="94" w:name="_Toc28756"/>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93"/>
      <w:bookmarkEnd w:id="94"/>
    </w:p>
    <w:p>
      <w:pPr>
        <w:pStyle w:val="3"/>
        <w:rPr>
          <w:rFonts w:ascii="仿宋" w:hAnsi="仿宋" w:eastAsia="仿宋"/>
          <w:color w:val="auto"/>
          <w:highlight w:val="none"/>
        </w:rPr>
      </w:pPr>
      <w:bookmarkStart w:id="95" w:name="_Toc21992"/>
      <w:bookmarkStart w:id="96"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95"/>
      <w:bookmarkEnd w:id="96"/>
    </w:p>
    <w:p>
      <w:pPr>
        <w:pStyle w:val="3"/>
        <w:rPr>
          <w:rFonts w:ascii="仿宋" w:hAnsi="仿宋" w:eastAsia="仿宋"/>
          <w:color w:val="auto"/>
          <w:highlight w:val="none"/>
        </w:rPr>
      </w:pPr>
      <w:bookmarkStart w:id="97" w:name="_Toc15396621"/>
      <w:bookmarkStart w:id="98" w:name="_Toc29094"/>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97"/>
      <w:bookmarkEnd w:id="98"/>
    </w:p>
    <w:p>
      <w:pPr>
        <w:pStyle w:val="3"/>
        <w:rPr>
          <w:rFonts w:ascii="仿宋" w:hAnsi="仿宋" w:eastAsia="仿宋"/>
          <w:b w:val="0"/>
          <w:color w:val="auto"/>
          <w:highlight w:val="none"/>
        </w:rPr>
      </w:pPr>
      <w:bookmarkStart w:id="99" w:name="_Toc15396622"/>
      <w:bookmarkStart w:id="100" w:name="_Toc3255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99"/>
      <w:bookmarkEnd w:id="100"/>
    </w:p>
    <w:p>
      <w:pPr>
        <w:pStyle w:val="3"/>
        <w:rPr>
          <w:rStyle w:val="26"/>
          <w:rFonts w:ascii="仿宋" w:hAnsi="仿宋" w:eastAsia="仿宋"/>
          <w:b w:val="0"/>
          <w:bCs w:val="0"/>
          <w:color w:val="auto"/>
          <w:highlight w:val="none"/>
        </w:rPr>
      </w:pPr>
      <w:bookmarkStart w:id="101" w:name="_Toc8670"/>
      <w:bookmarkStart w:id="102"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101"/>
      <w:bookmarkEnd w:id="102"/>
      <w:bookmarkStart w:id="103" w:name="_Toc15396624"/>
    </w:p>
    <w:p>
      <w:pPr>
        <w:pStyle w:val="3"/>
        <w:rPr>
          <w:rFonts w:ascii="仿宋" w:hAnsi="仿宋" w:eastAsia="仿宋"/>
          <w:color w:val="auto"/>
          <w:highlight w:val="none"/>
        </w:rPr>
      </w:pPr>
      <w:bookmarkStart w:id="104" w:name="_Toc20413"/>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103"/>
      <w:bookmarkEnd w:id="104"/>
    </w:p>
    <w:p>
      <w:pPr>
        <w:pStyle w:val="3"/>
        <w:rPr>
          <w:rFonts w:ascii="仿宋" w:hAnsi="仿宋" w:eastAsia="仿宋"/>
          <w:color w:val="auto"/>
          <w:highlight w:val="none"/>
        </w:rPr>
      </w:pPr>
      <w:bookmarkStart w:id="105" w:name="_Toc23820"/>
      <w:bookmarkStart w:id="106"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105"/>
      <w:bookmarkEnd w:id="106"/>
    </w:p>
    <w:p>
      <w:pPr>
        <w:pStyle w:val="3"/>
        <w:rPr>
          <w:rFonts w:ascii="仿宋" w:hAnsi="仿宋" w:eastAsia="仿宋"/>
          <w:color w:val="auto"/>
          <w:highlight w:val="none"/>
        </w:rPr>
      </w:pPr>
      <w:bookmarkStart w:id="107" w:name="_Toc15396626"/>
      <w:bookmarkStart w:id="108" w:name="_Toc9612"/>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107"/>
      <w:bookmarkEnd w:id="108"/>
    </w:p>
    <w:p>
      <w:pPr>
        <w:pStyle w:val="3"/>
        <w:rPr>
          <w:rFonts w:ascii="仿宋" w:hAnsi="仿宋" w:eastAsia="仿宋"/>
          <w:color w:val="auto"/>
          <w:highlight w:val="none"/>
        </w:rPr>
      </w:pPr>
      <w:bookmarkStart w:id="109" w:name="_Toc15396627"/>
      <w:bookmarkStart w:id="110" w:name="_Toc6964"/>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109"/>
      <w:bookmarkEnd w:id="110"/>
    </w:p>
    <w:p>
      <w:pPr>
        <w:pStyle w:val="3"/>
        <w:rPr>
          <w:rFonts w:ascii="仿宋" w:hAnsi="仿宋" w:eastAsia="仿宋"/>
          <w:color w:val="auto"/>
          <w:highlight w:val="none"/>
        </w:rPr>
      </w:pPr>
      <w:bookmarkStart w:id="111" w:name="_Toc15396628"/>
      <w:bookmarkStart w:id="112" w:name="_Toc11124"/>
      <w:r>
        <w:rPr>
          <w:rStyle w:val="26"/>
          <w:rFonts w:hint="eastAsia" w:ascii="仿宋" w:hAnsi="仿宋" w:eastAsia="仿宋"/>
          <w:b w:val="0"/>
          <w:bCs w:val="0"/>
          <w:color w:val="auto"/>
          <w:highlight w:val="none"/>
        </w:rPr>
        <w:t>十、</w:t>
      </w:r>
      <w:bookmarkEnd w:id="111"/>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112"/>
    </w:p>
    <w:p>
      <w:pPr>
        <w:pStyle w:val="3"/>
        <w:rPr>
          <w:rFonts w:ascii="仿宋" w:hAnsi="仿宋" w:eastAsia="仿宋"/>
          <w:color w:val="auto"/>
          <w:highlight w:val="none"/>
        </w:rPr>
      </w:pPr>
      <w:bookmarkStart w:id="113" w:name="_Toc15396629"/>
      <w:bookmarkStart w:id="114" w:name="_Toc19195"/>
      <w:r>
        <w:rPr>
          <w:rStyle w:val="26"/>
          <w:rFonts w:hint="eastAsia" w:ascii="仿宋" w:hAnsi="仿宋" w:eastAsia="仿宋"/>
          <w:b w:val="0"/>
          <w:bCs w:val="0"/>
          <w:color w:val="auto"/>
          <w:highlight w:val="none"/>
        </w:rPr>
        <w:t>十一、</w:t>
      </w:r>
      <w:bookmarkEnd w:id="113"/>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14"/>
    </w:p>
    <w:p>
      <w:pPr>
        <w:pStyle w:val="3"/>
        <w:rPr>
          <w:rFonts w:ascii="仿宋" w:hAnsi="仿宋" w:eastAsia="仿宋"/>
          <w:color w:val="auto"/>
          <w:highlight w:val="none"/>
        </w:rPr>
      </w:pPr>
      <w:bookmarkStart w:id="115" w:name="_Toc15396630"/>
      <w:bookmarkStart w:id="116" w:name="_Toc20415"/>
      <w:r>
        <w:rPr>
          <w:rStyle w:val="26"/>
          <w:rFonts w:hint="eastAsia" w:ascii="仿宋" w:hAnsi="仿宋" w:eastAsia="仿宋"/>
          <w:b w:val="0"/>
          <w:bCs w:val="0"/>
          <w:color w:val="auto"/>
          <w:highlight w:val="none"/>
        </w:rPr>
        <w:t>十二、</w:t>
      </w:r>
      <w:bookmarkEnd w:id="115"/>
      <w:r>
        <w:rPr>
          <w:rStyle w:val="26"/>
          <w:rFonts w:hint="eastAsia" w:ascii="仿宋" w:hAnsi="仿宋" w:eastAsia="仿宋"/>
          <w:b w:val="0"/>
          <w:bCs w:val="0"/>
          <w:color w:val="auto"/>
          <w:highlight w:val="none"/>
          <w:lang w:eastAsia="zh-CN"/>
        </w:rPr>
        <w:t>国有资本经营预算财政拨款支出决算表</w:t>
      </w:r>
      <w:bookmarkEnd w:id="116"/>
    </w:p>
    <w:p>
      <w:pPr>
        <w:pStyle w:val="3"/>
        <w:rPr>
          <w:rFonts w:hint="eastAsia" w:eastAsia="仿宋"/>
          <w:color w:val="auto"/>
          <w:highlight w:val="none"/>
          <w:lang w:eastAsia="zh-CN"/>
        </w:rPr>
      </w:pPr>
      <w:bookmarkStart w:id="117" w:name="_Toc15396631"/>
      <w:bookmarkStart w:id="118" w:name="_Toc23254"/>
      <w:r>
        <w:rPr>
          <w:rStyle w:val="26"/>
          <w:rFonts w:hint="eastAsia" w:ascii="仿宋" w:hAnsi="仿宋" w:eastAsia="仿宋"/>
          <w:b w:val="0"/>
          <w:bCs w:val="0"/>
          <w:color w:val="auto"/>
          <w:highlight w:val="none"/>
        </w:rPr>
        <w:t>十三、</w:t>
      </w:r>
      <w:bookmarkEnd w:id="117"/>
      <w:r>
        <w:rPr>
          <w:rStyle w:val="26"/>
          <w:rFonts w:hint="eastAsia" w:ascii="仿宋" w:hAnsi="仿宋" w:eastAsia="仿宋"/>
          <w:b w:val="0"/>
          <w:bCs w:val="0"/>
          <w:color w:val="auto"/>
          <w:highlight w:val="none"/>
          <w:lang w:eastAsia="zh-CN"/>
        </w:rPr>
        <w:t>财政拨款“三公”经费支出决算表</w:t>
      </w:r>
      <w:bookmarkEnd w:id="118"/>
    </w:p>
    <w:sectPr>
      <w:headerReference r:id="rId7" w:type="default"/>
      <w:footerReference r:id="rId8"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YWAzdIBAACkAwAADgAAAAAAAAABACAAAAAfAQAA&#10;ZHJzL2Uyb0RvYy54bWxQSwUGAAAAAAYABgBZAQAAY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Zfu0q9IBAACkAwAADgAAAAAAAAABACAAAAAfAQAA&#10;ZHJzL2Uyb0RvYy54bWxQSwUGAAAAAAYABgBZAQAAY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hVao9IBAACkAwAADgAAAAAAAAABACAAAAAfAQAA&#10;ZHJzL2Uyb0RvYy54bWxQSwUGAAAAAAYABgBZAQAAY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3"/>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755E"/>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38732E2"/>
    <w:rsid w:val="038934DC"/>
    <w:rsid w:val="053A62B5"/>
    <w:rsid w:val="098976B2"/>
    <w:rsid w:val="0A2032A3"/>
    <w:rsid w:val="0B8A37D8"/>
    <w:rsid w:val="0D9229D2"/>
    <w:rsid w:val="10A875A6"/>
    <w:rsid w:val="10C055FF"/>
    <w:rsid w:val="10C20BDE"/>
    <w:rsid w:val="10C73010"/>
    <w:rsid w:val="118107EC"/>
    <w:rsid w:val="11DD6519"/>
    <w:rsid w:val="122819FE"/>
    <w:rsid w:val="12BD44C1"/>
    <w:rsid w:val="150060C3"/>
    <w:rsid w:val="15617D73"/>
    <w:rsid w:val="16BB723D"/>
    <w:rsid w:val="18015F3F"/>
    <w:rsid w:val="1AA74485"/>
    <w:rsid w:val="1AF8515B"/>
    <w:rsid w:val="1BE8440E"/>
    <w:rsid w:val="1D155CEE"/>
    <w:rsid w:val="1E474E95"/>
    <w:rsid w:val="206F5C5C"/>
    <w:rsid w:val="20F57F95"/>
    <w:rsid w:val="21780EAA"/>
    <w:rsid w:val="23A873C5"/>
    <w:rsid w:val="240371BF"/>
    <w:rsid w:val="24BD2542"/>
    <w:rsid w:val="24EB07E0"/>
    <w:rsid w:val="25711CC6"/>
    <w:rsid w:val="25C741E6"/>
    <w:rsid w:val="275F3C63"/>
    <w:rsid w:val="27842671"/>
    <w:rsid w:val="29FD04D3"/>
    <w:rsid w:val="2A3E027D"/>
    <w:rsid w:val="2ABE7A3E"/>
    <w:rsid w:val="2BB30B26"/>
    <w:rsid w:val="2CA234A8"/>
    <w:rsid w:val="2CF5496A"/>
    <w:rsid w:val="2EFA178C"/>
    <w:rsid w:val="30B46D73"/>
    <w:rsid w:val="312A3017"/>
    <w:rsid w:val="319F7F4E"/>
    <w:rsid w:val="32C43CD3"/>
    <w:rsid w:val="330B7D6A"/>
    <w:rsid w:val="35971C6B"/>
    <w:rsid w:val="35C4416B"/>
    <w:rsid w:val="360E4D44"/>
    <w:rsid w:val="383D272C"/>
    <w:rsid w:val="397D0DF5"/>
    <w:rsid w:val="39AE70AB"/>
    <w:rsid w:val="3A420970"/>
    <w:rsid w:val="3AFA0DF0"/>
    <w:rsid w:val="3C0C0783"/>
    <w:rsid w:val="3F1E04A2"/>
    <w:rsid w:val="3F9F3A96"/>
    <w:rsid w:val="43C86A72"/>
    <w:rsid w:val="449A02C1"/>
    <w:rsid w:val="44F1020C"/>
    <w:rsid w:val="45496B33"/>
    <w:rsid w:val="47810F55"/>
    <w:rsid w:val="48541F74"/>
    <w:rsid w:val="48BF60AB"/>
    <w:rsid w:val="48F5028E"/>
    <w:rsid w:val="493C27E9"/>
    <w:rsid w:val="496F39ED"/>
    <w:rsid w:val="49FF41D3"/>
    <w:rsid w:val="4BA821F9"/>
    <w:rsid w:val="4BE068DB"/>
    <w:rsid w:val="4BF6002B"/>
    <w:rsid w:val="4D1E0E32"/>
    <w:rsid w:val="4D8E0711"/>
    <w:rsid w:val="4ECE2238"/>
    <w:rsid w:val="510C31D4"/>
    <w:rsid w:val="51C139AF"/>
    <w:rsid w:val="51DB4B86"/>
    <w:rsid w:val="51E95BE2"/>
    <w:rsid w:val="52424260"/>
    <w:rsid w:val="55333C3E"/>
    <w:rsid w:val="57887D2F"/>
    <w:rsid w:val="596516D3"/>
    <w:rsid w:val="5B4524D0"/>
    <w:rsid w:val="5E5035ED"/>
    <w:rsid w:val="613408A1"/>
    <w:rsid w:val="616E30EF"/>
    <w:rsid w:val="64C56B94"/>
    <w:rsid w:val="64CA39A1"/>
    <w:rsid w:val="66021926"/>
    <w:rsid w:val="69630ADE"/>
    <w:rsid w:val="6C4A05C8"/>
    <w:rsid w:val="6CCA0098"/>
    <w:rsid w:val="6D3B1A89"/>
    <w:rsid w:val="6E843F52"/>
    <w:rsid w:val="6F8248A3"/>
    <w:rsid w:val="6FC22C3B"/>
    <w:rsid w:val="71BF4EC2"/>
    <w:rsid w:val="72734D90"/>
    <w:rsid w:val="72D81796"/>
    <w:rsid w:val="730C568B"/>
    <w:rsid w:val="73FA57E7"/>
    <w:rsid w:val="7412278C"/>
    <w:rsid w:val="76243ADA"/>
    <w:rsid w:val="76AA313B"/>
    <w:rsid w:val="78EB6839"/>
    <w:rsid w:val="79E7B28D"/>
    <w:rsid w:val="7C8B28DF"/>
    <w:rsid w:val="7D3A0B7E"/>
    <w:rsid w:val="7E546F93"/>
    <w:rsid w:val="7F1B620C"/>
    <w:rsid w:val="7F50212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黑体"/>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eastAsia="黑体"/>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image" Target="media/image1.png"/><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年收、支决算变动表</a:t>
            </a:r>
            <a:r>
              <a:rPr lang="en-US" altLang="zh-CN"/>
              <a:t>                        </a:t>
            </a:r>
            <a:r>
              <a:rPr altLang="en-US"/>
              <a:t>单位：万元</a:t>
            </a:r>
            <a:endParaRPr lang="en-US" altLang="zh-CN"/>
          </a:p>
        </c:rich>
      </c:tx>
      <c:layout>
        <c:manualLayout>
          <c:xMode val="edge"/>
          <c:yMode val="edge"/>
          <c:x val="0.213698961101715"/>
          <c:y val="0.0212494687632809"/>
        </c:manualLayout>
      </c:layout>
      <c:overlay val="0"/>
      <c:spPr>
        <a:noFill/>
        <a:ln>
          <a:noFill/>
        </a:ln>
        <a:effectLst/>
      </c:spPr>
    </c:title>
    <c:autoTitleDeleted val="0"/>
    <c:plotArea>
      <c:layout>
        <c:manualLayout>
          <c:layoutTarget val="inner"/>
          <c:xMode val="edge"/>
          <c:yMode val="edge"/>
          <c:x val="0.0442860594346461"/>
          <c:y val="0.161920951976201"/>
          <c:w val="0.930345494080696"/>
          <c:h val="0.638631534211645"/>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156.98</c:v>
                </c:pt>
                <c:pt idx="1">
                  <c:v>220.11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156.98</c:v>
                </c:pt>
                <c:pt idx="1">
                  <c:v>220.11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731199423"/>
        <c:axId val="301568602"/>
      </c:barChart>
      <c:catAx>
        <c:axId val="731199423"/>
        <c:scaling>
          <c:orientation val="minMax"/>
        </c:scaling>
        <c:delete val="1"/>
        <c:axPos val="b"/>
        <c:majorTickMark val="cross"/>
        <c:minorTickMark val="none"/>
        <c:tickLblPos val="nextTo"/>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568602"/>
        <c:crosses val="autoZero"/>
        <c:auto val="1"/>
        <c:lblAlgn val="ctr"/>
        <c:lblOffset val="100"/>
        <c:noMultiLvlLbl val="0"/>
      </c:catAx>
      <c:valAx>
        <c:axId val="3015686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199423"/>
        <c:crosses val="autoZero"/>
        <c:crossBetween val="between"/>
      </c:valAx>
      <c:spPr>
        <a:noFill/>
        <a:ln>
          <a:noFill/>
        </a:ln>
        <a:effectLst/>
      </c:spPr>
    </c:plotArea>
    <c:legend>
      <c:legendPos val="b"/>
      <c:legendEntry>
        <c:idx val="2"/>
        <c:delete val="1"/>
      </c:legendEntry>
      <c:layout>
        <c:manualLayout>
          <c:xMode val="edge"/>
          <c:yMode val="edge"/>
          <c:x val="0.407405170330998"/>
          <c:y val="0.90118997025074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2022年预算收入</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2022年全年支出饼状图</a:t>
            </a:r>
          </a:p>
        </c:rich>
      </c:tx>
      <c:layout/>
      <c:overlay val="0"/>
      <c:spPr>
        <a:noFill/>
        <a:ln>
          <a:noFill/>
        </a:ln>
        <a:effectLst/>
      </c:spPr>
    </c:title>
    <c:autoTitleDeleted val="0"/>
    <c:plotArea>
      <c:layout/>
      <c:pieChart>
        <c:varyColors val="1"/>
        <c:ser>
          <c:idx val="0"/>
          <c:order val="0"/>
          <c:tx>
            <c:strRef>
              <c:f>Sheet1!$B$1</c:f>
              <c:strCache>
                <c:ptCount val="1"/>
                <c:pt idx="0">
                  <c:v>2022年全年支出饼状图（按支出性质）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0.7956</c:v>
                </c:pt>
                <c:pt idx="1">
                  <c:v>0.2044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2021</a:t>
            </a:r>
            <a:r>
              <a:rPr altLang="en-US"/>
              <a:t>年至</a:t>
            </a:r>
            <a:r>
              <a:rPr lang="en-US" altLang="zh-CN"/>
              <a:t>2022</a:t>
            </a:r>
            <a:r>
              <a:rPr altLang="en-US"/>
              <a:t>年收入支出对比图</a:t>
            </a:r>
            <a:r>
              <a:rPr lang="en-US" altLang="zh-CN"/>
              <a:t>             </a:t>
            </a:r>
            <a:r>
              <a:rPr altLang="en-US"/>
              <a:t>单位：万元</a:t>
            </a:r>
            <a:endParaRPr lang="en-US" altLang="zh-CN"/>
          </a:p>
        </c:rich>
      </c:tx>
      <c:layout/>
      <c:overlay val="0"/>
      <c:spPr>
        <a:noFill/>
        <a:ln>
          <a:noFill/>
        </a:ln>
        <a:effectLst/>
      </c:spPr>
    </c:title>
    <c:autoTitleDeleted val="0"/>
    <c:plotArea>
      <c:layout>
        <c:manualLayout>
          <c:layoutTarget val="inner"/>
          <c:xMode val="edge"/>
          <c:yMode val="edge"/>
          <c:x val="0.0650640251268422"/>
          <c:y val="0.160433489162771"/>
          <c:w val="0.908359507127325"/>
          <c:h val="0.734679133021674"/>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Pt>
            <c:idx val="1"/>
            <c:invertIfNegative val="0"/>
            <c:bubble3D val="0"/>
            <c:spPr>
              <a:solidFill>
                <a:srgbClr val="FFFF00"/>
              </a:solidFill>
              <a:ln>
                <a:noFill/>
              </a:ln>
              <a:effectLst/>
            </c:spPr>
          </c:dPt>
          <c:dPt>
            <c:idx val="3"/>
            <c:invertIfNegative val="0"/>
            <c:bubble3D val="0"/>
            <c:spPr>
              <a:solidFill>
                <a:srgbClr val="FFFF0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2021年收入</c:v>
                </c:pt>
                <c:pt idx="1">
                  <c:v>2022年收入</c:v>
                </c:pt>
                <c:pt idx="2">
                  <c:v>2021年支出</c:v>
                </c:pt>
                <c:pt idx="3">
                  <c:v>2022年支出</c:v>
                </c:pt>
              </c:strCache>
            </c:strRef>
          </c:cat>
          <c:val>
            <c:numRef>
              <c:f>Sheet1!$B$2:$B$5</c:f>
              <c:numCache>
                <c:formatCode>General</c:formatCode>
                <c:ptCount val="4"/>
                <c:pt idx="0">
                  <c:v>156.98</c:v>
                </c:pt>
                <c:pt idx="1">
                  <c:v>220.11</c:v>
                </c:pt>
                <c:pt idx="2">
                  <c:v>156.98</c:v>
                </c:pt>
                <c:pt idx="3">
                  <c:v>220.11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2021年收入</c:v>
                </c:pt>
                <c:pt idx="1">
                  <c:v>2022年收入</c:v>
                </c:pt>
                <c:pt idx="2">
                  <c:v>2021年支出</c:v>
                </c:pt>
                <c:pt idx="3">
                  <c:v>2022年支出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2021年收入</c:v>
                </c:pt>
                <c:pt idx="1">
                  <c:v>2022年收入</c:v>
                </c:pt>
                <c:pt idx="2">
                  <c:v>2021年支出</c:v>
                </c:pt>
                <c:pt idx="3">
                  <c:v>2022年支出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98778204"/>
        <c:axId val="308710826"/>
      </c:barChart>
      <c:catAx>
        <c:axId val="5987782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710826"/>
        <c:crosses val="autoZero"/>
        <c:auto val="1"/>
        <c:lblAlgn val="ctr"/>
        <c:lblOffset val="100"/>
        <c:noMultiLvlLbl val="0"/>
      </c:catAx>
      <c:valAx>
        <c:axId val="30871082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87782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2022年财政拨款支出饼状图</a:t>
            </a:r>
          </a:p>
        </c:rich>
      </c:tx>
      <c:layout/>
      <c:overlay val="0"/>
      <c:spPr>
        <a:noFill/>
        <a:ln>
          <a:noFill/>
        </a:ln>
        <a:effectLst/>
      </c:spPr>
    </c:title>
    <c:autoTitleDeleted val="0"/>
    <c:plotArea>
      <c:layout>
        <c:manualLayout>
          <c:layoutTarget val="inner"/>
          <c:xMode val="edge"/>
          <c:yMode val="edge"/>
          <c:x val="0.327504228074414"/>
          <c:y val="0.300484487887803"/>
          <c:w val="0.34740758637352"/>
          <c:h val="0.611100722481938"/>
        </c:manualLayout>
      </c:layout>
      <c:pieChart>
        <c:varyColors val="1"/>
        <c:ser>
          <c:idx val="0"/>
          <c:order val="0"/>
          <c:tx>
            <c:strRef>
              <c:f>Sheet1!$B$1</c:f>
              <c:strCache>
                <c:ptCount val="1"/>
                <c:pt idx="0">
                  <c:v>2022年财政拨款支出饼状图（按经济分类）</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1"/>
              <c:layout>
                <c:manualLayout>
                  <c:x val="-0.0847567503247658"/>
                  <c:y val="0.02187222382014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23765400597824"/>
                  <c:y val="0.0006595520771111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072965866709"/>
                  <c:y val="-0.001445285091072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0.00%</c:formatCode>
                <c:ptCount val="4"/>
                <c:pt idx="0">
                  <c:v>0.9565</c:v>
                </c:pt>
                <c:pt idx="1">
                  <c:v>0.0171</c:v>
                </c:pt>
                <c:pt idx="2">
                  <c:v>0.009</c:v>
                </c:pt>
                <c:pt idx="3">
                  <c:v>0.0174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33041848844472"/>
          <c:y val="0.37090813093981"/>
          <c:w val="0.293941286695815"/>
          <c:h val="0.62117212249208"/>
        </c:manualLayout>
      </c:layout>
      <c:pieChart>
        <c:varyColors val="1"/>
        <c:ser>
          <c:idx val="0"/>
          <c:order val="0"/>
          <c:tx>
            <c:strRef>
              <c:f>Sheet1!$B$1</c:f>
              <c:strCache>
                <c:ptCount val="1"/>
                <c:pt idx="0">
                  <c:v>“三公”经费财政拨款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qingyao_w</cp:lastModifiedBy>
  <cp:lastPrinted>2023-07-31T02:35:00Z</cp:lastPrinted>
  <dcterms:modified xsi:type="dcterms:W3CDTF">2023-10-09T12:06:16Z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185793C8703C4FC19DF81C7F3D8E7E7B_13</vt:lpwstr>
  </property>
</Properties>
</file>