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E205F">
      <w:pPr>
        <w:spacing w:line="600" w:lineRule="exact"/>
        <w:jc w:val="center"/>
        <w:rPr>
          <w:rFonts w:ascii="方正小标宋简体" w:hAnsi="宋体" w:eastAsia="方正小标宋简体"/>
          <w:sz w:val="72"/>
          <w:szCs w:val="72"/>
        </w:rPr>
      </w:pPr>
      <w:bookmarkStart w:id="0" w:name="_Toc15306267"/>
    </w:p>
    <w:p w14:paraId="14F11049">
      <w:pPr>
        <w:spacing w:line="600" w:lineRule="exact"/>
        <w:jc w:val="center"/>
        <w:rPr>
          <w:rFonts w:ascii="方正小标宋简体" w:hAnsi="宋体" w:eastAsia="方正小标宋简体"/>
          <w:sz w:val="72"/>
          <w:szCs w:val="72"/>
        </w:rPr>
      </w:pPr>
    </w:p>
    <w:p w14:paraId="6B87B741">
      <w:pPr>
        <w:spacing w:line="600" w:lineRule="exact"/>
        <w:jc w:val="center"/>
        <w:rPr>
          <w:rFonts w:ascii="方正小标宋简体" w:hAnsi="宋体" w:eastAsia="方正小标宋简体"/>
          <w:sz w:val="72"/>
          <w:szCs w:val="72"/>
        </w:rPr>
      </w:pPr>
    </w:p>
    <w:p w14:paraId="4C887FFB">
      <w:pPr>
        <w:spacing w:line="600" w:lineRule="exact"/>
        <w:jc w:val="center"/>
        <w:rPr>
          <w:rFonts w:ascii="方正小标宋简体" w:hAnsi="宋体" w:eastAsia="方正小标宋简体"/>
          <w:sz w:val="72"/>
          <w:szCs w:val="72"/>
        </w:rPr>
      </w:pPr>
    </w:p>
    <w:p w14:paraId="292452DB">
      <w:pPr>
        <w:adjustRightInd w:val="0"/>
        <w:snapToGrid w:val="0"/>
        <w:spacing w:line="360" w:lineRule="auto"/>
        <w:jc w:val="center"/>
        <w:outlineLvl w:val="0"/>
        <w:rPr>
          <w:rFonts w:asciiTheme="majorEastAsia" w:hAnsiTheme="majorEastAsia" w:eastAsiaTheme="majorEastAsia" w:cstheme="majorEastAsia"/>
          <w:sz w:val="72"/>
          <w:szCs w:val="72"/>
        </w:rPr>
      </w:pPr>
      <w:bookmarkStart w:id="1" w:name="_Toc15377425"/>
      <w:bookmarkStart w:id="2" w:name="_Toc15396597"/>
      <w:bookmarkStart w:id="3" w:name="_Toc26098"/>
      <w:bookmarkStart w:id="4" w:name="_Toc15377193"/>
      <w:bookmarkStart w:id="5" w:name="_Toc30986"/>
      <w:bookmarkStart w:id="6" w:name="_Toc11959"/>
      <w:bookmarkStart w:id="7" w:name="_Toc15396475"/>
      <w:bookmarkStart w:id="8" w:name="_Toc15378441"/>
      <w:bookmarkStart w:id="9" w:name="_Toc13550"/>
      <w:r>
        <w:rPr>
          <w:rFonts w:hint="eastAsia" w:asciiTheme="majorEastAsia" w:hAnsiTheme="majorEastAsia" w:eastAsiaTheme="majorEastAsia" w:cstheme="majorEastAsia"/>
          <w:sz w:val="72"/>
          <w:szCs w:val="72"/>
        </w:rPr>
        <w:t>202</w:t>
      </w:r>
      <w:r>
        <w:rPr>
          <w:rFonts w:hint="eastAsia" w:asciiTheme="majorEastAsia" w:hAnsiTheme="majorEastAsia" w:eastAsiaTheme="majorEastAsia" w:cstheme="majorEastAsia"/>
          <w:sz w:val="72"/>
          <w:szCs w:val="72"/>
          <w:lang w:val="en-US" w:eastAsia="zh-CN"/>
        </w:rPr>
        <w:t>3</w:t>
      </w:r>
      <w:r>
        <w:rPr>
          <w:rFonts w:hint="eastAsia" w:asciiTheme="majorEastAsia" w:hAnsiTheme="majorEastAsia" w:eastAsiaTheme="majorEastAsia" w:cstheme="majorEastAsia"/>
          <w:sz w:val="72"/>
          <w:szCs w:val="72"/>
        </w:rPr>
        <w:t>年度</w:t>
      </w:r>
      <w:bookmarkEnd w:id="1"/>
      <w:bookmarkEnd w:id="2"/>
      <w:bookmarkEnd w:id="3"/>
      <w:bookmarkEnd w:id="4"/>
      <w:bookmarkEnd w:id="5"/>
      <w:bookmarkEnd w:id="6"/>
      <w:bookmarkEnd w:id="7"/>
      <w:bookmarkEnd w:id="8"/>
      <w:bookmarkEnd w:id="9"/>
    </w:p>
    <w:bookmarkEnd w:id="0"/>
    <w:p w14:paraId="71D91226">
      <w:pPr>
        <w:adjustRightInd w:val="0"/>
        <w:snapToGrid w:val="0"/>
        <w:spacing w:line="360" w:lineRule="auto"/>
        <w:jc w:val="center"/>
        <w:outlineLvl w:val="0"/>
        <w:rPr>
          <w:rFonts w:asciiTheme="majorEastAsia" w:hAnsiTheme="majorEastAsia" w:eastAsiaTheme="majorEastAsia" w:cstheme="majorEastAsia"/>
          <w:sz w:val="72"/>
          <w:szCs w:val="72"/>
        </w:rPr>
      </w:pPr>
      <w:bookmarkStart w:id="10" w:name="_Toc11800"/>
      <w:bookmarkStart w:id="11" w:name="_Toc2381"/>
      <w:bookmarkStart w:id="12" w:name="_Toc30445"/>
      <w:bookmarkStart w:id="13" w:name="_Toc4274"/>
      <w:bookmarkStart w:id="14" w:name="_Toc15377194"/>
      <w:bookmarkStart w:id="15" w:name="_Toc15306268"/>
      <w:bookmarkStart w:id="16" w:name="_Toc15396476"/>
      <w:bookmarkStart w:id="17" w:name="_Toc15377426"/>
      <w:bookmarkStart w:id="18" w:name="_Toc15378442"/>
      <w:bookmarkStart w:id="19" w:name="_Toc15396598"/>
      <w:r>
        <w:rPr>
          <w:rFonts w:hint="eastAsia" w:asciiTheme="majorEastAsia" w:hAnsiTheme="majorEastAsia" w:eastAsiaTheme="majorEastAsia" w:cstheme="majorEastAsia"/>
          <w:sz w:val="72"/>
          <w:szCs w:val="72"/>
        </w:rPr>
        <w:t>大竹县</w:t>
      </w:r>
      <w:bookmarkEnd w:id="10"/>
      <w:bookmarkEnd w:id="11"/>
      <w:bookmarkEnd w:id="12"/>
      <w:bookmarkEnd w:id="13"/>
      <w:bookmarkStart w:id="20" w:name="_Toc10496"/>
      <w:bookmarkStart w:id="21" w:name="_Toc9725"/>
      <w:bookmarkStart w:id="22" w:name="_Toc18845"/>
      <w:bookmarkStart w:id="23" w:name="_Toc252"/>
      <w:r>
        <w:rPr>
          <w:rFonts w:hint="eastAsia" w:asciiTheme="majorEastAsia" w:hAnsiTheme="majorEastAsia" w:eastAsiaTheme="majorEastAsia" w:cstheme="majorEastAsia"/>
          <w:sz w:val="72"/>
          <w:szCs w:val="72"/>
        </w:rPr>
        <w:t>特殊教育学校</w:t>
      </w:r>
    </w:p>
    <w:p w14:paraId="78260242">
      <w:pPr>
        <w:adjustRightInd w:val="0"/>
        <w:snapToGrid w:val="0"/>
        <w:spacing w:line="360" w:lineRule="auto"/>
        <w:jc w:val="center"/>
        <w:outlineLvl w:val="0"/>
        <w:rPr>
          <w:rFonts w:hint="eastAsia" w:asciiTheme="majorEastAsia" w:hAnsiTheme="majorEastAsia" w:eastAsiaTheme="majorEastAsia" w:cstheme="majorEastAsia"/>
          <w:sz w:val="72"/>
          <w:szCs w:val="72"/>
          <w:lang w:val="en-US" w:eastAsia="zh-CN"/>
        </w:rPr>
      </w:pPr>
      <w:r>
        <w:rPr>
          <w:rFonts w:hint="eastAsia" w:asciiTheme="majorEastAsia" w:hAnsiTheme="majorEastAsia" w:eastAsiaTheme="majorEastAsia" w:cstheme="majorEastAsia"/>
          <w:sz w:val="72"/>
          <w:szCs w:val="72"/>
        </w:rPr>
        <w:t>单位决算</w:t>
      </w:r>
      <w:bookmarkEnd w:id="14"/>
      <w:bookmarkEnd w:id="15"/>
      <w:bookmarkEnd w:id="16"/>
      <w:bookmarkEnd w:id="17"/>
      <w:bookmarkEnd w:id="18"/>
      <w:bookmarkEnd w:id="19"/>
      <w:bookmarkEnd w:id="20"/>
      <w:bookmarkEnd w:id="21"/>
      <w:bookmarkEnd w:id="22"/>
      <w:bookmarkEnd w:id="23"/>
    </w:p>
    <w:p w14:paraId="1792EA1E">
      <w:pPr>
        <w:pStyle w:val="5"/>
        <w:spacing w:before="93"/>
      </w:pPr>
    </w:p>
    <w:p w14:paraId="6D19DD25">
      <w:pPr>
        <w:widowControl/>
        <w:jc w:val="center"/>
        <w:rPr>
          <w:rFonts w:ascii="黑体" w:hAnsi="黑体" w:eastAsia="黑体"/>
          <w:sz w:val="48"/>
          <w:szCs w:val="48"/>
        </w:rPr>
        <w:sectPr>
          <w:footerReference r:id="rId5" w:type="first"/>
          <w:headerReference r:id="rId3" w:type="default"/>
          <w:footerReference r:id="rId4" w:type="default"/>
          <w:pgSz w:w="11906" w:h="16838"/>
          <w:pgMar w:top="1440" w:right="1800" w:bottom="1440" w:left="1800" w:header="851" w:footer="992" w:gutter="0"/>
          <w:pgNumType w:start="1"/>
          <w:cols w:space="0" w:num="1"/>
          <w:titlePg/>
          <w:docGrid w:type="lines" w:linePitch="312" w:charSpace="0"/>
        </w:sectPr>
      </w:pPr>
    </w:p>
    <w:p w14:paraId="1C1ED0C1">
      <w:pPr>
        <w:widowControl/>
        <w:jc w:val="center"/>
        <w:rPr>
          <w:rFonts w:ascii="黑体" w:hAnsi="黑体" w:eastAsia="黑体" w:cstheme="minorBidi"/>
          <w:sz w:val="28"/>
          <w:szCs w:val="28"/>
        </w:rPr>
      </w:pPr>
      <w:r>
        <w:rPr>
          <w:rFonts w:hint="eastAsia" w:ascii="黑体" w:hAnsi="黑体" w:eastAsia="黑体"/>
          <w:sz w:val="48"/>
          <w:szCs w:val="48"/>
        </w:rPr>
        <w:t>目录</w:t>
      </w:r>
    </w:p>
    <w:p w14:paraId="7A5BC31D">
      <w:pPr>
        <w:pStyle w:val="10"/>
      </w:pPr>
      <w:r>
        <w:rPr>
          <w:rFonts w:hint="eastAsia"/>
        </w:rPr>
        <w:t>公开时间：202</w:t>
      </w:r>
      <w:r>
        <w:rPr>
          <w:rFonts w:hint="eastAsia"/>
          <w:lang w:val="en-US" w:eastAsia="zh-CN"/>
        </w:rPr>
        <w:t>4</w:t>
      </w:r>
      <w:r>
        <w:rPr>
          <w:rFonts w:hint="eastAsia"/>
        </w:rPr>
        <w:t>年10月</w:t>
      </w:r>
      <w:r>
        <w:rPr>
          <w:rFonts w:hint="eastAsia"/>
          <w:lang w:val="en-US" w:eastAsia="zh-CN"/>
        </w:rPr>
        <w:t>1</w:t>
      </w:r>
      <w:r>
        <w:rPr>
          <w:rFonts w:hint="eastAsia"/>
        </w:rPr>
        <w:t>8日</w:t>
      </w:r>
    </w:p>
    <w:sdt>
      <w:sdtPr>
        <w:rPr>
          <w:rFonts w:ascii="宋体" w:hAnsi="宋体"/>
        </w:rPr>
        <w:id w:val="147470668"/>
        <w:docPartObj>
          <w:docPartGallery w:val="Table of Contents"/>
          <w:docPartUnique/>
        </w:docPartObj>
      </w:sdtPr>
      <w:sdtEndPr>
        <w:rPr>
          <w:rFonts w:ascii="宋体" w:hAnsi="宋体"/>
          <w:b/>
        </w:rPr>
      </w:sdtEndPr>
      <w:sdtContent>
        <w:p w14:paraId="05D4CD77">
          <w:pPr>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p>
        <w:p w14:paraId="420233E7">
          <w:pPr>
            <w:pStyle w:val="10"/>
            <w:tabs>
              <w:tab w:val="right" w:leader="dot" w:pos="8306"/>
              <w:tab w:val="clear" w:pos="8296"/>
            </w:tabs>
            <w:spacing w:line="440" w:lineRule="exact"/>
            <w:rPr>
              <w:rFonts w:ascii="宋体" w:hAnsi="宋体" w:eastAsia="宋体" w:cs="宋体"/>
              <w:sz w:val="24"/>
              <w:szCs w:val="24"/>
            </w:rPr>
          </w:pPr>
          <w:r>
            <w:fldChar w:fldCharType="begin"/>
          </w:r>
          <w:r>
            <w:instrText xml:space="preserve"> HYPERLINK \l "_Toc13859" </w:instrText>
          </w:r>
          <w:r>
            <w:fldChar w:fldCharType="separate"/>
          </w:r>
          <w:r>
            <w:rPr>
              <w:rFonts w:hint="eastAsia" w:ascii="仿宋_GB2312" w:hAnsi="仿宋_GB2312" w:eastAsia="仿宋_GB2312" w:cs="仿宋_GB2312"/>
              <w:sz w:val="24"/>
              <w:szCs w:val="24"/>
            </w:rPr>
            <w:t>第一部分 单位概况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_Toc13859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3AC5515">
          <w:pPr>
            <w:pStyle w:val="11"/>
            <w:tabs>
              <w:tab w:val="right" w:leader="dot" w:pos="8306"/>
              <w:tab w:val="clear" w:pos="8296"/>
            </w:tabs>
            <w:spacing w:line="440" w:lineRule="exact"/>
            <w:rPr>
              <w:rFonts w:ascii="宋体" w:hAnsi="宋体" w:cs="宋体"/>
              <w:sz w:val="24"/>
            </w:rPr>
          </w:pPr>
          <w:r>
            <w:fldChar w:fldCharType="begin"/>
          </w:r>
          <w:r>
            <w:instrText xml:space="preserve"> HYPERLINK \l "_Toc28917" </w:instrText>
          </w:r>
          <w:r>
            <w:fldChar w:fldCharType="separate"/>
          </w:r>
          <w:r>
            <w:rPr>
              <w:rFonts w:hint="eastAsia" w:ascii="宋体" w:hAnsi="宋体" w:cs="宋体"/>
              <w:sz w:val="24"/>
            </w:rPr>
            <w:t xml:space="preserve">一、 </w:t>
          </w:r>
          <w:r>
            <w:rPr>
              <w:rFonts w:hint="eastAsia" w:ascii="宋体" w:hAnsi="宋体" w:cs="宋体"/>
              <w:sz w:val="24"/>
              <w:lang w:val="en-US" w:eastAsia="zh-CN"/>
            </w:rPr>
            <w:t>主要职责</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_Toc28917 \h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rPr>
            <w:fldChar w:fldCharType="end"/>
          </w:r>
          <w:r>
            <w:rPr>
              <w:rFonts w:hint="eastAsia" w:ascii="宋体" w:hAnsi="宋体" w:cs="宋体"/>
              <w:sz w:val="24"/>
            </w:rPr>
            <w:fldChar w:fldCharType="end"/>
          </w:r>
        </w:p>
        <w:p w14:paraId="5B21A3C5">
          <w:pPr>
            <w:pStyle w:val="11"/>
            <w:tabs>
              <w:tab w:val="right" w:leader="dot" w:pos="8306"/>
              <w:tab w:val="clear" w:pos="8296"/>
            </w:tabs>
            <w:spacing w:line="440" w:lineRule="exact"/>
            <w:rPr>
              <w:rFonts w:ascii="宋体" w:hAnsi="宋体" w:cs="宋体"/>
              <w:sz w:val="24"/>
            </w:rPr>
          </w:pPr>
          <w:r>
            <w:fldChar w:fldCharType="begin"/>
          </w:r>
          <w:r>
            <w:instrText xml:space="preserve"> HYPERLINK \l "_Toc25859" </w:instrText>
          </w:r>
          <w:r>
            <w:fldChar w:fldCharType="separate"/>
          </w:r>
          <w:r>
            <w:rPr>
              <w:rFonts w:hint="eastAsia" w:ascii="宋体" w:hAnsi="宋体" w:cs="宋体"/>
              <w:sz w:val="24"/>
            </w:rPr>
            <w:t>二、机构设置</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_Toc25859 \h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rPr>
            <w:fldChar w:fldCharType="end"/>
          </w:r>
          <w:r>
            <w:rPr>
              <w:rFonts w:hint="eastAsia" w:ascii="宋体" w:hAnsi="宋体" w:cs="宋体"/>
              <w:sz w:val="24"/>
            </w:rPr>
            <w:fldChar w:fldCharType="end"/>
          </w:r>
        </w:p>
        <w:p w14:paraId="54C2FC27">
          <w:pPr>
            <w:pStyle w:val="10"/>
            <w:tabs>
              <w:tab w:val="right" w:leader="dot" w:pos="8306"/>
              <w:tab w:val="clear" w:pos="8296"/>
            </w:tabs>
            <w:spacing w:line="440" w:lineRule="exact"/>
            <w:rPr>
              <w:rFonts w:ascii="宋体" w:hAnsi="宋体" w:eastAsia="宋体" w:cs="宋体"/>
              <w:sz w:val="24"/>
              <w:szCs w:val="24"/>
            </w:rPr>
          </w:pPr>
          <w:r>
            <w:fldChar w:fldCharType="begin"/>
          </w:r>
          <w:r>
            <w:instrText xml:space="preserve"> HYPERLINK \l "_Toc31162" </w:instrText>
          </w:r>
          <w:r>
            <w:fldChar w:fldCharType="separate"/>
          </w:r>
          <w:r>
            <w:rPr>
              <w:rFonts w:hint="eastAsia" w:ascii="仿宋_GB2312" w:hAnsi="仿宋_GB2312" w:eastAsia="仿宋_GB2312" w:cs="仿宋_GB2312"/>
              <w:bCs/>
              <w:sz w:val="24"/>
              <w:szCs w:val="24"/>
            </w:rPr>
            <w:t>第二部分 202</w:t>
          </w:r>
          <w:r>
            <w:rPr>
              <w:rFonts w:hint="eastAsia" w:ascii="仿宋_GB2312" w:hAnsi="仿宋_GB2312" w:eastAsia="仿宋_GB2312" w:cs="仿宋_GB2312"/>
              <w:bCs/>
              <w:sz w:val="24"/>
              <w:szCs w:val="24"/>
              <w:lang w:val="en-US" w:eastAsia="zh-CN"/>
            </w:rPr>
            <w:t>3</w:t>
          </w:r>
          <w:r>
            <w:rPr>
              <w:rFonts w:hint="eastAsia" w:ascii="仿宋_GB2312" w:hAnsi="仿宋_GB2312" w:eastAsia="仿宋_GB2312" w:cs="仿宋_GB2312"/>
              <w:bCs/>
              <w:sz w:val="24"/>
              <w:szCs w:val="24"/>
            </w:rPr>
            <w:t>年度单位决算情况说明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_Toc31162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B28A22A">
          <w:pPr>
            <w:pStyle w:val="11"/>
            <w:tabs>
              <w:tab w:val="right" w:leader="dot" w:pos="8306"/>
              <w:tab w:val="clear" w:pos="8296"/>
            </w:tabs>
            <w:spacing w:line="440" w:lineRule="exact"/>
            <w:rPr>
              <w:rFonts w:ascii="宋体" w:hAnsi="宋体" w:cs="宋体"/>
              <w:sz w:val="24"/>
            </w:rPr>
          </w:pPr>
          <w:r>
            <w:fldChar w:fldCharType="begin"/>
          </w:r>
          <w:r>
            <w:instrText xml:space="preserve"> HYPERLINK \l "_Toc3488" </w:instrText>
          </w:r>
          <w:r>
            <w:fldChar w:fldCharType="separate"/>
          </w:r>
          <w:r>
            <w:rPr>
              <w:rFonts w:hint="eastAsia" w:ascii="宋体" w:hAnsi="宋体" w:cs="宋体"/>
              <w:sz w:val="24"/>
            </w:rPr>
            <w:t>一、 收入支出决算总体情况说明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_Toc3488 \h </w:instrText>
          </w:r>
          <w:r>
            <w:rPr>
              <w:rFonts w:hint="eastAsia" w:ascii="宋体" w:hAnsi="宋体" w:cs="宋体"/>
              <w:sz w:val="24"/>
            </w:rPr>
            <w:fldChar w:fldCharType="separate"/>
          </w:r>
          <w:r>
            <w:rPr>
              <w:rFonts w:hint="eastAsia" w:ascii="宋体" w:hAnsi="宋体" w:cs="宋体"/>
              <w:sz w:val="24"/>
            </w:rPr>
            <w:t>5</w:t>
          </w:r>
          <w:r>
            <w:rPr>
              <w:rFonts w:hint="eastAsia" w:ascii="宋体" w:hAnsi="宋体" w:cs="宋体"/>
              <w:sz w:val="24"/>
            </w:rPr>
            <w:fldChar w:fldCharType="end"/>
          </w:r>
          <w:r>
            <w:rPr>
              <w:rFonts w:hint="eastAsia" w:ascii="宋体" w:hAnsi="宋体" w:cs="宋体"/>
              <w:sz w:val="24"/>
            </w:rPr>
            <w:fldChar w:fldCharType="end"/>
          </w:r>
        </w:p>
        <w:p w14:paraId="6830C70F">
          <w:pPr>
            <w:pStyle w:val="11"/>
            <w:tabs>
              <w:tab w:val="right" w:leader="dot" w:pos="8306"/>
              <w:tab w:val="clear" w:pos="8296"/>
            </w:tabs>
            <w:spacing w:line="440" w:lineRule="exact"/>
            <w:rPr>
              <w:rFonts w:ascii="宋体" w:hAnsi="宋体" w:cs="宋体"/>
              <w:sz w:val="24"/>
            </w:rPr>
          </w:pPr>
          <w:r>
            <w:fldChar w:fldCharType="begin"/>
          </w:r>
          <w:r>
            <w:instrText xml:space="preserve"> HYPERLINK \l "_Toc11707" </w:instrText>
          </w:r>
          <w:r>
            <w:fldChar w:fldCharType="separate"/>
          </w:r>
          <w:r>
            <w:rPr>
              <w:rFonts w:hint="eastAsia" w:ascii="宋体" w:hAnsi="宋体" w:cs="宋体"/>
              <w:sz w:val="24"/>
            </w:rPr>
            <w:t>二、 收入决算情况说明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_Toc11707 \h </w:instrText>
          </w:r>
          <w:r>
            <w:rPr>
              <w:rFonts w:hint="eastAsia" w:ascii="宋体" w:hAnsi="宋体" w:cs="宋体"/>
              <w:sz w:val="24"/>
            </w:rPr>
            <w:fldChar w:fldCharType="separate"/>
          </w:r>
          <w:r>
            <w:rPr>
              <w:rFonts w:hint="eastAsia" w:ascii="宋体" w:hAnsi="宋体" w:cs="宋体"/>
              <w:sz w:val="24"/>
            </w:rPr>
            <w:t>5</w:t>
          </w:r>
          <w:r>
            <w:rPr>
              <w:rFonts w:hint="eastAsia" w:ascii="宋体" w:hAnsi="宋体" w:cs="宋体"/>
              <w:sz w:val="24"/>
            </w:rPr>
            <w:fldChar w:fldCharType="end"/>
          </w:r>
          <w:r>
            <w:rPr>
              <w:rFonts w:hint="eastAsia" w:ascii="宋体" w:hAnsi="宋体" w:cs="宋体"/>
              <w:sz w:val="24"/>
            </w:rPr>
            <w:fldChar w:fldCharType="end"/>
          </w:r>
        </w:p>
        <w:p w14:paraId="0897C336">
          <w:pPr>
            <w:pStyle w:val="11"/>
            <w:tabs>
              <w:tab w:val="right" w:leader="dot" w:pos="8306"/>
              <w:tab w:val="clear" w:pos="8296"/>
            </w:tabs>
            <w:spacing w:line="440" w:lineRule="exact"/>
            <w:rPr>
              <w:rFonts w:ascii="宋体" w:hAnsi="宋体" w:cs="宋体"/>
              <w:sz w:val="24"/>
            </w:rPr>
          </w:pPr>
          <w:r>
            <w:fldChar w:fldCharType="begin"/>
          </w:r>
          <w:r>
            <w:instrText xml:space="preserve"> HYPERLINK \l "_Toc15834" </w:instrText>
          </w:r>
          <w:r>
            <w:fldChar w:fldCharType="separate"/>
          </w:r>
          <w:r>
            <w:rPr>
              <w:rFonts w:hint="eastAsia" w:ascii="宋体" w:hAnsi="宋体" w:cs="宋体"/>
              <w:sz w:val="24"/>
            </w:rPr>
            <w:t>三、 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_Toc15834 \h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r>
            <w:rPr>
              <w:rFonts w:hint="eastAsia" w:ascii="宋体" w:hAnsi="宋体" w:cs="宋体"/>
              <w:sz w:val="24"/>
            </w:rPr>
            <w:fldChar w:fldCharType="end"/>
          </w:r>
        </w:p>
        <w:p w14:paraId="343EEAFF">
          <w:pPr>
            <w:pStyle w:val="11"/>
            <w:tabs>
              <w:tab w:val="right" w:leader="dot" w:pos="8306"/>
              <w:tab w:val="clear" w:pos="8296"/>
            </w:tabs>
            <w:spacing w:line="440" w:lineRule="exact"/>
            <w:rPr>
              <w:rFonts w:ascii="宋体" w:hAnsi="宋体" w:cs="宋体"/>
              <w:sz w:val="24"/>
            </w:rPr>
          </w:pPr>
          <w:r>
            <w:fldChar w:fldCharType="begin"/>
          </w:r>
          <w:r>
            <w:instrText xml:space="preserve"> HYPERLINK \l "_Toc3674" </w:instrText>
          </w:r>
          <w:r>
            <w:fldChar w:fldCharType="separate"/>
          </w:r>
          <w:r>
            <w:rPr>
              <w:rFonts w:hint="eastAsia" w:ascii="宋体" w:hAnsi="宋体" w:cs="宋体"/>
              <w:sz w:val="24"/>
            </w:rPr>
            <w:t>四、财政拨款收入支出决算总体情况说明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_Toc3674 \h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r>
            <w:rPr>
              <w:rFonts w:hint="eastAsia" w:ascii="宋体" w:hAnsi="宋体" w:cs="宋体"/>
              <w:sz w:val="24"/>
            </w:rPr>
            <w:fldChar w:fldCharType="end"/>
          </w:r>
        </w:p>
        <w:p w14:paraId="1A1EB486">
          <w:pPr>
            <w:pStyle w:val="11"/>
            <w:tabs>
              <w:tab w:val="right" w:leader="dot" w:pos="8306"/>
              <w:tab w:val="clear" w:pos="8296"/>
            </w:tabs>
            <w:spacing w:line="440" w:lineRule="exact"/>
            <w:rPr>
              <w:rFonts w:ascii="宋体" w:hAnsi="宋体" w:cs="宋体"/>
              <w:sz w:val="24"/>
            </w:rPr>
          </w:pPr>
          <w:r>
            <w:fldChar w:fldCharType="begin"/>
          </w:r>
          <w:r>
            <w:instrText xml:space="preserve"> HYPERLINK \l "_Toc32249" </w:instrText>
          </w:r>
          <w:r>
            <w:fldChar w:fldCharType="separate"/>
          </w:r>
          <w:r>
            <w:rPr>
              <w:rFonts w:hint="eastAsia" w:ascii="宋体" w:hAnsi="宋体" w:cs="宋体"/>
              <w:sz w:val="24"/>
            </w:rPr>
            <w:t>五、一般公共预算财政拨款支出决算情况说明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_Toc32249 \h </w:instrText>
          </w:r>
          <w:r>
            <w:rPr>
              <w:rFonts w:hint="eastAsia" w:ascii="宋体" w:hAnsi="宋体" w:cs="宋体"/>
              <w:sz w:val="24"/>
            </w:rPr>
            <w:fldChar w:fldCharType="separate"/>
          </w:r>
          <w:r>
            <w:rPr>
              <w:rFonts w:hint="eastAsia" w:ascii="宋体" w:hAnsi="宋体" w:cs="宋体"/>
              <w:sz w:val="24"/>
            </w:rPr>
            <w:t>7</w:t>
          </w:r>
          <w:r>
            <w:rPr>
              <w:rFonts w:hint="eastAsia" w:ascii="宋体" w:hAnsi="宋体" w:cs="宋体"/>
              <w:sz w:val="24"/>
            </w:rPr>
            <w:fldChar w:fldCharType="end"/>
          </w:r>
          <w:r>
            <w:rPr>
              <w:rFonts w:hint="eastAsia" w:ascii="宋体" w:hAnsi="宋体" w:cs="宋体"/>
              <w:sz w:val="24"/>
            </w:rPr>
            <w:fldChar w:fldCharType="end"/>
          </w:r>
        </w:p>
        <w:p w14:paraId="72033632">
          <w:pPr>
            <w:pStyle w:val="11"/>
            <w:tabs>
              <w:tab w:val="right" w:leader="dot" w:pos="8306"/>
              <w:tab w:val="clear" w:pos="8296"/>
            </w:tabs>
            <w:spacing w:line="440" w:lineRule="exact"/>
            <w:rPr>
              <w:rFonts w:ascii="宋体" w:hAnsi="宋体" w:cs="宋体"/>
              <w:sz w:val="24"/>
            </w:rPr>
          </w:pPr>
          <w:r>
            <w:fldChar w:fldCharType="begin"/>
          </w:r>
          <w:r>
            <w:instrText xml:space="preserve"> HYPERLINK \l "_Toc21484" </w:instrText>
          </w:r>
          <w:r>
            <w:fldChar w:fldCharType="separate"/>
          </w:r>
          <w:r>
            <w:rPr>
              <w:rFonts w:hint="eastAsia" w:ascii="宋体" w:hAnsi="宋体" w:cs="宋体"/>
              <w:sz w:val="24"/>
            </w:rPr>
            <w:t>六、一般公共预算财政拨款基本支出决算情况说明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_Toc21484 \h </w:instrText>
          </w:r>
          <w:r>
            <w:rPr>
              <w:rFonts w:hint="eastAsia" w:ascii="宋体" w:hAnsi="宋体" w:cs="宋体"/>
              <w:sz w:val="24"/>
            </w:rPr>
            <w:fldChar w:fldCharType="separate"/>
          </w:r>
          <w:r>
            <w:rPr>
              <w:rFonts w:hint="eastAsia" w:ascii="宋体" w:hAnsi="宋体" w:cs="宋体"/>
              <w:sz w:val="24"/>
            </w:rPr>
            <w:t>9</w:t>
          </w:r>
          <w:r>
            <w:rPr>
              <w:rFonts w:hint="eastAsia" w:ascii="宋体" w:hAnsi="宋体" w:cs="宋体"/>
              <w:sz w:val="24"/>
            </w:rPr>
            <w:fldChar w:fldCharType="end"/>
          </w:r>
          <w:r>
            <w:rPr>
              <w:rFonts w:hint="eastAsia" w:ascii="宋体" w:hAnsi="宋体" w:cs="宋体"/>
              <w:sz w:val="24"/>
            </w:rPr>
            <w:fldChar w:fldCharType="end"/>
          </w:r>
        </w:p>
        <w:p w14:paraId="03A6BE3F">
          <w:pPr>
            <w:pStyle w:val="11"/>
            <w:tabs>
              <w:tab w:val="right" w:leader="dot" w:pos="8306"/>
              <w:tab w:val="clear" w:pos="8296"/>
            </w:tabs>
            <w:spacing w:line="440" w:lineRule="exact"/>
            <w:rPr>
              <w:rFonts w:ascii="宋体" w:hAnsi="宋体" w:cs="宋体"/>
              <w:sz w:val="24"/>
            </w:rPr>
          </w:pPr>
          <w:r>
            <w:fldChar w:fldCharType="begin"/>
          </w:r>
          <w:r>
            <w:instrText xml:space="preserve"> HYPERLINK \l "_Toc9808" </w:instrText>
          </w:r>
          <w:r>
            <w:fldChar w:fldCharType="separate"/>
          </w:r>
          <w:r>
            <w:rPr>
              <w:rFonts w:hint="eastAsia" w:ascii="宋体" w:hAnsi="宋体" w:cs="宋体"/>
              <w:sz w:val="24"/>
            </w:rPr>
            <w:t>七、</w:t>
          </w:r>
          <w:r>
            <w:rPr>
              <w:rFonts w:hint="eastAsia" w:ascii="仿宋" w:hAnsi="仿宋" w:eastAsia="仿宋" w:cs="仿宋"/>
              <w:sz w:val="28"/>
              <w:szCs w:val="28"/>
            </w:rPr>
            <w:t>财政拨款“三公”经费支出</w:t>
          </w:r>
          <w:r>
            <w:rPr>
              <w:rFonts w:hint="eastAsia" w:ascii="宋体" w:hAnsi="宋体" w:cs="宋体"/>
              <w:sz w:val="24"/>
            </w:rPr>
            <w:t>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_Toc9808 \h </w:instrText>
          </w:r>
          <w:r>
            <w:rPr>
              <w:rFonts w:hint="eastAsia" w:ascii="宋体" w:hAnsi="宋体" w:cs="宋体"/>
              <w:sz w:val="24"/>
            </w:rPr>
            <w:fldChar w:fldCharType="separate"/>
          </w:r>
          <w:r>
            <w:rPr>
              <w:rFonts w:hint="eastAsia" w:ascii="宋体" w:hAnsi="宋体" w:cs="宋体"/>
              <w:sz w:val="24"/>
            </w:rPr>
            <w:t>10</w:t>
          </w:r>
          <w:r>
            <w:rPr>
              <w:rFonts w:hint="eastAsia" w:ascii="宋体" w:hAnsi="宋体" w:cs="宋体"/>
              <w:sz w:val="24"/>
            </w:rPr>
            <w:fldChar w:fldCharType="end"/>
          </w:r>
          <w:r>
            <w:rPr>
              <w:rFonts w:hint="eastAsia" w:ascii="宋体" w:hAnsi="宋体" w:cs="宋体"/>
              <w:sz w:val="24"/>
            </w:rPr>
            <w:fldChar w:fldCharType="end"/>
          </w:r>
        </w:p>
        <w:p w14:paraId="672358F7">
          <w:pPr>
            <w:pStyle w:val="11"/>
            <w:tabs>
              <w:tab w:val="right" w:leader="dot" w:pos="8306"/>
              <w:tab w:val="clear" w:pos="8296"/>
            </w:tabs>
            <w:spacing w:line="440" w:lineRule="exact"/>
            <w:rPr>
              <w:rFonts w:ascii="宋体" w:hAnsi="宋体" w:cs="宋体"/>
              <w:sz w:val="24"/>
            </w:rPr>
          </w:pPr>
          <w:r>
            <w:fldChar w:fldCharType="begin"/>
          </w:r>
          <w:r>
            <w:instrText xml:space="preserve"> HYPERLINK \l "_Toc10844" </w:instrText>
          </w:r>
          <w:r>
            <w:fldChar w:fldCharType="separate"/>
          </w:r>
          <w:r>
            <w:rPr>
              <w:rFonts w:hint="eastAsia" w:ascii="宋体" w:hAnsi="宋体" w:cs="宋体"/>
              <w:sz w:val="24"/>
            </w:rPr>
            <w:t>八、政府性基金预算支出决算情况说明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_Toc10844 \h </w:instrText>
          </w:r>
          <w:r>
            <w:rPr>
              <w:rFonts w:hint="eastAsia" w:ascii="宋体" w:hAnsi="宋体" w:cs="宋体"/>
              <w:sz w:val="24"/>
            </w:rPr>
            <w:fldChar w:fldCharType="separate"/>
          </w:r>
          <w:r>
            <w:rPr>
              <w:rFonts w:hint="eastAsia" w:ascii="宋体" w:hAnsi="宋体" w:cs="宋体"/>
              <w:sz w:val="24"/>
            </w:rPr>
            <w:t>11</w:t>
          </w:r>
          <w:r>
            <w:rPr>
              <w:rFonts w:hint="eastAsia" w:ascii="宋体" w:hAnsi="宋体" w:cs="宋体"/>
              <w:sz w:val="24"/>
            </w:rPr>
            <w:fldChar w:fldCharType="end"/>
          </w:r>
          <w:r>
            <w:rPr>
              <w:rFonts w:hint="eastAsia" w:ascii="宋体" w:hAnsi="宋体" w:cs="宋体"/>
              <w:sz w:val="24"/>
            </w:rPr>
            <w:fldChar w:fldCharType="end"/>
          </w:r>
        </w:p>
        <w:p w14:paraId="58EB2DAE">
          <w:pPr>
            <w:pStyle w:val="11"/>
            <w:tabs>
              <w:tab w:val="right" w:leader="dot" w:pos="8306"/>
              <w:tab w:val="clear" w:pos="8296"/>
            </w:tabs>
            <w:spacing w:line="440" w:lineRule="exact"/>
            <w:rPr>
              <w:rFonts w:ascii="宋体" w:hAnsi="宋体" w:cs="宋体"/>
              <w:sz w:val="24"/>
            </w:rPr>
          </w:pPr>
          <w:r>
            <w:fldChar w:fldCharType="begin"/>
          </w:r>
          <w:r>
            <w:instrText xml:space="preserve"> HYPERLINK \l "_Toc1214" </w:instrText>
          </w:r>
          <w:r>
            <w:fldChar w:fldCharType="separate"/>
          </w:r>
          <w:r>
            <w:rPr>
              <w:rFonts w:hint="eastAsia" w:ascii="宋体" w:hAnsi="宋体" w:cs="宋体"/>
              <w:sz w:val="24"/>
            </w:rPr>
            <w:t>九、 国有资本经营预算支出决算情况说明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_Toc1214 \h </w:instrText>
          </w:r>
          <w:r>
            <w:rPr>
              <w:rFonts w:hint="eastAsia" w:ascii="宋体" w:hAnsi="宋体" w:cs="宋体"/>
              <w:sz w:val="24"/>
            </w:rPr>
            <w:fldChar w:fldCharType="separate"/>
          </w:r>
          <w:r>
            <w:rPr>
              <w:rFonts w:hint="eastAsia" w:ascii="宋体" w:hAnsi="宋体" w:cs="宋体"/>
              <w:sz w:val="24"/>
            </w:rPr>
            <w:t>11</w:t>
          </w:r>
          <w:r>
            <w:rPr>
              <w:rFonts w:hint="eastAsia" w:ascii="宋体" w:hAnsi="宋体" w:cs="宋体"/>
              <w:sz w:val="24"/>
            </w:rPr>
            <w:fldChar w:fldCharType="end"/>
          </w:r>
          <w:r>
            <w:rPr>
              <w:rFonts w:hint="eastAsia" w:ascii="宋体" w:hAnsi="宋体" w:cs="宋体"/>
              <w:sz w:val="24"/>
            </w:rPr>
            <w:fldChar w:fldCharType="end"/>
          </w:r>
        </w:p>
        <w:p w14:paraId="3D7AFF76">
          <w:pPr>
            <w:pStyle w:val="11"/>
            <w:tabs>
              <w:tab w:val="right" w:leader="dot" w:pos="8306"/>
              <w:tab w:val="clear" w:pos="8296"/>
            </w:tabs>
            <w:spacing w:line="440" w:lineRule="exact"/>
            <w:rPr>
              <w:rFonts w:ascii="宋体" w:hAnsi="宋体" w:cs="宋体"/>
              <w:sz w:val="24"/>
            </w:rPr>
          </w:pPr>
          <w:r>
            <w:fldChar w:fldCharType="begin"/>
          </w:r>
          <w:r>
            <w:instrText xml:space="preserve"> HYPERLINK \l "_Toc31091" </w:instrText>
          </w:r>
          <w:r>
            <w:fldChar w:fldCharType="separate"/>
          </w:r>
          <w:r>
            <w:rPr>
              <w:rFonts w:hint="eastAsia" w:ascii="宋体" w:hAnsi="宋体" w:cs="宋体"/>
              <w:sz w:val="24"/>
            </w:rPr>
            <w:t>十、 其他重要事项的情况说明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_Toc31091 \h </w:instrText>
          </w:r>
          <w:r>
            <w:rPr>
              <w:rFonts w:hint="eastAsia" w:ascii="宋体" w:hAnsi="宋体" w:cs="宋体"/>
              <w:sz w:val="24"/>
            </w:rPr>
            <w:fldChar w:fldCharType="separate"/>
          </w:r>
          <w:r>
            <w:rPr>
              <w:rFonts w:hint="eastAsia" w:ascii="宋体" w:hAnsi="宋体" w:cs="宋体"/>
              <w:sz w:val="24"/>
            </w:rPr>
            <w:t>11</w:t>
          </w:r>
          <w:r>
            <w:rPr>
              <w:rFonts w:hint="eastAsia" w:ascii="宋体" w:hAnsi="宋体" w:cs="宋体"/>
              <w:sz w:val="24"/>
            </w:rPr>
            <w:fldChar w:fldCharType="end"/>
          </w:r>
          <w:r>
            <w:rPr>
              <w:rFonts w:hint="eastAsia" w:ascii="宋体" w:hAnsi="宋体" w:cs="宋体"/>
              <w:sz w:val="24"/>
            </w:rPr>
            <w:fldChar w:fldCharType="end"/>
          </w:r>
        </w:p>
        <w:p w14:paraId="6F53D289">
          <w:pPr>
            <w:pStyle w:val="10"/>
            <w:tabs>
              <w:tab w:val="right" w:leader="dot" w:pos="8306"/>
              <w:tab w:val="clear" w:pos="8296"/>
            </w:tabs>
            <w:spacing w:line="440" w:lineRule="exact"/>
            <w:rPr>
              <w:rFonts w:ascii="宋体" w:hAnsi="宋体" w:eastAsia="宋体" w:cs="宋体"/>
              <w:sz w:val="24"/>
              <w:szCs w:val="24"/>
            </w:rPr>
          </w:pPr>
          <w:r>
            <w:fldChar w:fldCharType="begin"/>
          </w:r>
          <w:r>
            <w:instrText xml:space="preserve"> HYPERLINK \l "_Toc10613" </w:instrText>
          </w:r>
          <w:r>
            <w:fldChar w:fldCharType="separate"/>
          </w:r>
          <w:r>
            <w:rPr>
              <w:rFonts w:hint="eastAsia" w:ascii="仿宋_GB2312" w:hAnsi="仿宋_GB2312" w:eastAsia="仿宋_GB2312" w:cs="仿宋_GB2312"/>
              <w:sz w:val="24"/>
              <w:szCs w:val="24"/>
            </w:rPr>
            <w:t>第三部分 名词解释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_Toc10613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3168264">
          <w:pPr>
            <w:pStyle w:val="10"/>
            <w:tabs>
              <w:tab w:val="right" w:leader="dot" w:pos="8306"/>
              <w:tab w:val="clear" w:pos="8296"/>
            </w:tabs>
            <w:spacing w:line="440" w:lineRule="exact"/>
            <w:rPr>
              <w:rFonts w:ascii="宋体" w:hAnsi="宋体" w:eastAsia="宋体" w:cs="宋体"/>
              <w:sz w:val="24"/>
              <w:szCs w:val="24"/>
            </w:rPr>
          </w:pPr>
          <w:r>
            <w:fldChar w:fldCharType="begin"/>
          </w:r>
          <w:r>
            <w:instrText xml:space="preserve"> HYPERLINK \l "_Toc25087" </w:instrText>
          </w:r>
          <w:r>
            <w:fldChar w:fldCharType="separate"/>
          </w:r>
          <w:r>
            <w:rPr>
              <w:rFonts w:hint="eastAsia" w:ascii="仿宋_GB2312" w:hAnsi="仿宋_GB2312" w:eastAsia="仿宋_GB2312" w:cs="仿宋_GB2312"/>
              <w:sz w:val="24"/>
              <w:szCs w:val="24"/>
            </w:rPr>
            <w:t>第四部分 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_Toc25087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12BEF9E">
          <w:pPr>
            <w:pStyle w:val="10"/>
            <w:tabs>
              <w:tab w:val="right" w:leader="dot" w:pos="8306"/>
              <w:tab w:val="clear" w:pos="8296"/>
            </w:tabs>
            <w:spacing w:line="440" w:lineRule="exact"/>
            <w:rPr>
              <w:rFonts w:ascii="宋体" w:hAnsi="宋体" w:eastAsia="宋体" w:cs="宋体"/>
              <w:sz w:val="24"/>
              <w:szCs w:val="24"/>
            </w:rPr>
          </w:pPr>
          <w:r>
            <w:fldChar w:fldCharType="begin"/>
          </w:r>
          <w:r>
            <w:instrText xml:space="preserve"> HYPERLINK \l "_Toc31790" </w:instrText>
          </w:r>
          <w:r>
            <w:fldChar w:fldCharType="separate"/>
          </w:r>
          <w:r>
            <w:rPr>
              <w:rFonts w:hint="eastAsia" w:ascii="仿宋_GB2312" w:hAnsi="仿宋_GB2312" w:eastAsia="仿宋_GB2312" w:cs="仿宋_GB2312"/>
              <w:sz w:val="24"/>
              <w:szCs w:val="24"/>
            </w:rPr>
            <w:t>第五部分 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_Toc31790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5DC4A8B">
          <w:pPr>
            <w:pStyle w:val="11"/>
            <w:tabs>
              <w:tab w:val="right" w:leader="dot" w:pos="8306"/>
              <w:tab w:val="clear" w:pos="8296"/>
            </w:tabs>
            <w:spacing w:line="440" w:lineRule="exact"/>
            <w:rPr>
              <w:rFonts w:ascii="宋体" w:hAnsi="宋体" w:cs="宋体"/>
              <w:sz w:val="24"/>
            </w:rPr>
          </w:pPr>
          <w:r>
            <w:fldChar w:fldCharType="begin"/>
          </w:r>
          <w:r>
            <w:instrText xml:space="preserve"> HYPERLINK \l "_Toc21540" </w:instrText>
          </w:r>
          <w:r>
            <w:fldChar w:fldCharType="separate"/>
          </w:r>
          <w:r>
            <w:rPr>
              <w:rFonts w:hint="eastAsia" w:ascii="宋体" w:hAnsi="宋体" w:cs="宋体"/>
              <w:sz w:val="24"/>
            </w:rPr>
            <w:t>一、收入支出决算总表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_Toc21540 \h </w:instrText>
          </w:r>
          <w:r>
            <w:rPr>
              <w:rFonts w:hint="eastAsia" w:ascii="宋体" w:hAnsi="宋体" w:cs="宋体"/>
              <w:sz w:val="24"/>
            </w:rPr>
            <w:fldChar w:fldCharType="separate"/>
          </w:r>
          <w:r>
            <w:rPr>
              <w:rFonts w:hint="eastAsia" w:ascii="宋体" w:hAnsi="宋体" w:cs="宋体"/>
              <w:sz w:val="24"/>
            </w:rPr>
            <w:t>24</w:t>
          </w:r>
          <w:r>
            <w:rPr>
              <w:rFonts w:hint="eastAsia" w:ascii="宋体" w:hAnsi="宋体" w:cs="宋体"/>
              <w:sz w:val="24"/>
            </w:rPr>
            <w:fldChar w:fldCharType="end"/>
          </w:r>
          <w:r>
            <w:rPr>
              <w:rFonts w:hint="eastAsia" w:ascii="宋体" w:hAnsi="宋体" w:cs="宋体"/>
              <w:sz w:val="24"/>
            </w:rPr>
            <w:fldChar w:fldCharType="end"/>
          </w:r>
        </w:p>
        <w:p w14:paraId="6556DED5">
          <w:pPr>
            <w:pStyle w:val="11"/>
            <w:tabs>
              <w:tab w:val="right" w:leader="dot" w:pos="8306"/>
              <w:tab w:val="clear" w:pos="8296"/>
            </w:tabs>
            <w:spacing w:line="440" w:lineRule="exact"/>
            <w:rPr>
              <w:rFonts w:ascii="宋体" w:hAnsi="宋体" w:cs="宋体"/>
              <w:sz w:val="24"/>
            </w:rPr>
          </w:pPr>
          <w:r>
            <w:fldChar w:fldCharType="begin"/>
          </w:r>
          <w:r>
            <w:instrText xml:space="preserve"> HYPERLINK \l "_Toc14740" </w:instrText>
          </w:r>
          <w:r>
            <w:fldChar w:fldCharType="separate"/>
          </w:r>
          <w:r>
            <w:rPr>
              <w:rFonts w:hint="eastAsia" w:ascii="宋体" w:hAnsi="宋体" w:cs="宋体"/>
              <w:sz w:val="24"/>
            </w:rPr>
            <w:t>二、收入决算表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_Toc14740 \h </w:instrText>
          </w:r>
          <w:r>
            <w:rPr>
              <w:rFonts w:hint="eastAsia" w:ascii="宋体" w:hAnsi="宋体" w:cs="宋体"/>
              <w:sz w:val="24"/>
            </w:rPr>
            <w:fldChar w:fldCharType="separate"/>
          </w:r>
          <w:r>
            <w:rPr>
              <w:rFonts w:hint="eastAsia" w:ascii="宋体" w:hAnsi="宋体" w:cs="宋体"/>
              <w:sz w:val="24"/>
            </w:rPr>
            <w:t>24</w:t>
          </w:r>
          <w:r>
            <w:rPr>
              <w:rFonts w:hint="eastAsia" w:ascii="宋体" w:hAnsi="宋体" w:cs="宋体"/>
              <w:sz w:val="24"/>
            </w:rPr>
            <w:fldChar w:fldCharType="end"/>
          </w:r>
          <w:r>
            <w:rPr>
              <w:rFonts w:hint="eastAsia" w:ascii="宋体" w:hAnsi="宋体" w:cs="宋体"/>
              <w:sz w:val="24"/>
            </w:rPr>
            <w:fldChar w:fldCharType="end"/>
          </w:r>
        </w:p>
        <w:p w14:paraId="03651F65">
          <w:pPr>
            <w:pStyle w:val="11"/>
            <w:tabs>
              <w:tab w:val="right" w:leader="dot" w:pos="8306"/>
              <w:tab w:val="clear" w:pos="8296"/>
            </w:tabs>
            <w:spacing w:line="440" w:lineRule="exact"/>
            <w:rPr>
              <w:rFonts w:ascii="宋体" w:hAnsi="宋体" w:cs="宋体"/>
              <w:sz w:val="24"/>
            </w:rPr>
          </w:pPr>
          <w:r>
            <w:fldChar w:fldCharType="begin"/>
          </w:r>
          <w:r>
            <w:instrText xml:space="preserve"> HYPERLINK \l "_Toc26490" </w:instrText>
          </w:r>
          <w:r>
            <w:fldChar w:fldCharType="separate"/>
          </w:r>
          <w:r>
            <w:rPr>
              <w:rFonts w:hint="eastAsia" w:ascii="宋体" w:hAnsi="宋体" w:cs="宋体"/>
              <w:sz w:val="24"/>
            </w:rPr>
            <w:t>三、支出决算表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_Toc26490 \h </w:instrText>
          </w:r>
          <w:r>
            <w:rPr>
              <w:rFonts w:hint="eastAsia" w:ascii="宋体" w:hAnsi="宋体" w:cs="宋体"/>
              <w:sz w:val="24"/>
            </w:rPr>
            <w:fldChar w:fldCharType="separate"/>
          </w:r>
          <w:r>
            <w:rPr>
              <w:rFonts w:hint="eastAsia" w:ascii="宋体" w:hAnsi="宋体" w:cs="宋体"/>
              <w:sz w:val="24"/>
            </w:rPr>
            <w:t>24</w:t>
          </w:r>
          <w:r>
            <w:rPr>
              <w:rFonts w:hint="eastAsia" w:ascii="宋体" w:hAnsi="宋体" w:cs="宋体"/>
              <w:sz w:val="24"/>
            </w:rPr>
            <w:fldChar w:fldCharType="end"/>
          </w:r>
          <w:r>
            <w:rPr>
              <w:rFonts w:hint="eastAsia" w:ascii="宋体" w:hAnsi="宋体" w:cs="宋体"/>
              <w:sz w:val="24"/>
            </w:rPr>
            <w:fldChar w:fldCharType="end"/>
          </w:r>
        </w:p>
        <w:p w14:paraId="10F634B8">
          <w:pPr>
            <w:pStyle w:val="11"/>
            <w:tabs>
              <w:tab w:val="right" w:leader="dot" w:pos="8306"/>
              <w:tab w:val="clear" w:pos="8296"/>
            </w:tabs>
            <w:spacing w:line="440" w:lineRule="exact"/>
            <w:rPr>
              <w:rFonts w:ascii="宋体" w:hAnsi="宋体" w:cs="宋体"/>
              <w:sz w:val="24"/>
            </w:rPr>
          </w:pPr>
          <w:r>
            <w:fldChar w:fldCharType="begin"/>
          </w:r>
          <w:r>
            <w:instrText xml:space="preserve"> HYPERLINK \l "_Toc4249" </w:instrText>
          </w:r>
          <w:r>
            <w:fldChar w:fldCharType="separate"/>
          </w:r>
          <w:r>
            <w:rPr>
              <w:rFonts w:hint="eastAsia" w:ascii="宋体" w:hAnsi="宋体" w:cs="宋体"/>
              <w:sz w:val="24"/>
            </w:rPr>
            <w:t>四、财政拨款收入支出决算总表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_Toc4249 \h </w:instrText>
          </w:r>
          <w:r>
            <w:rPr>
              <w:rFonts w:hint="eastAsia" w:ascii="宋体" w:hAnsi="宋体" w:cs="宋体"/>
              <w:sz w:val="24"/>
            </w:rPr>
            <w:fldChar w:fldCharType="separate"/>
          </w:r>
          <w:r>
            <w:rPr>
              <w:rFonts w:hint="eastAsia" w:ascii="宋体" w:hAnsi="宋体" w:cs="宋体"/>
              <w:sz w:val="24"/>
            </w:rPr>
            <w:t>24</w:t>
          </w:r>
          <w:r>
            <w:rPr>
              <w:rFonts w:hint="eastAsia" w:ascii="宋体" w:hAnsi="宋体" w:cs="宋体"/>
              <w:sz w:val="24"/>
            </w:rPr>
            <w:fldChar w:fldCharType="end"/>
          </w:r>
          <w:r>
            <w:rPr>
              <w:rFonts w:hint="eastAsia" w:ascii="宋体" w:hAnsi="宋体" w:cs="宋体"/>
              <w:sz w:val="24"/>
            </w:rPr>
            <w:fldChar w:fldCharType="end"/>
          </w:r>
        </w:p>
        <w:p w14:paraId="15D962E2">
          <w:pPr>
            <w:pStyle w:val="11"/>
            <w:tabs>
              <w:tab w:val="right" w:leader="dot" w:pos="8306"/>
              <w:tab w:val="clear" w:pos="8296"/>
            </w:tabs>
            <w:spacing w:line="440" w:lineRule="exact"/>
            <w:rPr>
              <w:rFonts w:ascii="宋体" w:hAnsi="宋体" w:cs="宋体"/>
              <w:sz w:val="24"/>
            </w:rPr>
          </w:pPr>
          <w:r>
            <w:fldChar w:fldCharType="begin"/>
          </w:r>
          <w:r>
            <w:instrText xml:space="preserve"> HYPERLINK \l "_Toc21621" </w:instrText>
          </w:r>
          <w:r>
            <w:fldChar w:fldCharType="separate"/>
          </w:r>
          <w:r>
            <w:rPr>
              <w:rFonts w:hint="eastAsia" w:ascii="宋体" w:hAnsi="宋体" w:cs="宋体"/>
              <w:sz w:val="24"/>
            </w:rPr>
            <w:t>五、财政拨款支出决算明细表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_Toc21621 \h </w:instrText>
          </w:r>
          <w:r>
            <w:rPr>
              <w:rFonts w:hint="eastAsia" w:ascii="宋体" w:hAnsi="宋体" w:cs="宋体"/>
              <w:sz w:val="24"/>
            </w:rPr>
            <w:fldChar w:fldCharType="separate"/>
          </w:r>
          <w:r>
            <w:rPr>
              <w:rFonts w:hint="eastAsia" w:ascii="宋体" w:hAnsi="宋体" w:cs="宋体"/>
              <w:sz w:val="24"/>
            </w:rPr>
            <w:t>24</w:t>
          </w:r>
          <w:r>
            <w:rPr>
              <w:rFonts w:hint="eastAsia" w:ascii="宋体" w:hAnsi="宋体" w:cs="宋体"/>
              <w:sz w:val="24"/>
            </w:rPr>
            <w:fldChar w:fldCharType="end"/>
          </w:r>
          <w:r>
            <w:rPr>
              <w:rFonts w:hint="eastAsia" w:ascii="宋体" w:hAnsi="宋体" w:cs="宋体"/>
              <w:sz w:val="24"/>
            </w:rPr>
            <w:fldChar w:fldCharType="end"/>
          </w:r>
        </w:p>
        <w:p w14:paraId="7B90D4C1">
          <w:pPr>
            <w:pStyle w:val="11"/>
            <w:tabs>
              <w:tab w:val="right" w:leader="dot" w:pos="8306"/>
              <w:tab w:val="clear" w:pos="8296"/>
            </w:tabs>
            <w:spacing w:line="440" w:lineRule="exact"/>
            <w:rPr>
              <w:rFonts w:ascii="宋体" w:hAnsi="宋体" w:cs="宋体"/>
              <w:sz w:val="24"/>
            </w:rPr>
          </w:pPr>
          <w:r>
            <w:fldChar w:fldCharType="begin"/>
          </w:r>
          <w:r>
            <w:instrText xml:space="preserve"> HYPERLINK \l "_Toc1061" </w:instrText>
          </w:r>
          <w:r>
            <w:fldChar w:fldCharType="separate"/>
          </w:r>
          <w:r>
            <w:rPr>
              <w:rFonts w:hint="eastAsia" w:ascii="宋体" w:hAnsi="宋体" w:cs="宋体"/>
              <w:sz w:val="24"/>
            </w:rPr>
            <w:t>六、一般公共预算财政拨款支出决算表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_Toc1061 \h </w:instrText>
          </w:r>
          <w:r>
            <w:rPr>
              <w:rFonts w:hint="eastAsia" w:ascii="宋体" w:hAnsi="宋体" w:cs="宋体"/>
              <w:sz w:val="24"/>
            </w:rPr>
            <w:fldChar w:fldCharType="separate"/>
          </w:r>
          <w:r>
            <w:rPr>
              <w:rFonts w:hint="eastAsia" w:ascii="宋体" w:hAnsi="宋体" w:cs="宋体"/>
              <w:sz w:val="24"/>
            </w:rPr>
            <w:t>24</w:t>
          </w:r>
          <w:r>
            <w:rPr>
              <w:rFonts w:hint="eastAsia" w:ascii="宋体" w:hAnsi="宋体" w:cs="宋体"/>
              <w:sz w:val="24"/>
            </w:rPr>
            <w:fldChar w:fldCharType="end"/>
          </w:r>
          <w:r>
            <w:rPr>
              <w:rFonts w:hint="eastAsia" w:ascii="宋体" w:hAnsi="宋体" w:cs="宋体"/>
              <w:sz w:val="24"/>
            </w:rPr>
            <w:fldChar w:fldCharType="end"/>
          </w:r>
        </w:p>
        <w:p w14:paraId="6ADA7A27">
          <w:pPr>
            <w:pStyle w:val="11"/>
            <w:tabs>
              <w:tab w:val="right" w:leader="dot" w:pos="8306"/>
              <w:tab w:val="clear" w:pos="8296"/>
            </w:tabs>
            <w:spacing w:line="440" w:lineRule="exact"/>
            <w:rPr>
              <w:rFonts w:ascii="宋体" w:hAnsi="宋体" w:cs="宋体"/>
              <w:sz w:val="24"/>
            </w:rPr>
          </w:pPr>
          <w:r>
            <w:fldChar w:fldCharType="begin"/>
          </w:r>
          <w:r>
            <w:instrText xml:space="preserve"> HYPERLINK \l "_Toc6268" </w:instrText>
          </w:r>
          <w:r>
            <w:fldChar w:fldCharType="separate"/>
          </w:r>
          <w:r>
            <w:rPr>
              <w:rFonts w:hint="eastAsia" w:ascii="宋体" w:hAnsi="宋体" w:cs="宋体"/>
              <w:sz w:val="24"/>
            </w:rPr>
            <w:t>七、一般公共预算财政拨款支出决算明细表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_Toc6268 \h </w:instrText>
          </w:r>
          <w:r>
            <w:rPr>
              <w:rFonts w:hint="eastAsia" w:ascii="宋体" w:hAnsi="宋体" w:cs="宋体"/>
              <w:sz w:val="24"/>
            </w:rPr>
            <w:fldChar w:fldCharType="separate"/>
          </w:r>
          <w:r>
            <w:rPr>
              <w:rFonts w:hint="eastAsia" w:ascii="宋体" w:hAnsi="宋体" w:cs="宋体"/>
              <w:sz w:val="24"/>
            </w:rPr>
            <w:t>24</w:t>
          </w:r>
          <w:r>
            <w:rPr>
              <w:rFonts w:hint="eastAsia" w:ascii="宋体" w:hAnsi="宋体" w:cs="宋体"/>
              <w:sz w:val="24"/>
            </w:rPr>
            <w:fldChar w:fldCharType="end"/>
          </w:r>
          <w:r>
            <w:rPr>
              <w:rFonts w:hint="eastAsia" w:ascii="宋体" w:hAnsi="宋体" w:cs="宋体"/>
              <w:sz w:val="24"/>
            </w:rPr>
            <w:fldChar w:fldCharType="end"/>
          </w:r>
        </w:p>
        <w:p w14:paraId="334C6EBE">
          <w:pPr>
            <w:pStyle w:val="11"/>
            <w:tabs>
              <w:tab w:val="right" w:leader="dot" w:pos="8306"/>
              <w:tab w:val="clear" w:pos="8296"/>
            </w:tabs>
            <w:spacing w:line="440" w:lineRule="exact"/>
            <w:rPr>
              <w:rFonts w:ascii="宋体" w:hAnsi="宋体" w:cs="宋体"/>
              <w:sz w:val="24"/>
            </w:rPr>
          </w:pPr>
          <w:r>
            <w:fldChar w:fldCharType="begin"/>
          </w:r>
          <w:r>
            <w:instrText xml:space="preserve"> HYPERLINK \l "_Toc29111" </w:instrText>
          </w:r>
          <w:r>
            <w:fldChar w:fldCharType="separate"/>
          </w:r>
          <w:r>
            <w:rPr>
              <w:rFonts w:hint="eastAsia" w:ascii="宋体" w:hAnsi="宋体" w:cs="宋体"/>
              <w:sz w:val="24"/>
            </w:rPr>
            <w:t>八、一般公共预算财政拨款基本支出决算表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_Toc29111 \h </w:instrText>
          </w:r>
          <w:r>
            <w:rPr>
              <w:rFonts w:hint="eastAsia" w:ascii="宋体" w:hAnsi="宋体" w:cs="宋体"/>
              <w:sz w:val="24"/>
            </w:rPr>
            <w:fldChar w:fldCharType="separate"/>
          </w:r>
          <w:r>
            <w:rPr>
              <w:rFonts w:hint="eastAsia" w:ascii="宋体" w:hAnsi="宋体" w:cs="宋体"/>
              <w:sz w:val="24"/>
            </w:rPr>
            <w:t>24</w:t>
          </w:r>
          <w:r>
            <w:rPr>
              <w:rFonts w:hint="eastAsia" w:ascii="宋体" w:hAnsi="宋体" w:cs="宋体"/>
              <w:sz w:val="24"/>
            </w:rPr>
            <w:fldChar w:fldCharType="end"/>
          </w:r>
          <w:r>
            <w:rPr>
              <w:rFonts w:hint="eastAsia" w:ascii="宋体" w:hAnsi="宋体" w:cs="宋体"/>
              <w:sz w:val="24"/>
            </w:rPr>
            <w:fldChar w:fldCharType="end"/>
          </w:r>
        </w:p>
        <w:p w14:paraId="3AEE44DF">
          <w:pPr>
            <w:pStyle w:val="11"/>
            <w:tabs>
              <w:tab w:val="right" w:leader="dot" w:pos="8306"/>
              <w:tab w:val="clear" w:pos="8296"/>
            </w:tabs>
            <w:spacing w:line="440" w:lineRule="exact"/>
            <w:rPr>
              <w:rFonts w:ascii="宋体" w:hAnsi="宋体" w:cs="宋体"/>
              <w:sz w:val="24"/>
            </w:rPr>
          </w:pPr>
          <w:r>
            <w:fldChar w:fldCharType="begin"/>
          </w:r>
          <w:r>
            <w:instrText xml:space="preserve"> HYPERLINK \l "_Toc25077" </w:instrText>
          </w:r>
          <w:r>
            <w:fldChar w:fldCharType="separate"/>
          </w:r>
          <w:r>
            <w:rPr>
              <w:rFonts w:hint="eastAsia" w:ascii="宋体" w:hAnsi="宋体" w:cs="宋体"/>
              <w:sz w:val="24"/>
            </w:rPr>
            <w:t>九、一般公共预算财政拨款项目支出决算表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_Toc25077 \h </w:instrText>
          </w:r>
          <w:r>
            <w:rPr>
              <w:rFonts w:hint="eastAsia" w:ascii="宋体" w:hAnsi="宋体" w:cs="宋体"/>
              <w:sz w:val="24"/>
            </w:rPr>
            <w:fldChar w:fldCharType="separate"/>
          </w:r>
          <w:r>
            <w:rPr>
              <w:rFonts w:hint="eastAsia" w:ascii="宋体" w:hAnsi="宋体" w:cs="宋体"/>
              <w:sz w:val="24"/>
            </w:rPr>
            <w:t>24</w:t>
          </w:r>
          <w:r>
            <w:rPr>
              <w:rFonts w:hint="eastAsia" w:ascii="宋体" w:hAnsi="宋体" w:cs="宋体"/>
              <w:sz w:val="24"/>
            </w:rPr>
            <w:fldChar w:fldCharType="end"/>
          </w:r>
          <w:r>
            <w:rPr>
              <w:rFonts w:hint="eastAsia" w:ascii="宋体" w:hAnsi="宋体" w:cs="宋体"/>
              <w:sz w:val="24"/>
            </w:rPr>
            <w:fldChar w:fldCharType="end"/>
          </w:r>
        </w:p>
        <w:p w14:paraId="6759EB06">
          <w:pPr>
            <w:pStyle w:val="11"/>
            <w:tabs>
              <w:tab w:val="right" w:leader="dot" w:pos="8306"/>
              <w:tab w:val="clear" w:pos="8296"/>
            </w:tabs>
            <w:spacing w:line="440" w:lineRule="exact"/>
            <w:rPr>
              <w:rFonts w:ascii="宋体" w:hAnsi="宋体" w:cs="宋体"/>
              <w:sz w:val="24"/>
            </w:rPr>
          </w:pPr>
          <w:r>
            <w:fldChar w:fldCharType="begin"/>
          </w:r>
          <w:r>
            <w:instrText xml:space="preserve"> HYPERLINK \l "_Toc8538" </w:instrText>
          </w:r>
          <w:r>
            <w:fldChar w:fldCharType="separate"/>
          </w:r>
          <w:r>
            <w:rPr>
              <w:rFonts w:hint="eastAsia" w:ascii="宋体" w:hAnsi="宋体" w:cs="宋体"/>
              <w:sz w:val="24"/>
            </w:rPr>
            <w:t>十、政府性基金预算财政拨款收入支出决算表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_Toc8538 \h </w:instrText>
          </w:r>
          <w:r>
            <w:rPr>
              <w:rFonts w:hint="eastAsia" w:ascii="宋体" w:hAnsi="宋体" w:cs="宋体"/>
              <w:sz w:val="24"/>
            </w:rPr>
            <w:fldChar w:fldCharType="separate"/>
          </w:r>
          <w:r>
            <w:rPr>
              <w:rFonts w:hint="eastAsia" w:ascii="宋体" w:hAnsi="宋体" w:cs="宋体"/>
              <w:sz w:val="24"/>
            </w:rPr>
            <w:t>24</w:t>
          </w:r>
          <w:r>
            <w:rPr>
              <w:rFonts w:hint="eastAsia" w:ascii="宋体" w:hAnsi="宋体" w:cs="宋体"/>
              <w:sz w:val="24"/>
            </w:rPr>
            <w:fldChar w:fldCharType="end"/>
          </w:r>
          <w:r>
            <w:rPr>
              <w:rFonts w:hint="eastAsia" w:ascii="宋体" w:hAnsi="宋体" w:cs="宋体"/>
              <w:sz w:val="24"/>
            </w:rPr>
            <w:fldChar w:fldCharType="end"/>
          </w:r>
        </w:p>
        <w:p w14:paraId="75F58BE9">
          <w:pPr>
            <w:pStyle w:val="11"/>
            <w:tabs>
              <w:tab w:val="right" w:leader="dot" w:pos="8306"/>
              <w:tab w:val="clear" w:pos="8296"/>
            </w:tabs>
            <w:spacing w:line="440" w:lineRule="exact"/>
            <w:rPr>
              <w:rFonts w:ascii="宋体" w:hAnsi="宋体" w:cs="宋体"/>
              <w:sz w:val="24"/>
            </w:rPr>
          </w:pPr>
          <w:r>
            <w:fldChar w:fldCharType="begin"/>
          </w:r>
          <w:r>
            <w:instrText xml:space="preserve"> HYPERLINK \l "_Toc26365" </w:instrText>
          </w:r>
          <w:r>
            <w:fldChar w:fldCharType="separate"/>
          </w:r>
          <w:r>
            <w:rPr>
              <w:rFonts w:hint="eastAsia" w:ascii="宋体" w:hAnsi="宋体" w:cs="宋体"/>
              <w:sz w:val="24"/>
            </w:rPr>
            <w:t>十一、国有资本经营预算财政拨款收入支出决算表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_Toc26365 \h </w:instrText>
          </w:r>
          <w:r>
            <w:rPr>
              <w:rFonts w:hint="eastAsia" w:ascii="宋体" w:hAnsi="宋体" w:cs="宋体"/>
              <w:sz w:val="24"/>
            </w:rPr>
            <w:fldChar w:fldCharType="separate"/>
          </w:r>
          <w:r>
            <w:rPr>
              <w:rFonts w:hint="eastAsia" w:ascii="宋体" w:hAnsi="宋体" w:cs="宋体"/>
              <w:sz w:val="24"/>
            </w:rPr>
            <w:t>24</w:t>
          </w:r>
          <w:r>
            <w:rPr>
              <w:rFonts w:hint="eastAsia" w:ascii="宋体" w:hAnsi="宋体" w:cs="宋体"/>
              <w:sz w:val="24"/>
            </w:rPr>
            <w:fldChar w:fldCharType="end"/>
          </w:r>
          <w:r>
            <w:rPr>
              <w:rFonts w:hint="eastAsia" w:ascii="宋体" w:hAnsi="宋体" w:cs="宋体"/>
              <w:sz w:val="24"/>
            </w:rPr>
            <w:fldChar w:fldCharType="end"/>
          </w:r>
        </w:p>
        <w:p w14:paraId="56A05293">
          <w:pPr>
            <w:pStyle w:val="11"/>
            <w:tabs>
              <w:tab w:val="right" w:leader="dot" w:pos="8306"/>
              <w:tab w:val="clear" w:pos="8296"/>
            </w:tabs>
            <w:spacing w:line="440" w:lineRule="exact"/>
            <w:rPr>
              <w:rFonts w:ascii="宋体" w:hAnsi="宋体" w:cs="宋体"/>
              <w:sz w:val="24"/>
            </w:rPr>
          </w:pPr>
          <w:r>
            <w:fldChar w:fldCharType="begin"/>
          </w:r>
          <w:r>
            <w:instrText xml:space="preserve"> HYPERLINK \l "_Toc11791" </w:instrText>
          </w:r>
          <w:r>
            <w:fldChar w:fldCharType="separate"/>
          </w:r>
          <w:r>
            <w:rPr>
              <w:rFonts w:hint="eastAsia" w:ascii="宋体" w:hAnsi="宋体" w:cs="宋体"/>
              <w:sz w:val="24"/>
            </w:rPr>
            <w:t>十二、国有资本经营预算财政拨款支出决算表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_Toc11791 \h </w:instrText>
          </w:r>
          <w:r>
            <w:rPr>
              <w:rFonts w:hint="eastAsia" w:ascii="宋体" w:hAnsi="宋体" w:cs="宋体"/>
              <w:sz w:val="24"/>
            </w:rPr>
            <w:fldChar w:fldCharType="separate"/>
          </w:r>
          <w:r>
            <w:rPr>
              <w:rFonts w:hint="eastAsia" w:ascii="宋体" w:hAnsi="宋体" w:cs="宋体"/>
              <w:sz w:val="24"/>
            </w:rPr>
            <w:t>24</w:t>
          </w:r>
          <w:r>
            <w:rPr>
              <w:rFonts w:hint="eastAsia" w:ascii="宋体" w:hAnsi="宋体" w:cs="宋体"/>
              <w:sz w:val="24"/>
            </w:rPr>
            <w:fldChar w:fldCharType="end"/>
          </w:r>
          <w:r>
            <w:rPr>
              <w:rFonts w:hint="eastAsia" w:ascii="宋体" w:hAnsi="宋体" w:cs="宋体"/>
              <w:sz w:val="24"/>
            </w:rPr>
            <w:fldChar w:fldCharType="end"/>
          </w:r>
        </w:p>
        <w:p w14:paraId="10F41A84">
          <w:pPr>
            <w:pStyle w:val="11"/>
            <w:tabs>
              <w:tab w:val="right" w:leader="dot" w:pos="8306"/>
              <w:tab w:val="clear" w:pos="8296"/>
            </w:tabs>
            <w:spacing w:line="440" w:lineRule="exact"/>
          </w:pPr>
          <w:r>
            <w:fldChar w:fldCharType="begin"/>
          </w:r>
          <w:r>
            <w:instrText xml:space="preserve"> HYPERLINK \l "_Toc26267" </w:instrText>
          </w:r>
          <w:r>
            <w:fldChar w:fldCharType="separate"/>
          </w:r>
          <w:r>
            <w:rPr>
              <w:rFonts w:hint="eastAsia" w:ascii="宋体" w:hAnsi="宋体" w:cs="宋体"/>
              <w:sz w:val="24"/>
            </w:rPr>
            <w:t>十三、财政拨款“三公”经费支出决算表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_Toc26267 \h </w:instrText>
          </w:r>
          <w:r>
            <w:rPr>
              <w:rFonts w:hint="eastAsia" w:ascii="宋体" w:hAnsi="宋体" w:cs="宋体"/>
              <w:sz w:val="24"/>
            </w:rPr>
            <w:fldChar w:fldCharType="separate"/>
          </w:r>
          <w:r>
            <w:rPr>
              <w:rFonts w:hint="eastAsia" w:ascii="宋体" w:hAnsi="宋体" w:cs="宋体"/>
              <w:sz w:val="24"/>
            </w:rPr>
            <w:t>24</w:t>
          </w:r>
          <w:r>
            <w:rPr>
              <w:rFonts w:hint="eastAsia" w:ascii="宋体" w:hAnsi="宋体" w:cs="宋体"/>
              <w:sz w:val="24"/>
            </w:rPr>
            <w:fldChar w:fldCharType="end"/>
          </w:r>
          <w:r>
            <w:rPr>
              <w:rFonts w:hint="eastAsia" w:ascii="宋体" w:hAnsi="宋体" w:cs="宋体"/>
              <w:sz w:val="24"/>
            </w:rPr>
            <w:fldChar w:fldCharType="end"/>
          </w:r>
        </w:p>
        <w:p w14:paraId="3FF89DD7">
          <w:r>
            <w:rPr>
              <w:rFonts w:hint="eastAsia" w:ascii="仿宋_GB2312" w:hAnsi="仿宋_GB2312" w:eastAsia="仿宋_GB2312" w:cs="仿宋_GB2312"/>
              <w:szCs w:val="28"/>
            </w:rPr>
            <w:fldChar w:fldCharType="end"/>
          </w:r>
        </w:p>
      </w:sdtContent>
    </w:sdt>
    <w:p w14:paraId="68C0256C">
      <w:pPr>
        <w:widowControl/>
        <w:spacing w:line="440" w:lineRule="exact"/>
        <w:jc w:val="left"/>
        <w:rPr>
          <w:rFonts w:ascii="仿宋" w:hAnsi="仿宋" w:eastAsia="仿宋"/>
          <w:bCs/>
          <w:kern w:val="44"/>
          <w:sz w:val="24"/>
        </w:rPr>
      </w:pPr>
      <w:r>
        <w:rPr>
          <w:rFonts w:ascii="仿宋" w:hAnsi="仿宋" w:eastAsia="仿宋"/>
          <w:b/>
          <w:sz w:val="24"/>
        </w:rPr>
        <w:br w:type="page"/>
      </w:r>
    </w:p>
    <w:p w14:paraId="0A4BBCB4">
      <w:pPr>
        <w:pStyle w:val="2"/>
        <w:jc w:val="center"/>
        <w:rPr>
          <w:rStyle w:val="25"/>
          <w:rFonts w:ascii="黑体" w:hAnsi="黑体" w:eastAsia="黑体"/>
          <w:b/>
          <w:bCs w:val="0"/>
        </w:rPr>
      </w:pPr>
      <w:bookmarkStart w:id="24" w:name="_Toc13859"/>
      <w:r>
        <w:rPr>
          <w:rFonts w:hint="eastAsia" w:ascii="黑体" w:hAnsi="黑体" w:eastAsia="黑体"/>
          <w:b w:val="0"/>
        </w:rPr>
        <w:t>第一部分 单位</w:t>
      </w:r>
      <w:r>
        <w:rPr>
          <w:rStyle w:val="25"/>
          <w:rFonts w:hint="eastAsia" w:ascii="黑体" w:hAnsi="黑体" w:eastAsia="黑体"/>
          <w:b w:val="0"/>
          <w:bCs w:val="0"/>
        </w:rPr>
        <w:t>概况</w:t>
      </w:r>
      <w:bookmarkEnd w:id="24"/>
    </w:p>
    <w:p w14:paraId="0C90FB2B">
      <w:pPr>
        <w:widowControl/>
        <w:jc w:val="left"/>
        <w:rPr>
          <w:rFonts w:ascii="黑体" w:eastAsia="黑体"/>
          <w:sz w:val="32"/>
          <w:szCs w:val="32"/>
        </w:rPr>
      </w:pPr>
    </w:p>
    <w:p w14:paraId="60353B37">
      <w:pPr>
        <w:pStyle w:val="3"/>
        <w:numPr>
          <w:ilvl w:val="0"/>
          <w:numId w:val="1"/>
        </w:numPr>
        <w:rPr>
          <w:rStyle w:val="26"/>
          <w:rFonts w:ascii="黑体" w:hAnsi="黑体" w:eastAsia="黑体"/>
          <w:b w:val="0"/>
          <w:bCs w:val="0"/>
        </w:rPr>
      </w:pPr>
      <w:bookmarkStart w:id="25" w:name="_Toc28917"/>
      <w:bookmarkStart w:id="26" w:name="_Toc15396600"/>
      <w:bookmarkStart w:id="27" w:name="_Toc15377197"/>
      <w:r>
        <w:rPr>
          <w:rStyle w:val="26"/>
          <w:rFonts w:hint="eastAsia" w:ascii="黑体" w:hAnsi="黑体" w:eastAsia="黑体"/>
          <w:b w:val="0"/>
          <w:bCs w:val="0"/>
          <w:lang w:val="en-US" w:eastAsia="zh-CN"/>
        </w:rPr>
        <w:t>主要</w:t>
      </w:r>
      <w:r>
        <w:rPr>
          <w:rStyle w:val="26"/>
          <w:rFonts w:hint="eastAsia" w:ascii="黑体" w:hAnsi="黑体" w:eastAsia="黑体"/>
          <w:b w:val="0"/>
          <w:bCs w:val="0"/>
        </w:rPr>
        <w:t>职</w:t>
      </w:r>
      <w:bookmarkEnd w:id="25"/>
      <w:r>
        <w:rPr>
          <w:rStyle w:val="26"/>
          <w:rFonts w:hint="eastAsia" w:ascii="黑体" w:hAnsi="黑体" w:eastAsia="黑体"/>
          <w:b w:val="0"/>
          <w:bCs w:val="0"/>
          <w:lang w:val="en-US" w:eastAsia="zh-CN"/>
        </w:rPr>
        <w:t>责</w:t>
      </w:r>
    </w:p>
    <w:p w14:paraId="05B9CAAC">
      <w:pPr>
        <w:pStyle w:val="3"/>
        <w:ind w:firstLine="640" w:firstLineChars="200"/>
        <w:rPr>
          <w:rFonts w:ascii="仿宋" w:hAnsi="仿宋" w:eastAsia="仿宋" w:cs="Times New Roman"/>
          <w:b w:val="0"/>
          <w:kern w:val="0"/>
        </w:rPr>
      </w:pPr>
      <w:bookmarkStart w:id="28" w:name="_Toc25859"/>
      <w:r>
        <w:rPr>
          <w:rFonts w:hint="eastAsia" w:ascii="仿宋" w:hAnsi="仿宋" w:eastAsia="仿宋" w:cs="Times New Roman"/>
          <w:b w:val="0"/>
          <w:kern w:val="0"/>
        </w:rPr>
        <w:t>大竹县特殊教育学校是大竹县教育局举办的</w:t>
      </w:r>
      <w:r>
        <w:rPr>
          <w:rFonts w:hint="eastAsia" w:ascii="仿宋" w:hAnsi="仿宋" w:eastAsia="仿宋" w:cs="Times New Roman"/>
          <w:b w:val="0"/>
          <w:kern w:val="0"/>
          <w:lang w:val="en-US" w:eastAsia="zh-CN"/>
        </w:rPr>
        <w:t>一所特殊教育学校，</w:t>
      </w:r>
      <w:r>
        <w:rPr>
          <w:rFonts w:hint="eastAsia" w:ascii="仿宋" w:hAnsi="仿宋" w:eastAsia="仿宋" w:cs="Times New Roman"/>
          <w:b w:val="0"/>
          <w:kern w:val="0"/>
        </w:rPr>
        <w:t>贯彻执行党的路线、方针和政策，对大竹县辖区内视力、听力、智力残疾儿童少年实施义务教育，培养学生“德、智、体、美、劳”全面发展，积极进行教育思想、教学内容、教学方法和教育手段的改革，最大限度地满足社会需求和特殊儿童的教育需要。</w:t>
      </w:r>
    </w:p>
    <w:p w14:paraId="3393B5DE">
      <w:pPr>
        <w:pStyle w:val="3"/>
        <w:rPr>
          <w:rFonts w:ascii="黑体" w:hAnsi="黑体" w:eastAsia="黑体"/>
          <w:b w:val="0"/>
        </w:rPr>
      </w:pPr>
      <w:r>
        <w:rPr>
          <w:rFonts w:hint="eastAsia" w:ascii="黑体" w:hAnsi="黑体" w:eastAsia="黑体"/>
          <w:b w:val="0"/>
        </w:rPr>
        <w:t>二、</w:t>
      </w:r>
      <w:bookmarkEnd w:id="26"/>
      <w:bookmarkEnd w:id="27"/>
      <w:r>
        <w:rPr>
          <w:rFonts w:hint="eastAsia" w:ascii="黑体" w:hAnsi="黑体" w:eastAsia="黑体"/>
          <w:b w:val="0"/>
        </w:rPr>
        <w:t>机构设置</w:t>
      </w:r>
      <w:bookmarkEnd w:id="28"/>
    </w:p>
    <w:p w14:paraId="5B611612">
      <w:pPr>
        <w:ind w:firstLine="640" w:firstLineChars="200"/>
        <w:rPr>
          <w:rFonts w:ascii="仿宋" w:hAnsi="仿宋" w:eastAsia="仿宋"/>
          <w:color w:val="000000"/>
          <w:sz w:val="32"/>
          <w:szCs w:val="32"/>
        </w:rPr>
      </w:pPr>
      <w:r>
        <w:rPr>
          <w:rFonts w:hint="eastAsia" w:ascii="仿宋" w:hAnsi="仿宋" w:eastAsia="仿宋"/>
          <w:bCs/>
          <w:kern w:val="0"/>
          <w:sz w:val="32"/>
          <w:szCs w:val="32"/>
        </w:rPr>
        <w:t>大竹县特殊教育学校</w:t>
      </w:r>
      <w:r>
        <w:rPr>
          <w:rFonts w:hint="eastAsia" w:ascii="仿宋" w:hAnsi="仿宋" w:eastAsia="仿宋" w:cs="仿宋"/>
          <w:b w:val="0"/>
          <w:bCs w:val="0"/>
          <w:kern w:val="2"/>
          <w:sz w:val="32"/>
          <w:szCs w:val="32"/>
          <w:lang w:val="en-US" w:eastAsia="zh-CN" w:bidi="ar"/>
        </w:rPr>
        <w:t>为一级预算单位，</w:t>
      </w:r>
      <w:r>
        <w:rPr>
          <w:rFonts w:hint="eastAsia" w:ascii="仿宋" w:hAnsi="仿宋" w:eastAsia="仿宋"/>
          <w:color w:val="000000"/>
          <w:sz w:val="32"/>
          <w:szCs w:val="32"/>
        </w:rPr>
        <w:t>下属二级单位0个，其中行政单位0个，参照公务员法管理的事业单位0个，其他事业单位0个。</w:t>
      </w:r>
    </w:p>
    <w:p w14:paraId="7FAEBEB4">
      <w:pPr>
        <w:ind w:firstLine="640" w:firstLineChars="20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bCs/>
          <w:kern w:val="0"/>
          <w:sz w:val="32"/>
          <w:szCs w:val="32"/>
        </w:rPr>
        <w:t>大竹县特殊教育学校</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年度部门决算编制范围的二级预算单位包括：</w:t>
      </w:r>
    </w:p>
    <w:p w14:paraId="0CE83D32">
      <w:pPr>
        <w:ind w:firstLine="640" w:firstLineChars="200"/>
        <w:rPr>
          <w:rFonts w:ascii="仿宋" w:hAnsi="仿宋" w:eastAsia="仿宋"/>
          <w:color w:val="000000"/>
          <w:sz w:val="32"/>
          <w:szCs w:val="32"/>
        </w:rPr>
      </w:pPr>
      <w:r>
        <w:rPr>
          <w:rFonts w:hint="eastAsia" w:ascii="仿宋" w:hAnsi="仿宋" w:eastAsia="仿宋"/>
          <w:color w:val="000000"/>
          <w:sz w:val="32"/>
          <w:szCs w:val="32"/>
        </w:rPr>
        <w:t>无。</w:t>
      </w:r>
    </w:p>
    <w:p w14:paraId="0A6595A6">
      <w:pPr>
        <w:ind w:firstLine="420" w:firstLineChars="200"/>
      </w:pPr>
    </w:p>
    <w:p w14:paraId="015FF10D">
      <w:pPr>
        <w:widowControl/>
        <w:jc w:val="left"/>
        <w:rPr>
          <w:rFonts w:ascii="仿宋" w:hAnsi="仿宋" w:eastAsia="仿宋"/>
          <w:kern w:val="0"/>
          <w:sz w:val="32"/>
          <w:szCs w:val="32"/>
        </w:rPr>
      </w:pPr>
      <w:r>
        <w:rPr>
          <w:rFonts w:ascii="仿宋" w:hAnsi="仿宋" w:eastAsia="仿宋"/>
          <w:sz w:val="32"/>
          <w:szCs w:val="32"/>
        </w:rPr>
        <w:br w:type="page"/>
      </w:r>
    </w:p>
    <w:p w14:paraId="463859B8">
      <w:pPr>
        <w:pStyle w:val="2"/>
        <w:ind w:right="440"/>
        <w:jc w:val="center"/>
      </w:pPr>
      <w:bookmarkStart w:id="29" w:name="_Toc15377204"/>
      <w:bookmarkStart w:id="30" w:name="_Toc31162"/>
      <w:bookmarkStart w:id="31" w:name="_Toc15396602"/>
      <w:r>
        <w:rPr>
          <w:rFonts w:hint="eastAsia" w:ascii="黑体" w:hAnsi="黑体" w:eastAsia="黑体"/>
          <w:b w:val="0"/>
        </w:rPr>
        <w:t>第二部分 202</w:t>
      </w:r>
      <w:r>
        <w:rPr>
          <w:rFonts w:hint="eastAsia" w:ascii="黑体" w:hAnsi="黑体" w:eastAsia="黑体"/>
          <w:b w:val="0"/>
          <w:lang w:val="en-US" w:eastAsia="zh-CN"/>
        </w:rPr>
        <w:t>3</w:t>
      </w:r>
      <w:r>
        <w:rPr>
          <w:rFonts w:hint="eastAsia" w:ascii="黑体" w:hAnsi="黑体" w:eastAsia="黑体"/>
          <w:b w:val="0"/>
        </w:rPr>
        <w:t>年度</w:t>
      </w:r>
      <w:r>
        <w:rPr>
          <w:rStyle w:val="25"/>
          <w:rFonts w:hint="eastAsia" w:ascii="黑体" w:hAnsi="黑体" w:eastAsia="黑体"/>
          <w:b w:val="0"/>
          <w:bCs/>
        </w:rPr>
        <w:t>单位决算情况说明</w:t>
      </w:r>
      <w:bookmarkEnd w:id="29"/>
      <w:bookmarkEnd w:id="30"/>
      <w:bookmarkEnd w:id="31"/>
    </w:p>
    <w:p w14:paraId="666818DA">
      <w:pPr>
        <w:pStyle w:val="24"/>
        <w:numPr>
          <w:ilvl w:val="0"/>
          <w:numId w:val="2"/>
        </w:numPr>
        <w:spacing w:line="600" w:lineRule="exact"/>
        <w:ind w:firstLineChars="0"/>
        <w:outlineLvl w:val="1"/>
        <w:rPr>
          <w:rStyle w:val="26"/>
          <w:rFonts w:ascii="黑体" w:hAnsi="黑体" w:eastAsia="黑体"/>
          <w:b w:val="0"/>
        </w:rPr>
      </w:pPr>
      <w:bookmarkStart w:id="32" w:name="_Toc3488"/>
      <w:bookmarkStart w:id="33" w:name="_Toc15377205"/>
      <w:bookmarkStart w:id="34" w:name="_Toc15396603"/>
      <w:r>
        <w:rPr>
          <w:rFonts w:hint="eastAsia" w:ascii="黑体" w:hAnsi="黑体" w:eastAsia="黑体"/>
          <w:sz w:val="32"/>
          <w:szCs w:val="32"/>
        </w:rPr>
        <w:t>收</w:t>
      </w:r>
      <w:r>
        <w:rPr>
          <w:rStyle w:val="26"/>
          <w:rFonts w:hint="eastAsia" w:ascii="黑体" w:hAnsi="黑体" w:eastAsia="黑体"/>
          <w:b w:val="0"/>
        </w:rPr>
        <w:t>入支出决算总体情况说明</w:t>
      </w:r>
      <w:bookmarkEnd w:id="32"/>
      <w:bookmarkEnd w:id="33"/>
      <w:bookmarkEnd w:id="34"/>
    </w:p>
    <w:p w14:paraId="6C1ED17D">
      <w:pPr>
        <w:spacing w:line="60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年度收、支总计</w:t>
      </w:r>
      <w:r>
        <w:rPr>
          <w:rFonts w:hint="eastAsia" w:ascii="仿宋" w:hAnsi="仿宋" w:eastAsia="仿宋" w:cs="Times New Roman"/>
          <w:sz w:val="32"/>
          <w:szCs w:val="32"/>
        </w:rPr>
        <w:t>1182.79万元</w:t>
      </w:r>
      <w:r>
        <w:rPr>
          <w:rFonts w:hint="eastAsia" w:ascii="仿宋" w:hAnsi="仿宋" w:eastAsia="仿宋"/>
          <w:sz w:val="32"/>
          <w:szCs w:val="32"/>
        </w:rPr>
        <w:t>。与202</w:t>
      </w:r>
      <w:r>
        <w:rPr>
          <w:rFonts w:hint="eastAsia" w:ascii="仿宋" w:hAnsi="仿宋" w:eastAsia="仿宋"/>
          <w:sz w:val="32"/>
          <w:szCs w:val="32"/>
          <w:lang w:val="en-US" w:eastAsia="zh-CN"/>
        </w:rPr>
        <w:t>2</w:t>
      </w:r>
      <w:r>
        <w:rPr>
          <w:rFonts w:hint="eastAsia" w:ascii="仿宋" w:hAnsi="仿宋" w:eastAsia="仿宋"/>
          <w:sz w:val="32"/>
          <w:szCs w:val="32"/>
        </w:rPr>
        <w:t>年相比，收、支总计各</w:t>
      </w:r>
      <w:r>
        <w:rPr>
          <w:rFonts w:hint="eastAsia" w:ascii="仿宋" w:hAnsi="仿宋" w:eastAsia="仿宋"/>
          <w:sz w:val="32"/>
          <w:szCs w:val="32"/>
          <w:lang w:val="en-US" w:eastAsia="zh-CN"/>
        </w:rPr>
        <w:t>增加866.42</w:t>
      </w:r>
      <w:r>
        <w:rPr>
          <w:rFonts w:hint="eastAsia" w:ascii="仿宋" w:hAnsi="仿宋" w:eastAsia="仿宋"/>
          <w:sz w:val="32"/>
          <w:szCs w:val="32"/>
        </w:rPr>
        <w:t>万元，</w:t>
      </w:r>
      <w:r>
        <w:rPr>
          <w:rFonts w:hint="eastAsia" w:ascii="仿宋" w:hAnsi="仿宋" w:eastAsia="仿宋"/>
          <w:sz w:val="32"/>
          <w:szCs w:val="32"/>
          <w:lang w:val="en-US" w:eastAsia="zh-CN"/>
        </w:rPr>
        <w:t>增长273.86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2023年增加了基础设施建设项目资金</w:t>
      </w:r>
      <w:r>
        <w:rPr>
          <w:rFonts w:hint="eastAsia" w:ascii="仿宋" w:hAnsi="仿宋" w:eastAsia="仿宋"/>
          <w:sz w:val="32"/>
          <w:szCs w:val="32"/>
        </w:rPr>
        <w:t>。</w:t>
      </w:r>
    </w:p>
    <w:p w14:paraId="7A6682CF">
      <w:pPr>
        <w:pStyle w:val="5"/>
        <w:spacing w:before="93"/>
        <w:jc w:val="center"/>
        <w:rPr>
          <w:rFonts w:ascii="仿宋" w:hAnsi="仿宋" w:eastAsia="仿宋"/>
          <w:sz w:val="32"/>
          <w:szCs w:val="32"/>
        </w:rPr>
      </w:pPr>
      <w:r>
        <w:drawing>
          <wp:inline distT="0" distB="0" distL="114300" distR="114300">
            <wp:extent cx="4770755" cy="2170430"/>
            <wp:effectExtent l="4445" t="4445" r="6350" b="6350"/>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B439A8">
      <w:pPr>
        <w:pStyle w:val="5"/>
        <w:spacing w:before="93"/>
        <w:jc w:val="center"/>
        <w:rPr>
          <w:rFonts w:hint="eastAsia" w:ascii="仿宋" w:hAnsi="仿宋" w:eastAsia="仿宋"/>
          <w:sz w:val="32"/>
          <w:szCs w:val="32"/>
        </w:rPr>
      </w:pPr>
      <w:r>
        <w:rPr>
          <w:rFonts w:hint="eastAsia" w:ascii="仿宋" w:hAnsi="仿宋" w:eastAsia="仿宋"/>
          <w:sz w:val="32"/>
          <w:szCs w:val="32"/>
        </w:rPr>
        <w:t>（图1：收、支决算总计变动情况图）</w:t>
      </w:r>
    </w:p>
    <w:p w14:paraId="488F8339">
      <w:pPr>
        <w:pStyle w:val="24"/>
        <w:numPr>
          <w:ilvl w:val="0"/>
          <w:numId w:val="2"/>
        </w:numPr>
        <w:spacing w:line="600" w:lineRule="exact"/>
        <w:ind w:firstLineChars="0"/>
        <w:outlineLvl w:val="1"/>
        <w:rPr>
          <w:rStyle w:val="26"/>
          <w:rFonts w:ascii="黑体" w:hAnsi="黑体" w:eastAsia="黑体"/>
          <w:b w:val="0"/>
        </w:rPr>
      </w:pPr>
      <w:bookmarkStart w:id="35" w:name="_Toc15377206"/>
      <w:bookmarkStart w:id="36" w:name="_Toc15396604"/>
      <w:bookmarkStart w:id="37" w:name="_Toc11707"/>
      <w:r>
        <w:rPr>
          <w:rFonts w:hint="eastAsia" w:ascii="黑体" w:hAnsi="黑体" w:eastAsia="黑体"/>
          <w:sz w:val="32"/>
          <w:szCs w:val="32"/>
        </w:rPr>
        <w:t>收</w:t>
      </w:r>
      <w:r>
        <w:rPr>
          <w:rStyle w:val="26"/>
          <w:rFonts w:hint="eastAsia" w:ascii="黑体" w:hAnsi="黑体" w:eastAsia="黑体"/>
          <w:b w:val="0"/>
        </w:rPr>
        <w:t>入决算情况说明</w:t>
      </w:r>
      <w:bookmarkEnd w:id="35"/>
      <w:bookmarkEnd w:id="36"/>
      <w:bookmarkEnd w:id="37"/>
    </w:p>
    <w:p w14:paraId="6FF40255">
      <w:pPr>
        <w:pStyle w:val="5"/>
        <w:spacing w:before="93"/>
        <w:rPr>
          <w:rFonts w:hint="default" w:ascii="仿宋" w:hAnsi="仿宋" w:eastAsia="仿宋" w:cs="Times New Roman"/>
          <w:kern w:val="2"/>
          <w:sz w:val="32"/>
          <w:szCs w:val="32"/>
          <w:lang w:val="en-US" w:eastAsia="zh-CN" w:bidi="ar-SA"/>
        </w:rPr>
      </w:pPr>
      <w:r>
        <w:rPr>
          <w:rFonts w:hint="eastAsia"/>
          <w:lang w:val="en-US" w:eastAsia="zh-CN"/>
        </w:rPr>
        <w:t xml:space="preserve">    </w:t>
      </w:r>
      <w:r>
        <w:rPr>
          <w:rFonts w:hint="eastAsia" w:ascii="仿宋" w:hAnsi="仿宋" w:eastAsia="仿宋"/>
          <w:sz w:val="32"/>
          <w:szCs w:val="32"/>
        </w:rPr>
        <w:t>2</w:t>
      </w:r>
      <w:r>
        <w:rPr>
          <w:rFonts w:hint="eastAsia" w:ascii="仿宋" w:hAnsi="仿宋" w:eastAsia="仿宋" w:cs="Times New Roman"/>
          <w:kern w:val="2"/>
          <w:sz w:val="32"/>
          <w:szCs w:val="32"/>
          <w:lang w:val="en-US" w:eastAsia="zh-CN" w:bidi="ar-SA"/>
        </w:rPr>
        <w:t>023年度本年收入合计1154.61万元，其中：一般公共预算财政拨款收入1154.61万元，占100%。</w:t>
      </w:r>
    </w:p>
    <w:p w14:paraId="3D274A4E">
      <w:pPr>
        <w:ind w:firstLine="420" w:firstLineChars="200"/>
        <w:jc w:val="center"/>
      </w:pPr>
      <w:r>
        <w:drawing>
          <wp:inline distT="0" distB="0" distL="114300" distR="114300">
            <wp:extent cx="4008120" cy="2073910"/>
            <wp:effectExtent l="4445" t="4445" r="6985" b="7620"/>
            <wp:docPr id="1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CC3384A">
      <w:pPr>
        <w:ind w:firstLine="640" w:firstLineChars="200"/>
        <w:jc w:val="center"/>
      </w:pPr>
      <w:r>
        <w:rPr>
          <w:rFonts w:hint="eastAsia" w:ascii="仿宋_GB2312" w:eastAsia="仿宋_GB2312"/>
          <w:sz w:val="32"/>
          <w:szCs w:val="32"/>
        </w:rPr>
        <w:t>（图2：收入决算结构图）</w:t>
      </w:r>
    </w:p>
    <w:p w14:paraId="7DD8031F">
      <w:pPr>
        <w:pStyle w:val="24"/>
        <w:numPr>
          <w:ilvl w:val="0"/>
          <w:numId w:val="2"/>
        </w:numPr>
        <w:spacing w:line="600" w:lineRule="exact"/>
        <w:ind w:firstLineChars="0"/>
        <w:outlineLvl w:val="1"/>
        <w:rPr>
          <w:rStyle w:val="26"/>
          <w:rFonts w:ascii="黑体" w:hAnsi="黑体" w:eastAsia="黑体"/>
          <w:b w:val="0"/>
        </w:rPr>
      </w:pPr>
      <w:bookmarkStart w:id="38" w:name="_Toc15834"/>
      <w:bookmarkStart w:id="39" w:name="_Toc15396605"/>
      <w:bookmarkStart w:id="40" w:name="_Toc15377207"/>
      <w:r>
        <w:rPr>
          <w:rFonts w:hint="eastAsia" w:ascii="黑体" w:hAnsi="黑体" w:eastAsia="黑体"/>
          <w:sz w:val="32"/>
          <w:szCs w:val="32"/>
        </w:rPr>
        <w:t>支</w:t>
      </w:r>
      <w:r>
        <w:rPr>
          <w:rStyle w:val="26"/>
          <w:rFonts w:hint="eastAsia" w:ascii="黑体" w:hAnsi="黑体" w:eastAsia="黑体"/>
          <w:b w:val="0"/>
        </w:rPr>
        <w:t>出决算情况说明</w:t>
      </w:r>
      <w:bookmarkEnd w:id="38"/>
      <w:bookmarkEnd w:id="39"/>
      <w:bookmarkEnd w:id="40"/>
    </w:p>
    <w:p w14:paraId="07EF36D2">
      <w:pPr>
        <w:spacing w:line="600" w:lineRule="exact"/>
        <w:ind w:firstLine="640" w:firstLineChars="200"/>
        <w:outlineLvl w:val="1"/>
        <w:rPr>
          <w:rFonts w:hint="eastAsia" w:ascii="仿宋" w:hAnsi="仿宋" w:eastAsia="仿宋"/>
          <w:sz w:val="32"/>
          <w:szCs w:val="32"/>
          <w:lang w:eastAsia="zh-CN"/>
        </w:rPr>
      </w:pPr>
      <w:r>
        <w:rPr>
          <w:rFonts w:hint="eastAsia" w:ascii="仿宋" w:hAnsi="仿宋" w:eastAsia="仿宋"/>
          <w:sz w:val="32"/>
          <w:szCs w:val="32"/>
        </w:rPr>
        <w:t>2023年度本年支出合计</w:t>
      </w:r>
      <w:r>
        <w:rPr>
          <w:rFonts w:ascii="仿宋" w:hAnsi="仿宋" w:eastAsia="仿宋"/>
          <w:b/>
          <w:sz w:val="32"/>
          <w:szCs w:val="32"/>
        </w:rPr>
        <w:t>1182.79</w:t>
      </w:r>
      <w:r>
        <w:rPr>
          <w:rFonts w:hint="eastAsia" w:ascii="仿宋" w:hAnsi="仿宋" w:eastAsia="仿宋"/>
          <w:sz w:val="32"/>
          <w:szCs w:val="32"/>
        </w:rPr>
        <w:t>万元，其中：基本支出</w:t>
      </w:r>
      <w:r>
        <w:rPr>
          <w:rFonts w:ascii="仿宋" w:hAnsi="仿宋" w:eastAsia="仿宋"/>
          <w:b/>
          <w:sz w:val="32"/>
          <w:szCs w:val="32"/>
        </w:rPr>
        <w:t>445.09</w:t>
      </w:r>
      <w:r>
        <w:rPr>
          <w:rFonts w:hint="eastAsia" w:ascii="仿宋" w:hAnsi="仿宋" w:eastAsia="仿宋"/>
          <w:sz w:val="32"/>
          <w:szCs w:val="32"/>
        </w:rPr>
        <w:t>万元，占</w:t>
      </w:r>
      <w:r>
        <w:rPr>
          <w:rFonts w:ascii="仿宋" w:hAnsi="仿宋" w:eastAsia="仿宋"/>
          <w:b/>
          <w:sz w:val="32"/>
          <w:szCs w:val="32"/>
        </w:rPr>
        <w:t>37.63</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737.71</w:t>
      </w:r>
      <w:r>
        <w:rPr>
          <w:rFonts w:hint="eastAsia" w:ascii="仿宋" w:hAnsi="仿宋" w:eastAsia="仿宋"/>
          <w:sz w:val="32"/>
          <w:szCs w:val="32"/>
        </w:rPr>
        <w:t>万元，占</w:t>
      </w:r>
      <w:r>
        <w:rPr>
          <w:rFonts w:ascii="仿宋" w:hAnsi="仿宋" w:eastAsia="仿宋"/>
          <w:b/>
          <w:sz w:val="32"/>
          <w:szCs w:val="32"/>
        </w:rPr>
        <w:t>62.36</w:t>
      </w:r>
      <w:r>
        <w:rPr>
          <w:rFonts w:ascii="仿宋" w:hAnsi="仿宋" w:eastAsia="仿宋"/>
          <w:sz w:val="32"/>
          <w:szCs w:val="32"/>
        </w:rPr>
        <w:t>%</w:t>
      </w:r>
      <w:r>
        <w:rPr>
          <w:rFonts w:hint="eastAsia" w:ascii="仿宋" w:hAnsi="仿宋" w:eastAsia="仿宋"/>
          <w:sz w:val="32"/>
          <w:szCs w:val="32"/>
          <w:lang w:eastAsia="zh-CN"/>
        </w:rPr>
        <w:t>。</w:t>
      </w:r>
    </w:p>
    <w:p w14:paraId="258B61D5">
      <w:pPr>
        <w:pStyle w:val="5"/>
        <w:rPr>
          <w:rFonts w:ascii="仿宋_GB2312" w:eastAsia="仿宋_GB2312"/>
          <w:sz w:val="32"/>
          <w:szCs w:val="32"/>
        </w:rPr>
      </w:pPr>
      <w:r>
        <w:drawing>
          <wp:inline distT="0" distB="0" distL="114300" distR="114300">
            <wp:extent cx="4313555" cy="2600960"/>
            <wp:effectExtent l="4445" t="4445" r="6350" b="13970"/>
            <wp:docPr id="1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7DD91C7">
      <w:pPr>
        <w:pStyle w:val="5"/>
        <w:spacing w:before="93"/>
        <w:jc w:val="center"/>
        <w:rPr>
          <w:rFonts w:hint="eastAsia"/>
        </w:rPr>
      </w:pPr>
      <w:r>
        <w:rPr>
          <w:rFonts w:hint="eastAsia"/>
        </w:rPr>
        <w:t>（图3：支出决算结构图）</w:t>
      </w:r>
    </w:p>
    <w:p w14:paraId="4BF534CF">
      <w:pPr>
        <w:spacing w:line="600" w:lineRule="exact"/>
        <w:ind w:firstLine="640" w:firstLineChars="200"/>
        <w:outlineLvl w:val="1"/>
        <w:rPr>
          <w:rStyle w:val="26"/>
          <w:rFonts w:ascii="黑体" w:hAnsi="黑体" w:eastAsia="黑体"/>
          <w:b w:val="0"/>
        </w:rPr>
      </w:pPr>
      <w:bookmarkStart w:id="41" w:name="_Toc15396606"/>
      <w:bookmarkStart w:id="42" w:name="_Toc3674"/>
      <w:bookmarkStart w:id="43"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41"/>
      <w:bookmarkEnd w:id="42"/>
      <w:bookmarkEnd w:id="43"/>
    </w:p>
    <w:p w14:paraId="3EEEBD1A">
      <w:pPr>
        <w:spacing w:line="600" w:lineRule="exact"/>
        <w:ind w:firstLine="640" w:firstLineChars="20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val="0"/>
          <w:bCs/>
          <w:sz w:val="32"/>
          <w:szCs w:val="32"/>
        </w:rPr>
        <w:t>1182.79</w:t>
      </w:r>
      <w:r>
        <w:rPr>
          <w:rFonts w:hint="eastAsia" w:ascii="仿宋" w:hAnsi="仿宋" w:eastAsia="仿宋"/>
          <w:sz w:val="32"/>
          <w:szCs w:val="32"/>
        </w:rPr>
        <w:t>万元。与2022年度相比，收、支总计各</w:t>
      </w:r>
      <w:r>
        <w:rPr>
          <w:rFonts w:hint="eastAsia" w:ascii="仿宋" w:hAnsi="仿宋" w:eastAsia="仿宋"/>
          <w:sz w:val="32"/>
          <w:szCs w:val="32"/>
          <w:lang w:val="en-US" w:eastAsia="zh-CN"/>
        </w:rPr>
        <w:t>增加866.42</w:t>
      </w:r>
      <w:r>
        <w:rPr>
          <w:rFonts w:hint="eastAsia" w:ascii="仿宋" w:hAnsi="仿宋" w:eastAsia="仿宋"/>
          <w:sz w:val="32"/>
          <w:szCs w:val="32"/>
        </w:rPr>
        <w:t>万元，</w:t>
      </w:r>
      <w:r>
        <w:rPr>
          <w:rFonts w:hint="eastAsia" w:ascii="仿宋" w:hAnsi="仿宋" w:eastAsia="仿宋"/>
          <w:sz w:val="32"/>
          <w:szCs w:val="32"/>
          <w:lang w:val="en-US" w:eastAsia="zh-CN"/>
        </w:rPr>
        <w:t>增长273.86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2023年增加了基础设施建设项目资金</w:t>
      </w:r>
      <w:r>
        <w:rPr>
          <w:rFonts w:hint="eastAsia" w:ascii="仿宋" w:hAnsi="仿宋" w:eastAsia="仿宋"/>
          <w:sz w:val="32"/>
          <w:szCs w:val="32"/>
        </w:rPr>
        <w:t>。</w:t>
      </w:r>
    </w:p>
    <w:p w14:paraId="40FF5007">
      <w:pPr>
        <w:ind w:firstLine="640"/>
        <w:jc w:val="center"/>
      </w:pPr>
      <w:r>
        <w:drawing>
          <wp:inline distT="0" distB="0" distL="114300" distR="114300">
            <wp:extent cx="3994785" cy="2410460"/>
            <wp:effectExtent l="5080" t="4445" r="10160" b="13970"/>
            <wp:docPr id="1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C9CDEF4">
      <w:pPr>
        <w:ind w:firstLine="640"/>
        <w:jc w:val="center"/>
        <w:rPr>
          <w:rFonts w:hint="eastAsia"/>
        </w:rPr>
      </w:pPr>
      <w:r>
        <w:rPr>
          <w:rFonts w:hint="eastAsia" w:ascii="仿宋" w:hAnsi="仿宋" w:eastAsia="仿宋" w:cs="仿宋"/>
          <w:sz w:val="30"/>
          <w:szCs w:val="30"/>
        </w:rPr>
        <w:t>（图4：财政拨款收、支决算总计变动情况）</w:t>
      </w:r>
    </w:p>
    <w:p w14:paraId="6FA06A40">
      <w:pPr>
        <w:ind w:firstLine="640" w:firstLineChars="200"/>
        <w:outlineLvl w:val="1"/>
        <w:rPr>
          <w:rStyle w:val="26"/>
          <w:rFonts w:ascii="黑体" w:hAnsi="黑体" w:eastAsia="黑体"/>
          <w:b w:val="0"/>
        </w:rPr>
      </w:pPr>
      <w:bookmarkStart w:id="44" w:name="_Toc15396607"/>
      <w:bookmarkStart w:id="45" w:name="_Toc15377209"/>
      <w:bookmarkStart w:id="46" w:name="_Toc32249"/>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44"/>
      <w:bookmarkEnd w:id="45"/>
      <w:bookmarkEnd w:id="46"/>
    </w:p>
    <w:p w14:paraId="77D97C06">
      <w:pPr>
        <w:spacing w:line="600" w:lineRule="exact"/>
        <w:ind w:firstLine="643" w:firstLineChars="200"/>
        <w:outlineLvl w:val="2"/>
        <w:rPr>
          <w:rFonts w:ascii="仿宋" w:hAnsi="仿宋" w:eastAsia="仿宋"/>
          <w:b/>
          <w:sz w:val="32"/>
          <w:szCs w:val="32"/>
        </w:rPr>
      </w:pPr>
      <w:bookmarkStart w:id="47" w:name="_Toc15377210"/>
      <w:r>
        <w:rPr>
          <w:rFonts w:hint="eastAsia" w:ascii="仿宋" w:hAnsi="仿宋" w:eastAsia="仿宋"/>
          <w:b/>
          <w:sz w:val="32"/>
          <w:szCs w:val="32"/>
        </w:rPr>
        <w:t>（一）一般公共预算财政拨款支出决算总体情况</w:t>
      </w:r>
      <w:bookmarkEnd w:id="47"/>
    </w:p>
    <w:p w14:paraId="0C4576E2">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val="0"/>
          <w:bCs/>
          <w:sz w:val="32"/>
          <w:szCs w:val="32"/>
        </w:rPr>
        <w:t>1182.79</w:t>
      </w:r>
      <w:r>
        <w:rPr>
          <w:rFonts w:hint="eastAsia" w:ascii="仿宋" w:hAnsi="仿宋" w:eastAsia="仿宋"/>
          <w:b w:val="0"/>
          <w:bCs/>
          <w:sz w:val="32"/>
          <w:szCs w:val="32"/>
        </w:rPr>
        <w:t>万元，占本年支出合计的</w:t>
      </w:r>
      <w:r>
        <w:rPr>
          <w:rFonts w:ascii="仿宋" w:hAnsi="仿宋" w:eastAsia="仿宋"/>
          <w:b w:val="0"/>
          <w:bCs/>
          <w:sz w:val="32"/>
          <w:szCs w:val="32"/>
        </w:rPr>
        <w:t>100%</w:t>
      </w:r>
      <w:r>
        <w:rPr>
          <w:rFonts w:hint="eastAsia" w:ascii="仿宋" w:hAnsi="仿宋" w:eastAsia="仿宋"/>
          <w:b w:val="0"/>
          <w:bCs/>
          <w:sz w:val="32"/>
          <w:szCs w:val="32"/>
        </w:rPr>
        <w:t>。</w:t>
      </w:r>
      <w:r>
        <w:rPr>
          <w:rFonts w:hint="eastAsia" w:ascii="仿宋" w:hAnsi="仿宋" w:eastAsia="仿宋"/>
          <w:sz w:val="32"/>
          <w:szCs w:val="32"/>
        </w:rPr>
        <w:t>与2022年度相比，一般公共预算财政拨款支出</w:t>
      </w:r>
      <w:r>
        <w:rPr>
          <w:rFonts w:hint="eastAsia" w:ascii="仿宋" w:hAnsi="仿宋" w:eastAsia="仿宋"/>
          <w:sz w:val="32"/>
          <w:szCs w:val="32"/>
          <w:lang w:val="en-US" w:eastAsia="zh-CN"/>
        </w:rPr>
        <w:t>增加866.42</w:t>
      </w:r>
      <w:r>
        <w:rPr>
          <w:rFonts w:hint="eastAsia" w:ascii="仿宋" w:hAnsi="仿宋" w:eastAsia="仿宋"/>
          <w:sz w:val="32"/>
          <w:szCs w:val="32"/>
        </w:rPr>
        <w:t>万元，</w:t>
      </w:r>
      <w:r>
        <w:rPr>
          <w:rFonts w:hint="eastAsia" w:ascii="仿宋" w:hAnsi="仿宋" w:eastAsia="仿宋"/>
          <w:sz w:val="32"/>
          <w:szCs w:val="32"/>
          <w:lang w:val="en-US" w:eastAsia="zh-CN"/>
        </w:rPr>
        <w:t>增长273.86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2023年增加了基础设施建设项目资金</w:t>
      </w:r>
      <w:r>
        <w:rPr>
          <w:rFonts w:hint="eastAsia" w:ascii="仿宋" w:hAnsi="仿宋" w:eastAsia="仿宋"/>
          <w:sz w:val="32"/>
          <w:szCs w:val="32"/>
        </w:rPr>
        <w:t>。</w:t>
      </w:r>
    </w:p>
    <w:p w14:paraId="2AE51CCF">
      <w:pPr>
        <w:spacing w:line="600" w:lineRule="exact"/>
        <w:ind w:firstLine="640" w:firstLineChars="200"/>
        <w:rPr>
          <w:rFonts w:ascii="仿宋" w:hAnsi="仿宋" w:eastAsia="仿宋"/>
          <w:sz w:val="32"/>
          <w:szCs w:val="32"/>
        </w:rPr>
      </w:pPr>
    </w:p>
    <w:p w14:paraId="6CE3C1D1">
      <w:pPr>
        <w:pStyle w:val="5"/>
        <w:spacing w:before="93"/>
        <w:jc w:val="center"/>
        <w:rPr>
          <w:rFonts w:ascii="仿宋" w:hAnsi="仿宋" w:eastAsia="仿宋"/>
          <w:sz w:val="32"/>
          <w:szCs w:val="32"/>
        </w:rPr>
      </w:pPr>
      <w:r>
        <w:drawing>
          <wp:inline distT="0" distB="0" distL="114300" distR="114300">
            <wp:extent cx="4342130" cy="2743200"/>
            <wp:effectExtent l="4445" t="4445" r="6350" b="5080"/>
            <wp:docPr id="19"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F90B20C">
      <w:pPr>
        <w:pStyle w:val="5"/>
        <w:spacing w:before="93"/>
        <w:jc w:val="center"/>
        <w:rPr>
          <w:rFonts w:hint="eastAsia" w:ascii="仿宋" w:hAnsi="仿宋" w:eastAsia="仿宋"/>
          <w:sz w:val="32"/>
          <w:szCs w:val="32"/>
        </w:rPr>
      </w:pPr>
      <w:r>
        <w:rPr>
          <w:rFonts w:hint="eastAsia" w:ascii="仿宋" w:hAnsi="仿宋" w:eastAsia="仿宋"/>
          <w:sz w:val="32"/>
          <w:szCs w:val="32"/>
        </w:rPr>
        <w:t>（图5：一般公共预算财政拨款支出决算变动情况）</w:t>
      </w:r>
    </w:p>
    <w:p w14:paraId="0581A320">
      <w:pPr>
        <w:pStyle w:val="5"/>
        <w:spacing w:before="93"/>
        <w:jc w:val="center"/>
        <w:rPr>
          <w:rFonts w:hint="eastAsia" w:ascii="仿宋" w:hAnsi="仿宋" w:eastAsia="仿宋"/>
          <w:sz w:val="32"/>
          <w:szCs w:val="32"/>
        </w:rPr>
      </w:pPr>
    </w:p>
    <w:p w14:paraId="6358110A">
      <w:pPr>
        <w:spacing w:line="600" w:lineRule="exact"/>
        <w:ind w:firstLine="643" w:firstLineChars="200"/>
        <w:outlineLvl w:val="2"/>
        <w:rPr>
          <w:rFonts w:ascii="仿宋" w:hAnsi="仿宋" w:eastAsia="仿宋"/>
          <w:b/>
          <w:sz w:val="32"/>
          <w:szCs w:val="32"/>
        </w:rPr>
      </w:pPr>
      <w:bookmarkStart w:id="48" w:name="_Toc15377211"/>
      <w:r>
        <w:rPr>
          <w:rFonts w:hint="eastAsia" w:ascii="仿宋" w:hAnsi="仿宋" w:eastAsia="仿宋"/>
          <w:b/>
          <w:sz w:val="32"/>
          <w:szCs w:val="32"/>
        </w:rPr>
        <w:t>（二）一般公共预算财政拨款支出决算结构情况</w:t>
      </w:r>
      <w:bookmarkEnd w:id="48"/>
    </w:p>
    <w:p w14:paraId="1DF09251">
      <w:pPr>
        <w:spacing w:line="600" w:lineRule="exact"/>
        <w:ind w:firstLine="640"/>
        <w:rPr>
          <w:rFonts w:ascii="仿宋" w:hAnsi="仿宋" w:eastAsia="仿宋"/>
          <w:bCs/>
          <w:sz w:val="32"/>
          <w:szCs w:val="32"/>
        </w:rPr>
      </w:pPr>
      <w:r>
        <w:rPr>
          <w:rFonts w:hint="eastAsia" w:ascii="仿宋" w:hAnsi="仿宋" w:eastAsia="仿宋"/>
          <w:sz w:val="32"/>
          <w:szCs w:val="32"/>
        </w:rPr>
        <w:t>2023年度一般公共预算财政拨款支出</w:t>
      </w:r>
      <w:r>
        <w:rPr>
          <w:rFonts w:ascii="仿宋" w:hAnsi="仿宋" w:eastAsia="仿宋"/>
          <w:b w:val="0"/>
          <w:bCs/>
          <w:sz w:val="32"/>
          <w:szCs w:val="32"/>
        </w:rPr>
        <w:t>1182.79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Cs/>
          <w:sz w:val="32"/>
          <w:szCs w:val="32"/>
        </w:rPr>
        <w:t>教育支出</w:t>
      </w:r>
      <w:r>
        <w:rPr>
          <w:rFonts w:hint="eastAsia" w:ascii="仿宋" w:hAnsi="仿宋" w:eastAsia="仿宋"/>
          <w:bCs/>
          <w:sz w:val="32"/>
          <w:szCs w:val="32"/>
          <w:lang w:val="en-US" w:eastAsia="zh-CN"/>
        </w:rPr>
        <w:t>1100.77</w:t>
      </w:r>
      <w:r>
        <w:rPr>
          <w:rFonts w:hint="eastAsia" w:ascii="仿宋" w:hAnsi="仿宋" w:eastAsia="仿宋"/>
          <w:bCs/>
          <w:sz w:val="32"/>
          <w:szCs w:val="32"/>
        </w:rPr>
        <w:t>万元，占</w:t>
      </w:r>
      <w:r>
        <w:rPr>
          <w:rFonts w:hint="eastAsia" w:ascii="仿宋" w:hAnsi="仿宋" w:eastAsia="仿宋"/>
          <w:bCs/>
          <w:sz w:val="32"/>
          <w:szCs w:val="32"/>
          <w:lang w:val="en-US" w:eastAsia="zh-CN"/>
        </w:rPr>
        <w:t>93.06</w:t>
      </w:r>
      <w:r>
        <w:rPr>
          <w:rFonts w:ascii="仿宋" w:hAnsi="仿宋" w:eastAsia="仿宋"/>
          <w:bCs/>
          <w:sz w:val="32"/>
          <w:szCs w:val="32"/>
        </w:rPr>
        <w:t>%</w:t>
      </w:r>
      <w:r>
        <w:rPr>
          <w:rFonts w:hint="eastAsia" w:ascii="仿宋" w:hAnsi="仿宋" w:eastAsia="仿宋"/>
          <w:bCs/>
          <w:sz w:val="32"/>
          <w:szCs w:val="32"/>
        </w:rPr>
        <w:t>；社会保障和就业支出</w:t>
      </w:r>
      <w:r>
        <w:rPr>
          <w:rFonts w:hint="eastAsia" w:ascii="仿宋" w:hAnsi="仿宋" w:eastAsia="仿宋"/>
          <w:bCs/>
          <w:sz w:val="32"/>
          <w:szCs w:val="32"/>
          <w:lang w:val="en-US" w:eastAsia="zh-CN"/>
        </w:rPr>
        <w:t>33.22</w:t>
      </w:r>
      <w:r>
        <w:rPr>
          <w:rFonts w:hint="eastAsia" w:ascii="仿宋" w:hAnsi="仿宋" w:eastAsia="仿宋"/>
          <w:bCs/>
          <w:sz w:val="32"/>
          <w:szCs w:val="32"/>
        </w:rPr>
        <w:t>万元，占</w:t>
      </w:r>
      <w:r>
        <w:rPr>
          <w:rFonts w:hint="eastAsia" w:ascii="仿宋" w:hAnsi="仿宋" w:eastAsia="仿宋"/>
          <w:bCs/>
          <w:sz w:val="32"/>
          <w:szCs w:val="32"/>
          <w:lang w:val="en-US" w:eastAsia="zh-CN"/>
        </w:rPr>
        <w:t>2.81</w:t>
      </w:r>
      <w:r>
        <w:rPr>
          <w:rFonts w:ascii="仿宋" w:hAnsi="仿宋" w:eastAsia="仿宋"/>
          <w:bCs/>
          <w:sz w:val="32"/>
          <w:szCs w:val="32"/>
        </w:rPr>
        <w:t>%</w:t>
      </w:r>
      <w:r>
        <w:rPr>
          <w:rFonts w:hint="eastAsia" w:ascii="仿宋" w:hAnsi="仿宋" w:eastAsia="仿宋"/>
          <w:bCs/>
          <w:sz w:val="32"/>
          <w:szCs w:val="32"/>
        </w:rPr>
        <w:t>；卫生健康支出</w:t>
      </w:r>
      <w:r>
        <w:rPr>
          <w:rFonts w:hint="eastAsia" w:ascii="仿宋" w:hAnsi="仿宋" w:eastAsia="仿宋"/>
          <w:bCs/>
          <w:sz w:val="32"/>
          <w:szCs w:val="32"/>
          <w:lang w:val="en-US" w:eastAsia="zh-CN"/>
        </w:rPr>
        <w:t>18.30</w:t>
      </w:r>
      <w:r>
        <w:rPr>
          <w:rFonts w:hint="eastAsia" w:ascii="仿宋" w:hAnsi="仿宋" w:eastAsia="仿宋"/>
          <w:bCs/>
          <w:sz w:val="32"/>
          <w:szCs w:val="32"/>
        </w:rPr>
        <w:t>万元，占</w:t>
      </w:r>
      <w:r>
        <w:rPr>
          <w:rFonts w:hint="eastAsia" w:ascii="仿宋" w:hAnsi="仿宋" w:eastAsia="仿宋"/>
          <w:bCs/>
          <w:sz w:val="32"/>
          <w:szCs w:val="32"/>
          <w:lang w:val="en-US" w:eastAsia="zh-CN"/>
        </w:rPr>
        <w:t>1.55</w:t>
      </w:r>
      <w:r>
        <w:rPr>
          <w:rFonts w:ascii="仿宋" w:hAnsi="仿宋" w:eastAsia="仿宋"/>
          <w:bCs/>
          <w:sz w:val="32"/>
          <w:szCs w:val="32"/>
        </w:rPr>
        <w:t>%</w:t>
      </w:r>
      <w:r>
        <w:rPr>
          <w:rFonts w:hint="eastAsia" w:ascii="仿宋" w:hAnsi="仿宋" w:eastAsia="仿宋"/>
          <w:bCs/>
          <w:sz w:val="32"/>
          <w:szCs w:val="32"/>
        </w:rPr>
        <w:t>；住房保障支出</w:t>
      </w:r>
      <w:r>
        <w:rPr>
          <w:rFonts w:hint="eastAsia" w:ascii="仿宋" w:hAnsi="仿宋" w:eastAsia="仿宋"/>
          <w:bCs/>
          <w:sz w:val="32"/>
          <w:szCs w:val="32"/>
          <w:lang w:val="en-US" w:eastAsia="zh-CN"/>
        </w:rPr>
        <w:t>30.51</w:t>
      </w:r>
      <w:r>
        <w:rPr>
          <w:rFonts w:hint="eastAsia" w:ascii="仿宋" w:hAnsi="仿宋" w:eastAsia="仿宋"/>
          <w:bCs/>
          <w:sz w:val="32"/>
          <w:szCs w:val="32"/>
        </w:rPr>
        <w:t>万元，占</w:t>
      </w:r>
      <w:r>
        <w:rPr>
          <w:rFonts w:hint="eastAsia" w:ascii="仿宋" w:hAnsi="仿宋" w:eastAsia="仿宋"/>
          <w:bCs/>
          <w:sz w:val="32"/>
          <w:szCs w:val="32"/>
          <w:lang w:val="en-US" w:eastAsia="zh-CN"/>
        </w:rPr>
        <w:t>2.58</w:t>
      </w:r>
      <w:r>
        <w:rPr>
          <w:rFonts w:ascii="仿宋" w:hAnsi="仿宋" w:eastAsia="仿宋"/>
          <w:bCs/>
          <w:sz w:val="32"/>
          <w:szCs w:val="32"/>
        </w:rPr>
        <w:t>%</w:t>
      </w:r>
      <w:r>
        <w:rPr>
          <w:rFonts w:hint="eastAsia" w:ascii="仿宋" w:hAnsi="仿宋" w:eastAsia="仿宋"/>
          <w:bCs/>
          <w:sz w:val="32"/>
          <w:szCs w:val="32"/>
        </w:rPr>
        <w:t>。</w:t>
      </w:r>
    </w:p>
    <w:p w14:paraId="2857F621">
      <w:pPr>
        <w:ind w:firstLine="420" w:firstLineChars="200"/>
        <w:jc w:val="center"/>
        <w:rPr>
          <w:rFonts w:ascii="仿宋" w:hAnsi="仿宋" w:eastAsia="仿宋"/>
          <w:sz w:val="32"/>
          <w:szCs w:val="32"/>
        </w:rPr>
      </w:pPr>
      <w:r>
        <w:drawing>
          <wp:inline distT="0" distB="0" distL="114300" distR="114300">
            <wp:extent cx="4342130" cy="2743200"/>
            <wp:effectExtent l="4445" t="4445" r="6350" b="5080"/>
            <wp:docPr id="2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CBD482">
      <w:pPr>
        <w:ind w:firstLine="640" w:firstLineChars="200"/>
        <w:jc w:val="center"/>
        <w:rPr>
          <w:rFonts w:ascii="仿宋" w:hAnsi="仿宋" w:eastAsia="仿宋"/>
          <w:sz w:val="32"/>
          <w:szCs w:val="32"/>
        </w:rPr>
      </w:pPr>
      <w:r>
        <w:rPr>
          <w:rFonts w:hint="eastAsia" w:ascii="仿宋" w:hAnsi="仿宋" w:eastAsia="仿宋"/>
          <w:sz w:val="32"/>
          <w:szCs w:val="32"/>
        </w:rPr>
        <w:t>（图6：一般公共预算财政拨款支出决算结构）</w:t>
      </w:r>
    </w:p>
    <w:p w14:paraId="478CC762">
      <w:pPr>
        <w:spacing w:line="600" w:lineRule="exact"/>
        <w:ind w:firstLine="643" w:firstLineChars="200"/>
        <w:outlineLvl w:val="2"/>
        <w:rPr>
          <w:rFonts w:ascii="仿宋" w:hAnsi="仿宋" w:eastAsia="仿宋"/>
          <w:b/>
          <w:sz w:val="32"/>
          <w:szCs w:val="32"/>
        </w:rPr>
      </w:pPr>
      <w:bookmarkStart w:id="49" w:name="_Toc15377212"/>
      <w:r>
        <w:rPr>
          <w:rFonts w:hint="eastAsia" w:ascii="仿宋" w:hAnsi="仿宋" w:eastAsia="仿宋"/>
          <w:b/>
          <w:sz w:val="32"/>
          <w:szCs w:val="32"/>
        </w:rPr>
        <w:t>（三）一般公共预算财政拨款支出决算具体情况</w:t>
      </w:r>
      <w:bookmarkEnd w:id="49"/>
    </w:p>
    <w:p w14:paraId="60CDEA97">
      <w:pPr>
        <w:spacing w:line="600" w:lineRule="exact"/>
        <w:ind w:firstLine="640" w:firstLineChars="200"/>
        <w:rPr>
          <w:rStyle w:val="14"/>
          <w:rFonts w:ascii="仿宋" w:hAnsi="仿宋" w:eastAsia="仿宋"/>
          <w:b w:val="0"/>
          <w:bCs/>
          <w:sz w:val="32"/>
          <w:szCs w:val="32"/>
        </w:rPr>
      </w:pPr>
      <w:bookmarkStart w:id="50" w:name="_Toc15378460"/>
      <w:bookmarkStart w:id="51" w:name="_Toc15377444"/>
      <w:bookmarkStart w:id="52" w:name="_Toc15377213"/>
      <w:r>
        <w:rPr>
          <w:rStyle w:val="14"/>
          <w:rFonts w:hint="eastAsia" w:ascii="仿宋" w:hAnsi="仿宋" w:eastAsia="仿宋"/>
          <w:b w:val="0"/>
          <w:bCs/>
          <w:sz w:val="32"/>
          <w:szCs w:val="32"/>
        </w:rPr>
        <w:t>202</w:t>
      </w:r>
      <w:r>
        <w:rPr>
          <w:rStyle w:val="14"/>
          <w:rFonts w:hint="eastAsia" w:ascii="仿宋" w:hAnsi="仿宋" w:eastAsia="仿宋"/>
          <w:b w:val="0"/>
          <w:bCs/>
          <w:sz w:val="32"/>
          <w:szCs w:val="32"/>
          <w:lang w:val="en-US" w:eastAsia="zh-CN"/>
        </w:rPr>
        <w:t>3</w:t>
      </w:r>
      <w:r>
        <w:rPr>
          <w:rStyle w:val="14"/>
          <w:rFonts w:hint="eastAsia" w:ascii="仿宋" w:hAnsi="仿宋" w:eastAsia="仿宋"/>
          <w:b w:val="0"/>
          <w:bCs/>
          <w:sz w:val="32"/>
          <w:szCs w:val="32"/>
        </w:rPr>
        <w:t>年一般公共预算支出决算数为</w:t>
      </w:r>
      <w:r>
        <w:rPr>
          <w:rStyle w:val="14"/>
          <w:rFonts w:hint="eastAsia" w:ascii="仿宋" w:hAnsi="仿宋" w:eastAsia="仿宋"/>
          <w:b w:val="0"/>
          <w:bCs/>
          <w:sz w:val="32"/>
          <w:szCs w:val="32"/>
          <w:lang w:val="en-US" w:eastAsia="zh-CN"/>
        </w:rPr>
        <w:t>1182.79</w:t>
      </w:r>
      <w:r>
        <w:rPr>
          <w:rStyle w:val="14"/>
          <w:rFonts w:hint="eastAsia" w:ascii="仿宋" w:hAnsi="仿宋" w:eastAsia="仿宋"/>
          <w:b w:val="0"/>
          <w:bCs/>
          <w:sz w:val="32"/>
          <w:szCs w:val="32"/>
        </w:rPr>
        <w:t>万元，完成预算100%。其中：</w:t>
      </w:r>
      <w:bookmarkEnd w:id="50"/>
      <w:bookmarkEnd w:id="51"/>
      <w:bookmarkEnd w:id="52"/>
    </w:p>
    <w:p w14:paraId="0D408167">
      <w:pPr>
        <w:numPr>
          <w:ilvl w:val="0"/>
          <w:numId w:val="3"/>
        </w:numPr>
        <w:spacing w:line="600" w:lineRule="exact"/>
        <w:ind w:firstLine="640" w:firstLineChars="200"/>
        <w:rPr>
          <w:rStyle w:val="14"/>
          <w:rFonts w:hint="eastAsia" w:ascii="仿宋" w:hAnsi="仿宋" w:eastAsia="仿宋"/>
          <w:b w:val="0"/>
          <w:sz w:val="32"/>
          <w:szCs w:val="32"/>
        </w:rPr>
      </w:pPr>
      <w:r>
        <w:rPr>
          <w:rStyle w:val="14"/>
          <w:rFonts w:hint="eastAsia" w:ascii="仿宋" w:hAnsi="仿宋" w:eastAsia="仿宋"/>
          <w:b w:val="0"/>
          <w:sz w:val="32"/>
          <w:szCs w:val="32"/>
        </w:rPr>
        <w:t>教育支出（205）特殊教育（07）特殊学校教育（01）</w:t>
      </w:r>
      <w:r>
        <w:rPr>
          <w:rStyle w:val="14"/>
          <w:rFonts w:ascii="仿宋" w:hAnsi="仿宋" w:eastAsia="仿宋"/>
          <w:b w:val="0"/>
          <w:sz w:val="32"/>
          <w:szCs w:val="32"/>
        </w:rPr>
        <w:t>:</w:t>
      </w:r>
      <w:r>
        <w:rPr>
          <w:rStyle w:val="14"/>
          <w:rFonts w:hint="eastAsia" w:ascii="仿宋" w:hAnsi="仿宋" w:eastAsia="仿宋"/>
          <w:b w:val="0"/>
          <w:sz w:val="32"/>
          <w:szCs w:val="32"/>
        </w:rPr>
        <w:t>支出决算为</w:t>
      </w:r>
      <w:r>
        <w:rPr>
          <w:rStyle w:val="14"/>
          <w:rFonts w:hint="eastAsia" w:ascii="仿宋" w:hAnsi="仿宋" w:eastAsia="仿宋"/>
          <w:b w:val="0"/>
          <w:sz w:val="32"/>
          <w:szCs w:val="32"/>
          <w:lang w:val="en-US" w:eastAsia="zh-CN"/>
        </w:rPr>
        <w:t>1098.32</w:t>
      </w:r>
      <w:r>
        <w:rPr>
          <w:rStyle w:val="14"/>
          <w:rFonts w:hint="eastAsia" w:ascii="仿宋" w:hAnsi="仿宋" w:eastAsia="仿宋"/>
          <w:b w:val="0"/>
          <w:sz w:val="32"/>
          <w:szCs w:val="32"/>
        </w:rPr>
        <w:t>万元，完成预算100</w:t>
      </w:r>
      <w:r>
        <w:rPr>
          <w:rStyle w:val="14"/>
          <w:rFonts w:ascii="仿宋" w:hAnsi="仿宋" w:eastAsia="仿宋"/>
          <w:b w:val="0"/>
          <w:sz w:val="32"/>
          <w:szCs w:val="32"/>
        </w:rPr>
        <w:t>%</w:t>
      </w:r>
      <w:r>
        <w:rPr>
          <w:rStyle w:val="14"/>
          <w:rFonts w:hint="eastAsia" w:ascii="仿宋" w:hAnsi="仿宋" w:eastAsia="仿宋"/>
          <w:b w:val="0"/>
          <w:sz w:val="32"/>
          <w:szCs w:val="32"/>
        </w:rPr>
        <w:t>。</w:t>
      </w:r>
    </w:p>
    <w:p w14:paraId="45970084">
      <w:pPr>
        <w:pStyle w:val="5"/>
        <w:numPr>
          <w:ilvl w:val="0"/>
          <w:numId w:val="0"/>
        </w:numPr>
        <w:ind w:firstLine="640" w:firstLineChars="200"/>
      </w:pPr>
      <w:r>
        <w:rPr>
          <w:rStyle w:val="14"/>
          <w:rFonts w:hint="eastAsia" w:ascii="仿宋" w:hAnsi="仿宋" w:eastAsia="仿宋"/>
          <w:b w:val="0"/>
          <w:sz w:val="32"/>
          <w:szCs w:val="32"/>
          <w:lang w:val="en-US" w:eastAsia="zh-CN"/>
        </w:rPr>
        <w:t xml:space="preserve">2. </w:t>
      </w:r>
      <w:r>
        <w:rPr>
          <w:rStyle w:val="14"/>
          <w:rFonts w:hint="eastAsia" w:ascii="仿宋" w:hAnsi="仿宋" w:eastAsia="仿宋"/>
          <w:b w:val="0"/>
          <w:sz w:val="32"/>
          <w:szCs w:val="32"/>
        </w:rPr>
        <w:t>教育支出（205）其他教育支出（</w:t>
      </w:r>
      <w:r>
        <w:rPr>
          <w:rStyle w:val="14"/>
          <w:rFonts w:hint="eastAsia" w:ascii="仿宋" w:hAnsi="仿宋" w:eastAsia="仿宋"/>
          <w:b w:val="0"/>
          <w:sz w:val="32"/>
          <w:szCs w:val="32"/>
          <w:lang w:val="en-US" w:eastAsia="zh-CN"/>
        </w:rPr>
        <w:t>99</w:t>
      </w:r>
      <w:r>
        <w:rPr>
          <w:rStyle w:val="14"/>
          <w:rFonts w:hint="eastAsia" w:ascii="仿宋" w:hAnsi="仿宋" w:eastAsia="仿宋"/>
          <w:b w:val="0"/>
          <w:sz w:val="32"/>
          <w:szCs w:val="32"/>
        </w:rPr>
        <w:t>）其他教育支出（</w:t>
      </w:r>
      <w:r>
        <w:rPr>
          <w:rStyle w:val="14"/>
          <w:rFonts w:hint="eastAsia" w:ascii="仿宋" w:hAnsi="仿宋" w:eastAsia="仿宋"/>
          <w:b w:val="0"/>
          <w:sz w:val="32"/>
          <w:szCs w:val="32"/>
          <w:lang w:val="en-US" w:eastAsia="zh-CN"/>
        </w:rPr>
        <w:t>99</w:t>
      </w:r>
      <w:r>
        <w:rPr>
          <w:rStyle w:val="14"/>
          <w:rFonts w:hint="eastAsia" w:ascii="仿宋" w:hAnsi="仿宋" w:eastAsia="仿宋"/>
          <w:b w:val="0"/>
          <w:sz w:val="32"/>
          <w:szCs w:val="32"/>
        </w:rPr>
        <w:t>）</w:t>
      </w:r>
      <w:r>
        <w:rPr>
          <w:rStyle w:val="14"/>
          <w:rFonts w:ascii="仿宋" w:hAnsi="仿宋" w:eastAsia="仿宋"/>
          <w:b w:val="0"/>
          <w:sz w:val="32"/>
          <w:szCs w:val="32"/>
        </w:rPr>
        <w:t>:</w:t>
      </w:r>
      <w:r>
        <w:rPr>
          <w:rStyle w:val="14"/>
          <w:rFonts w:hint="eastAsia" w:ascii="仿宋" w:hAnsi="仿宋" w:eastAsia="仿宋"/>
          <w:b w:val="0"/>
          <w:sz w:val="32"/>
          <w:szCs w:val="32"/>
        </w:rPr>
        <w:t>支出决算为</w:t>
      </w:r>
      <w:r>
        <w:rPr>
          <w:rStyle w:val="14"/>
          <w:rFonts w:hint="eastAsia" w:ascii="仿宋" w:hAnsi="仿宋" w:eastAsia="仿宋"/>
          <w:b w:val="0"/>
          <w:sz w:val="32"/>
          <w:szCs w:val="32"/>
          <w:lang w:val="en-US" w:eastAsia="zh-CN"/>
        </w:rPr>
        <w:t>2.44</w:t>
      </w:r>
      <w:r>
        <w:rPr>
          <w:rStyle w:val="14"/>
          <w:rFonts w:hint="eastAsia" w:ascii="仿宋" w:hAnsi="仿宋" w:eastAsia="仿宋"/>
          <w:b w:val="0"/>
          <w:sz w:val="32"/>
          <w:szCs w:val="32"/>
        </w:rPr>
        <w:t>万元，完成预算100</w:t>
      </w:r>
      <w:r>
        <w:rPr>
          <w:rStyle w:val="14"/>
          <w:rFonts w:ascii="仿宋" w:hAnsi="仿宋" w:eastAsia="仿宋"/>
          <w:b w:val="0"/>
          <w:sz w:val="32"/>
          <w:szCs w:val="32"/>
        </w:rPr>
        <w:t>%</w:t>
      </w:r>
      <w:r>
        <w:rPr>
          <w:rStyle w:val="14"/>
          <w:rFonts w:hint="eastAsia" w:ascii="仿宋" w:hAnsi="仿宋" w:eastAsia="仿宋"/>
          <w:b w:val="0"/>
          <w:sz w:val="32"/>
          <w:szCs w:val="32"/>
        </w:rPr>
        <w:t>。</w:t>
      </w:r>
    </w:p>
    <w:p w14:paraId="646B2777">
      <w:pPr>
        <w:spacing w:line="600" w:lineRule="exact"/>
        <w:ind w:firstLine="640" w:firstLineChars="200"/>
      </w:pPr>
      <w:r>
        <w:rPr>
          <w:rStyle w:val="14"/>
          <w:rFonts w:hint="eastAsia" w:ascii="仿宋" w:hAnsi="仿宋" w:eastAsia="仿宋"/>
          <w:b w:val="0"/>
          <w:sz w:val="32"/>
          <w:szCs w:val="32"/>
          <w:lang w:val="en-US" w:eastAsia="zh-CN"/>
        </w:rPr>
        <w:t>3</w:t>
      </w:r>
      <w:r>
        <w:rPr>
          <w:rStyle w:val="14"/>
          <w:rFonts w:hint="eastAsia" w:ascii="仿宋" w:hAnsi="仿宋" w:eastAsia="仿宋"/>
          <w:b w:val="0"/>
          <w:sz w:val="32"/>
          <w:szCs w:val="32"/>
        </w:rPr>
        <w:t>.社会保障和就业（208）行政事业单位养老支出（05）事业单位离退休（02）:支出决算为</w:t>
      </w:r>
      <w:r>
        <w:rPr>
          <w:rStyle w:val="14"/>
          <w:rFonts w:hint="eastAsia" w:ascii="仿宋" w:hAnsi="仿宋" w:eastAsia="仿宋"/>
          <w:b w:val="0"/>
          <w:sz w:val="32"/>
          <w:szCs w:val="32"/>
          <w:lang w:val="en-US" w:eastAsia="zh-CN"/>
        </w:rPr>
        <w:t>6.28</w:t>
      </w:r>
      <w:r>
        <w:rPr>
          <w:rStyle w:val="14"/>
          <w:rFonts w:hint="eastAsia" w:ascii="仿宋" w:hAnsi="仿宋" w:eastAsia="仿宋"/>
          <w:b w:val="0"/>
          <w:sz w:val="32"/>
          <w:szCs w:val="32"/>
        </w:rPr>
        <w:t>万元，完成预算100</w:t>
      </w:r>
      <w:r>
        <w:rPr>
          <w:rStyle w:val="14"/>
          <w:rFonts w:ascii="仿宋" w:hAnsi="仿宋" w:eastAsia="仿宋"/>
          <w:b w:val="0"/>
          <w:sz w:val="32"/>
          <w:szCs w:val="32"/>
        </w:rPr>
        <w:t>%</w:t>
      </w:r>
      <w:r>
        <w:rPr>
          <w:rStyle w:val="14"/>
          <w:rFonts w:hint="eastAsia" w:ascii="仿宋" w:hAnsi="仿宋" w:eastAsia="仿宋"/>
          <w:b w:val="0"/>
          <w:sz w:val="32"/>
          <w:szCs w:val="32"/>
        </w:rPr>
        <w:t>。</w:t>
      </w:r>
    </w:p>
    <w:p w14:paraId="6F791C3F">
      <w:pPr>
        <w:spacing w:line="600" w:lineRule="exact"/>
        <w:ind w:firstLine="640" w:firstLineChars="200"/>
        <w:rPr>
          <w:rStyle w:val="14"/>
          <w:rFonts w:hint="eastAsia" w:ascii="仿宋" w:hAnsi="仿宋" w:eastAsia="仿宋"/>
          <w:b w:val="0"/>
          <w:sz w:val="32"/>
          <w:szCs w:val="32"/>
        </w:rPr>
      </w:pPr>
      <w:r>
        <w:rPr>
          <w:rStyle w:val="14"/>
          <w:rFonts w:hint="eastAsia" w:ascii="仿宋" w:hAnsi="仿宋" w:eastAsia="仿宋"/>
          <w:b w:val="0"/>
          <w:sz w:val="32"/>
          <w:szCs w:val="32"/>
          <w:lang w:val="en-US" w:eastAsia="zh-CN"/>
        </w:rPr>
        <w:t>4</w:t>
      </w:r>
      <w:r>
        <w:rPr>
          <w:rStyle w:val="14"/>
          <w:rFonts w:ascii="仿宋" w:hAnsi="仿宋" w:eastAsia="仿宋"/>
          <w:b w:val="0"/>
          <w:sz w:val="32"/>
          <w:szCs w:val="32"/>
        </w:rPr>
        <w:t>.</w:t>
      </w:r>
      <w:r>
        <w:rPr>
          <w:rStyle w:val="14"/>
          <w:rFonts w:hint="eastAsia" w:ascii="仿宋" w:hAnsi="仿宋" w:eastAsia="仿宋"/>
          <w:b w:val="0"/>
          <w:sz w:val="32"/>
          <w:szCs w:val="32"/>
        </w:rPr>
        <w:t>社会保障和就业（208）行政事业单位养老支出（05）机关事业单位基本养老保险缴费支出（05）:支出决算为21.91万元，完成预算100</w:t>
      </w:r>
      <w:r>
        <w:rPr>
          <w:rStyle w:val="14"/>
          <w:rFonts w:ascii="仿宋" w:hAnsi="仿宋" w:eastAsia="仿宋"/>
          <w:b w:val="0"/>
          <w:sz w:val="32"/>
          <w:szCs w:val="32"/>
        </w:rPr>
        <w:t>%</w:t>
      </w:r>
      <w:r>
        <w:rPr>
          <w:rStyle w:val="14"/>
          <w:rFonts w:hint="eastAsia" w:ascii="仿宋" w:hAnsi="仿宋" w:eastAsia="仿宋"/>
          <w:b w:val="0"/>
          <w:sz w:val="32"/>
          <w:szCs w:val="32"/>
        </w:rPr>
        <w:t>。</w:t>
      </w:r>
    </w:p>
    <w:p w14:paraId="434876C0">
      <w:pPr>
        <w:spacing w:line="600" w:lineRule="exact"/>
        <w:ind w:firstLine="640" w:firstLineChars="200"/>
        <w:rPr>
          <w:rStyle w:val="14"/>
          <w:rFonts w:ascii="仿宋" w:hAnsi="仿宋" w:eastAsia="仿宋"/>
          <w:b w:val="0"/>
          <w:sz w:val="32"/>
          <w:szCs w:val="32"/>
        </w:rPr>
      </w:pPr>
      <w:r>
        <w:rPr>
          <w:rStyle w:val="14"/>
          <w:rFonts w:hint="eastAsia" w:ascii="仿宋" w:hAnsi="仿宋" w:eastAsia="仿宋"/>
          <w:b w:val="0"/>
          <w:sz w:val="32"/>
          <w:szCs w:val="32"/>
          <w:lang w:val="en-US" w:eastAsia="zh-CN"/>
        </w:rPr>
        <w:t>5.</w:t>
      </w:r>
      <w:r>
        <w:rPr>
          <w:rStyle w:val="14"/>
          <w:rFonts w:hint="eastAsia" w:ascii="仿宋" w:hAnsi="仿宋" w:eastAsia="仿宋"/>
          <w:b w:val="0"/>
          <w:sz w:val="32"/>
          <w:szCs w:val="32"/>
        </w:rPr>
        <w:t>社会保障和就业（208）行政事业单位养老支出（05）其他行政事业单位养老支出（</w:t>
      </w:r>
      <w:r>
        <w:rPr>
          <w:rStyle w:val="14"/>
          <w:rFonts w:hint="eastAsia" w:ascii="仿宋" w:hAnsi="仿宋" w:eastAsia="仿宋"/>
          <w:b w:val="0"/>
          <w:sz w:val="32"/>
          <w:szCs w:val="32"/>
          <w:lang w:val="en-US" w:eastAsia="zh-CN"/>
        </w:rPr>
        <w:t>99</w:t>
      </w:r>
      <w:r>
        <w:rPr>
          <w:rStyle w:val="14"/>
          <w:rFonts w:hint="eastAsia" w:ascii="仿宋" w:hAnsi="仿宋" w:eastAsia="仿宋"/>
          <w:b w:val="0"/>
          <w:sz w:val="32"/>
          <w:szCs w:val="32"/>
        </w:rPr>
        <w:t>）:支出决算为3.53万元，完成预算100</w:t>
      </w:r>
      <w:r>
        <w:rPr>
          <w:rStyle w:val="14"/>
          <w:rFonts w:ascii="仿宋" w:hAnsi="仿宋" w:eastAsia="仿宋"/>
          <w:b w:val="0"/>
          <w:sz w:val="32"/>
          <w:szCs w:val="32"/>
        </w:rPr>
        <w:t>%</w:t>
      </w:r>
      <w:r>
        <w:rPr>
          <w:rStyle w:val="14"/>
          <w:rFonts w:hint="eastAsia" w:ascii="仿宋" w:hAnsi="仿宋" w:eastAsia="仿宋"/>
          <w:b w:val="0"/>
          <w:sz w:val="32"/>
          <w:szCs w:val="32"/>
        </w:rPr>
        <w:t>。</w:t>
      </w:r>
    </w:p>
    <w:p w14:paraId="3B7B29FD">
      <w:pPr>
        <w:spacing w:line="600" w:lineRule="exact"/>
        <w:ind w:firstLine="420" w:firstLineChars="200"/>
        <w:rPr>
          <w:rFonts w:hint="default" w:eastAsia="仿宋"/>
          <w:lang w:val="en-US" w:eastAsia="zh-CN"/>
        </w:rPr>
      </w:pPr>
      <w:r>
        <w:rPr>
          <w:rFonts w:hint="eastAsia" w:eastAsia="仿宋"/>
          <w:lang w:val="en-US" w:eastAsia="zh-CN"/>
        </w:rPr>
        <w:t xml:space="preserve">  </w:t>
      </w:r>
      <w:r>
        <w:rPr>
          <w:rFonts w:hint="eastAsia" w:ascii="仿宋" w:hAnsi="仿宋" w:eastAsia="仿宋" w:cs="仿宋"/>
          <w:sz w:val="32"/>
          <w:szCs w:val="32"/>
          <w:lang w:val="en-US" w:eastAsia="zh-CN"/>
        </w:rPr>
        <w:t>6.</w:t>
      </w:r>
      <w:r>
        <w:rPr>
          <w:rStyle w:val="14"/>
          <w:rFonts w:hint="eastAsia" w:ascii="仿宋" w:hAnsi="仿宋" w:eastAsia="仿宋"/>
          <w:b w:val="0"/>
          <w:sz w:val="32"/>
          <w:szCs w:val="32"/>
        </w:rPr>
        <w:t>社会保障和就业（208）其他社会保障和就业支出（</w:t>
      </w:r>
      <w:r>
        <w:rPr>
          <w:rStyle w:val="14"/>
          <w:rFonts w:hint="eastAsia" w:ascii="仿宋" w:hAnsi="仿宋" w:eastAsia="仿宋"/>
          <w:b w:val="0"/>
          <w:sz w:val="32"/>
          <w:szCs w:val="32"/>
          <w:lang w:val="en-US" w:eastAsia="zh-CN"/>
        </w:rPr>
        <w:t>99</w:t>
      </w:r>
      <w:r>
        <w:rPr>
          <w:rStyle w:val="14"/>
          <w:rFonts w:hint="eastAsia" w:ascii="仿宋" w:hAnsi="仿宋" w:eastAsia="仿宋"/>
          <w:b w:val="0"/>
          <w:sz w:val="32"/>
          <w:szCs w:val="32"/>
        </w:rPr>
        <w:t>）其他社会保障和就业支出（</w:t>
      </w:r>
      <w:r>
        <w:rPr>
          <w:rStyle w:val="14"/>
          <w:rFonts w:hint="eastAsia" w:ascii="仿宋" w:hAnsi="仿宋" w:eastAsia="仿宋"/>
          <w:b w:val="0"/>
          <w:sz w:val="32"/>
          <w:szCs w:val="32"/>
          <w:lang w:val="en-US" w:eastAsia="zh-CN"/>
        </w:rPr>
        <w:t>99</w:t>
      </w:r>
      <w:r>
        <w:rPr>
          <w:rStyle w:val="14"/>
          <w:rFonts w:hint="eastAsia" w:ascii="仿宋" w:hAnsi="仿宋" w:eastAsia="仿宋"/>
          <w:b w:val="0"/>
          <w:sz w:val="32"/>
          <w:szCs w:val="32"/>
        </w:rPr>
        <w:t>）:支出决算为1.49万元，完成预算100</w:t>
      </w:r>
      <w:r>
        <w:rPr>
          <w:rStyle w:val="14"/>
          <w:rFonts w:ascii="仿宋" w:hAnsi="仿宋" w:eastAsia="仿宋"/>
          <w:b w:val="0"/>
          <w:sz w:val="32"/>
          <w:szCs w:val="32"/>
        </w:rPr>
        <w:t>%</w:t>
      </w:r>
      <w:r>
        <w:rPr>
          <w:rStyle w:val="14"/>
          <w:rFonts w:hint="eastAsia" w:ascii="仿宋" w:hAnsi="仿宋" w:eastAsia="仿宋"/>
          <w:b w:val="0"/>
          <w:sz w:val="32"/>
          <w:szCs w:val="32"/>
        </w:rPr>
        <w:t>。</w:t>
      </w:r>
    </w:p>
    <w:p w14:paraId="2958184D">
      <w:pPr>
        <w:pStyle w:val="5"/>
        <w:spacing w:before="93"/>
        <w:ind w:firstLine="640" w:firstLineChars="200"/>
        <w:rPr>
          <w:rStyle w:val="14"/>
          <w:rFonts w:ascii="仿宋" w:hAnsi="仿宋" w:eastAsia="仿宋"/>
          <w:b w:val="0"/>
          <w:sz w:val="32"/>
          <w:szCs w:val="32"/>
        </w:rPr>
      </w:pPr>
      <w:r>
        <w:rPr>
          <w:rStyle w:val="14"/>
          <w:rFonts w:hint="eastAsia" w:ascii="仿宋" w:hAnsi="仿宋" w:eastAsia="仿宋"/>
          <w:b w:val="0"/>
          <w:sz w:val="32"/>
          <w:szCs w:val="32"/>
          <w:lang w:val="en-US" w:eastAsia="zh-CN"/>
        </w:rPr>
        <w:t>7</w:t>
      </w:r>
      <w:r>
        <w:rPr>
          <w:rStyle w:val="14"/>
          <w:rFonts w:ascii="仿宋" w:hAnsi="仿宋" w:eastAsia="仿宋"/>
          <w:b w:val="0"/>
          <w:sz w:val="32"/>
          <w:szCs w:val="32"/>
        </w:rPr>
        <w:t>.</w:t>
      </w:r>
      <w:r>
        <w:rPr>
          <w:rFonts w:hint="eastAsia" w:ascii="仿宋" w:hAnsi="仿宋" w:eastAsia="仿宋"/>
          <w:sz w:val="32"/>
          <w:szCs w:val="32"/>
        </w:rPr>
        <w:t>卫生健康支出</w:t>
      </w:r>
      <w:r>
        <w:rPr>
          <w:rStyle w:val="14"/>
          <w:rFonts w:hint="eastAsia" w:ascii="仿宋" w:hAnsi="仿宋" w:eastAsia="仿宋"/>
          <w:b w:val="0"/>
          <w:sz w:val="32"/>
          <w:szCs w:val="32"/>
        </w:rPr>
        <w:t>（2</w:t>
      </w:r>
      <w:r>
        <w:rPr>
          <w:rStyle w:val="14"/>
          <w:rFonts w:ascii="仿宋" w:hAnsi="仿宋" w:eastAsia="仿宋"/>
          <w:b w:val="0"/>
          <w:sz w:val="32"/>
          <w:szCs w:val="32"/>
        </w:rPr>
        <w:t>10</w:t>
      </w:r>
      <w:r>
        <w:rPr>
          <w:rStyle w:val="14"/>
          <w:rFonts w:hint="eastAsia" w:ascii="仿宋" w:hAnsi="仿宋" w:eastAsia="仿宋"/>
          <w:b w:val="0"/>
          <w:sz w:val="32"/>
          <w:szCs w:val="32"/>
        </w:rPr>
        <w:t>）行政事业单位医疗（1</w:t>
      </w:r>
      <w:r>
        <w:rPr>
          <w:rStyle w:val="14"/>
          <w:rFonts w:ascii="仿宋" w:hAnsi="仿宋" w:eastAsia="仿宋"/>
          <w:b w:val="0"/>
          <w:sz w:val="32"/>
          <w:szCs w:val="32"/>
        </w:rPr>
        <w:t>1</w:t>
      </w:r>
      <w:r>
        <w:rPr>
          <w:rStyle w:val="14"/>
          <w:rFonts w:hint="eastAsia" w:ascii="仿宋" w:hAnsi="仿宋" w:eastAsia="仿宋"/>
          <w:b w:val="0"/>
          <w:sz w:val="32"/>
          <w:szCs w:val="32"/>
        </w:rPr>
        <w:t>）事业单位医疗（0</w:t>
      </w:r>
      <w:r>
        <w:rPr>
          <w:rStyle w:val="14"/>
          <w:rFonts w:ascii="仿宋" w:hAnsi="仿宋" w:eastAsia="仿宋"/>
          <w:b w:val="0"/>
          <w:sz w:val="32"/>
          <w:szCs w:val="32"/>
        </w:rPr>
        <w:t>2</w:t>
      </w:r>
      <w:r>
        <w:rPr>
          <w:rStyle w:val="14"/>
          <w:rFonts w:hint="eastAsia" w:ascii="仿宋" w:hAnsi="仿宋" w:eastAsia="仿宋"/>
          <w:b w:val="0"/>
          <w:sz w:val="32"/>
          <w:szCs w:val="32"/>
        </w:rPr>
        <w:t>）</w:t>
      </w:r>
      <w:r>
        <w:rPr>
          <w:rStyle w:val="14"/>
          <w:rFonts w:ascii="仿宋" w:hAnsi="仿宋" w:eastAsia="仿宋"/>
          <w:b w:val="0"/>
          <w:sz w:val="32"/>
          <w:szCs w:val="32"/>
        </w:rPr>
        <w:t>:</w:t>
      </w:r>
      <w:r>
        <w:rPr>
          <w:rStyle w:val="14"/>
          <w:rFonts w:hint="eastAsia" w:ascii="仿宋" w:hAnsi="仿宋" w:eastAsia="仿宋"/>
          <w:b w:val="0"/>
          <w:sz w:val="32"/>
          <w:szCs w:val="32"/>
        </w:rPr>
        <w:t>支出决算为18.30万元，完成预算100</w:t>
      </w:r>
      <w:r>
        <w:rPr>
          <w:rStyle w:val="14"/>
          <w:rFonts w:ascii="仿宋" w:hAnsi="仿宋" w:eastAsia="仿宋"/>
          <w:b w:val="0"/>
          <w:sz w:val="32"/>
          <w:szCs w:val="32"/>
        </w:rPr>
        <w:t>%</w:t>
      </w:r>
      <w:r>
        <w:rPr>
          <w:rStyle w:val="14"/>
          <w:rFonts w:hint="eastAsia" w:ascii="仿宋" w:hAnsi="仿宋" w:eastAsia="仿宋"/>
          <w:b w:val="0"/>
          <w:sz w:val="32"/>
          <w:szCs w:val="32"/>
        </w:rPr>
        <w:t>。</w:t>
      </w:r>
    </w:p>
    <w:p w14:paraId="3E684169">
      <w:pPr>
        <w:spacing w:line="600" w:lineRule="exact"/>
        <w:ind w:firstLine="640" w:firstLineChars="200"/>
        <w:rPr>
          <w:rFonts w:ascii="仿宋" w:hAnsi="仿宋" w:eastAsia="仿宋"/>
          <w:sz w:val="32"/>
          <w:szCs w:val="32"/>
        </w:rPr>
      </w:pPr>
      <w:r>
        <w:rPr>
          <w:rStyle w:val="14"/>
          <w:rFonts w:hint="eastAsia" w:ascii="仿宋" w:hAnsi="仿宋" w:eastAsia="仿宋"/>
          <w:b w:val="0"/>
          <w:sz w:val="32"/>
          <w:szCs w:val="40"/>
          <w:lang w:val="en-US" w:eastAsia="zh-CN"/>
        </w:rPr>
        <w:t>8</w:t>
      </w:r>
      <w:r>
        <w:rPr>
          <w:rStyle w:val="14"/>
          <w:rFonts w:ascii="仿宋" w:hAnsi="仿宋" w:eastAsia="仿宋"/>
          <w:b w:val="0"/>
          <w:sz w:val="32"/>
          <w:szCs w:val="40"/>
        </w:rPr>
        <w:t>.</w:t>
      </w:r>
      <w:r>
        <w:rPr>
          <w:rStyle w:val="14"/>
          <w:rFonts w:hint="eastAsia" w:ascii="仿宋" w:hAnsi="仿宋" w:eastAsia="仿宋"/>
          <w:b w:val="0"/>
          <w:sz w:val="32"/>
          <w:szCs w:val="40"/>
        </w:rPr>
        <w:t>住房保障支出（221）住房改革支出（02）住房公积金（01）:</w:t>
      </w:r>
      <w:r>
        <w:rPr>
          <w:rFonts w:hint="eastAsia" w:ascii="仿宋" w:hAnsi="仿宋" w:eastAsia="仿宋"/>
          <w:sz w:val="32"/>
          <w:szCs w:val="32"/>
        </w:rPr>
        <w:t>支出决算为30.51万元，完成预算100%。</w:t>
      </w:r>
    </w:p>
    <w:p w14:paraId="11A05EDF">
      <w:pPr>
        <w:tabs>
          <w:tab w:val="right" w:pos="8306"/>
        </w:tabs>
        <w:spacing w:line="600" w:lineRule="exact"/>
        <w:ind w:firstLine="640"/>
        <w:outlineLvl w:val="1"/>
        <w:rPr>
          <w:rStyle w:val="26"/>
        </w:rPr>
      </w:pPr>
      <w:bookmarkStart w:id="53" w:name="_Toc15377214"/>
      <w:bookmarkStart w:id="54" w:name="_Toc21484"/>
      <w:bookmarkStart w:id="5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53"/>
      <w:bookmarkEnd w:id="54"/>
      <w:bookmarkEnd w:id="55"/>
      <w:r>
        <w:rPr>
          <w:rStyle w:val="26"/>
          <w:rFonts w:ascii="黑体" w:hAnsi="黑体" w:eastAsia="黑体"/>
          <w:b w:val="0"/>
        </w:rPr>
        <w:tab/>
      </w:r>
    </w:p>
    <w:p w14:paraId="0FE25828">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val="0"/>
          <w:bCs/>
          <w:sz w:val="32"/>
          <w:szCs w:val="32"/>
        </w:rPr>
        <w:t>445.09</w:t>
      </w:r>
      <w:r>
        <w:rPr>
          <w:rFonts w:hint="eastAsia" w:ascii="仿宋" w:hAnsi="仿宋" w:eastAsia="仿宋"/>
          <w:sz w:val="32"/>
          <w:szCs w:val="32"/>
        </w:rPr>
        <w:t>万元，其中：</w:t>
      </w:r>
    </w:p>
    <w:p w14:paraId="5E8C1B69">
      <w:pPr>
        <w:spacing w:line="600" w:lineRule="exact"/>
        <w:ind w:firstLine="645"/>
        <w:rPr>
          <w:rFonts w:ascii="仿宋" w:hAnsi="仿宋" w:eastAsia="仿宋"/>
          <w:sz w:val="32"/>
          <w:szCs w:val="32"/>
        </w:rPr>
      </w:pPr>
      <w:r>
        <w:rPr>
          <w:rFonts w:hint="eastAsia" w:ascii="仿宋" w:hAnsi="仿宋" w:eastAsia="仿宋"/>
          <w:sz w:val="32"/>
          <w:szCs w:val="32"/>
        </w:rPr>
        <w:t>人员经</w:t>
      </w:r>
      <w:r>
        <w:rPr>
          <w:rFonts w:hint="eastAsia" w:ascii="仿宋" w:hAnsi="仿宋" w:eastAsia="仿宋"/>
          <w:b/>
          <w:bCs/>
          <w:sz w:val="32"/>
          <w:szCs w:val="32"/>
        </w:rPr>
        <w:t>费</w:t>
      </w:r>
      <w:r>
        <w:rPr>
          <w:rFonts w:ascii="仿宋" w:hAnsi="仿宋" w:eastAsia="仿宋"/>
          <w:b w:val="0"/>
          <w:bCs w:val="0"/>
          <w:sz w:val="32"/>
          <w:szCs w:val="32"/>
        </w:rPr>
        <w:t>381.59</w:t>
      </w:r>
      <w:r>
        <w:rPr>
          <w:rFonts w:hint="eastAsia" w:ascii="仿宋" w:hAnsi="仿宋" w:eastAsia="仿宋"/>
          <w:b/>
          <w:bCs/>
          <w:sz w:val="32"/>
          <w:szCs w:val="32"/>
        </w:rPr>
        <w:t>万</w:t>
      </w:r>
      <w:r>
        <w:rPr>
          <w:rFonts w:hint="eastAsia" w:ascii="仿宋" w:hAnsi="仿宋" w:eastAsia="仿宋"/>
          <w:sz w:val="32"/>
          <w:szCs w:val="32"/>
        </w:rPr>
        <w:t>元，主要包括：基本工资106.68万元、津贴补贴18.80万元、绩效工资76.26万元、机关事业单位基本养老保险缴费21.91万元、职工基本医疗保险缴费18.30万元、其他社会保障缴费</w:t>
      </w:r>
      <w:r>
        <w:rPr>
          <w:rFonts w:hint="eastAsia" w:ascii="仿宋" w:hAnsi="仿宋" w:eastAsia="仿宋"/>
          <w:sz w:val="32"/>
          <w:szCs w:val="32"/>
          <w:lang w:val="en-US" w:eastAsia="zh-CN"/>
        </w:rPr>
        <w:t>1.49万元、</w:t>
      </w:r>
      <w:r>
        <w:rPr>
          <w:rFonts w:hint="eastAsia" w:ascii="仿宋" w:hAnsi="仿宋" w:eastAsia="仿宋"/>
          <w:sz w:val="32"/>
          <w:szCs w:val="32"/>
        </w:rPr>
        <w:t>其他工资福利支出97.80万元、退休费</w:t>
      </w:r>
      <w:r>
        <w:rPr>
          <w:rFonts w:hint="eastAsia" w:ascii="仿宋" w:hAnsi="仿宋" w:eastAsia="仿宋"/>
          <w:sz w:val="32"/>
          <w:szCs w:val="32"/>
          <w:lang w:val="en-US" w:eastAsia="zh-CN"/>
        </w:rPr>
        <w:t>6.28万元、</w:t>
      </w:r>
      <w:r>
        <w:rPr>
          <w:rFonts w:hint="eastAsia" w:ascii="仿宋" w:hAnsi="仿宋" w:eastAsia="仿宋"/>
          <w:sz w:val="32"/>
          <w:szCs w:val="32"/>
        </w:rPr>
        <w:t>生活补助3.53万元、奖励金0.02万元、住房公积金30.51万元。</w:t>
      </w:r>
    </w:p>
    <w:p w14:paraId="7CF420BD">
      <w:pPr>
        <w:spacing w:line="600" w:lineRule="exact"/>
        <w:ind w:firstLine="645"/>
        <w:rPr>
          <w:rFonts w:ascii="仿宋" w:hAnsi="仿宋" w:eastAsia="仿宋"/>
          <w:b/>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63.5</w:t>
      </w:r>
      <w:r>
        <w:rPr>
          <w:rFonts w:hint="eastAsia" w:ascii="仿宋" w:hAnsi="仿宋" w:eastAsia="仿宋"/>
          <w:sz w:val="32"/>
          <w:szCs w:val="32"/>
        </w:rPr>
        <w:t>万元，主要包括：办公费</w:t>
      </w:r>
      <w:r>
        <w:rPr>
          <w:rFonts w:hint="eastAsia" w:ascii="仿宋" w:hAnsi="仿宋" w:eastAsia="仿宋"/>
          <w:sz w:val="32"/>
          <w:szCs w:val="32"/>
          <w:lang w:val="en-US" w:eastAsia="zh-CN"/>
        </w:rPr>
        <w:t>4.98</w:t>
      </w:r>
      <w:r>
        <w:rPr>
          <w:rFonts w:hint="eastAsia" w:ascii="仿宋" w:hAnsi="仿宋" w:eastAsia="仿宋"/>
          <w:sz w:val="32"/>
          <w:szCs w:val="32"/>
        </w:rPr>
        <w:t>万元、水费0.37万元、电费1.46万元、邮电费0.88万元、物业管理费7.96万元、差旅费5.40万元、维修（护）费3.07万元、培训费0.16万元、劳务费15.21万元、工会经费4.52万元、福利费4.54万元、其他商品和服务支出14.38万元</w:t>
      </w:r>
      <w:r>
        <w:rPr>
          <w:rFonts w:hint="eastAsia" w:ascii="仿宋" w:hAnsi="仿宋" w:eastAsia="仿宋"/>
          <w:sz w:val="32"/>
          <w:szCs w:val="32"/>
          <w:lang w:eastAsia="zh-CN"/>
        </w:rPr>
        <w:t>、</w:t>
      </w:r>
      <w:r>
        <w:rPr>
          <w:rFonts w:hint="eastAsia" w:ascii="仿宋" w:hAnsi="仿宋" w:eastAsia="仿宋"/>
          <w:sz w:val="32"/>
          <w:szCs w:val="32"/>
        </w:rPr>
        <w:t>办公设备购置</w:t>
      </w:r>
      <w:r>
        <w:rPr>
          <w:rFonts w:hint="eastAsia" w:ascii="仿宋" w:hAnsi="仿宋" w:eastAsia="仿宋"/>
          <w:sz w:val="32"/>
          <w:szCs w:val="32"/>
          <w:lang w:val="en-US" w:eastAsia="zh-CN"/>
        </w:rPr>
        <w:t>0.56万元</w:t>
      </w:r>
      <w:r>
        <w:rPr>
          <w:rFonts w:hint="eastAsia" w:ascii="仿宋" w:hAnsi="仿宋" w:eastAsia="仿宋"/>
          <w:sz w:val="32"/>
          <w:szCs w:val="32"/>
        </w:rPr>
        <w:t>。</w:t>
      </w:r>
    </w:p>
    <w:p w14:paraId="322D6D72">
      <w:pPr>
        <w:spacing w:line="600" w:lineRule="exact"/>
        <w:ind w:firstLine="640"/>
        <w:outlineLvl w:val="1"/>
        <w:rPr>
          <w:rStyle w:val="26"/>
          <w:rFonts w:ascii="黑体" w:hAnsi="黑体" w:eastAsia="黑体"/>
          <w:b w:val="0"/>
        </w:rPr>
      </w:pPr>
      <w:bookmarkStart w:id="56" w:name="_Toc15377215"/>
      <w:bookmarkStart w:id="57" w:name="_Toc15396609"/>
      <w:bookmarkStart w:id="58" w:name="_Toc9808"/>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56"/>
      <w:bookmarkEnd w:id="57"/>
      <w:bookmarkEnd w:id="58"/>
    </w:p>
    <w:p w14:paraId="5AE6D237">
      <w:pPr>
        <w:spacing w:line="600" w:lineRule="exact"/>
        <w:ind w:firstLine="640"/>
        <w:outlineLvl w:val="2"/>
        <w:rPr>
          <w:rFonts w:ascii="仿宋" w:hAnsi="仿宋" w:eastAsia="仿宋"/>
          <w:b/>
          <w:sz w:val="32"/>
          <w:szCs w:val="32"/>
        </w:rPr>
      </w:pPr>
      <w:bookmarkStart w:id="59" w:name="_Toc15377216"/>
      <w:r>
        <w:rPr>
          <w:rFonts w:hint="eastAsia" w:ascii="仿宋" w:hAnsi="仿宋" w:eastAsia="仿宋"/>
          <w:b/>
          <w:sz w:val="32"/>
          <w:szCs w:val="32"/>
        </w:rPr>
        <w:t>（一）“三公”经费财政拨款支出决算总体情况说明</w:t>
      </w:r>
      <w:bookmarkEnd w:id="59"/>
    </w:p>
    <w:p w14:paraId="541DCF6D">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年“三公”经费财政拨款支出决算为0万元。</w:t>
      </w:r>
    </w:p>
    <w:p w14:paraId="6DDDEC7D">
      <w:pPr>
        <w:spacing w:line="600" w:lineRule="exact"/>
        <w:ind w:firstLine="640"/>
        <w:outlineLvl w:val="2"/>
        <w:rPr>
          <w:rFonts w:ascii="仿宋" w:hAnsi="仿宋" w:eastAsia="仿宋"/>
          <w:b/>
          <w:sz w:val="32"/>
          <w:szCs w:val="32"/>
        </w:rPr>
      </w:pPr>
      <w:bookmarkStart w:id="60" w:name="_Toc15377217"/>
      <w:r>
        <w:rPr>
          <w:rFonts w:hint="eastAsia" w:ascii="仿宋" w:hAnsi="仿宋" w:eastAsia="仿宋"/>
          <w:b/>
          <w:sz w:val="32"/>
          <w:szCs w:val="32"/>
        </w:rPr>
        <w:t>（二）“三公”经费财政拨款支出决算具体情况说明</w:t>
      </w:r>
      <w:bookmarkEnd w:id="60"/>
    </w:p>
    <w:p w14:paraId="03F1EDBF">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14:paraId="19FA63F3">
      <w:pPr>
        <w:ind w:firstLine="641"/>
        <w:jc w:val="center"/>
        <w:rPr>
          <w:rFonts w:ascii="仿宋_GB2312" w:eastAsia="仿宋_GB2312"/>
          <w:b/>
          <w:sz w:val="32"/>
          <w:szCs w:val="32"/>
        </w:rPr>
      </w:pPr>
      <w:r>
        <w:drawing>
          <wp:inline distT="0" distB="0" distL="114300" distR="114300">
            <wp:extent cx="4342130" cy="2743200"/>
            <wp:effectExtent l="4445" t="4445" r="6350" b="5080"/>
            <wp:docPr id="2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A8C5158">
      <w:pPr>
        <w:ind w:firstLine="641"/>
        <w:jc w:val="center"/>
        <w:rPr>
          <w:rFonts w:hint="eastAsia" w:ascii="仿宋" w:hAnsi="仿宋" w:eastAsia="仿宋"/>
          <w:sz w:val="32"/>
          <w:szCs w:val="32"/>
        </w:rPr>
      </w:pPr>
      <w:r>
        <w:rPr>
          <w:rFonts w:hint="eastAsia" w:ascii="仿宋" w:hAnsi="仿宋" w:eastAsia="仿宋"/>
          <w:sz w:val="32"/>
          <w:szCs w:val="32"/>
        </w:rPr>
        <w:t>（图7：“三公”经费财政拨款支出结构）</w:t>
      </w:r>
    </w:p>
    <w:p w14:paraId="53327596">
      <w:pPr>
        <w:pStyle w:val="5"/>
      </w:pPr>
    </w:p>
    <w:p w14:paraId="513AC936">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年持平。</w:t>
      </w:r>
    </w:p>
    <w:p w14:paraId="50876D1E">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年持平。</w:t>
      </w:r>
    </w:p>
    <w:p w14:paraId="08033DB9">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14:paraId="65FCE623">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公务用车运行维护费支出0</w:t>
      </w:r>
      <w:r>
        <w:rPr>
          <w:rFonts w:hint="eastAsia" w:ascii="仿宋_GB2312" w:eastAsia="仿宋_GB2312"/>
          <w:sz w:val="32"/>
          <w:szCs w:val="32"/>
        </w:rPr>
        <w:t>万元。</w:t>
      </w:r>
    </w:p>
    <w:p w14:paraId="56C85591">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年持平。其中：</w:t>
      </w:r>
    </w:p>
    <w:p w14:paraId="4D009597">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万元，国内公务接待0批次，0人次（不包括陪同人员），共计支出0万元。</w:t>
      </w:r>
    </w:p>
    <w:p w14:paraId="7820073B">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p>
    <w:p w14:paraId="31C65C0A">
      <w:pPr>
        <w:spacing w:line="600" w:lineRule="exact"/>
        <w:ind w:firstLine="640"/>
        <w:outlineLvl w:val="1"/>
        <w:rPr>
          <w:rStyle w:val="26"/>
          <w:rFonts w:ascii="黑体" w:hAnsi="黑体" w:eastAsia="黑体"/>
        </w:rPr>
      </w:pPr>
      <w:bookmarkStart w:id="61" w:name="_Toc15377218"/>
      <w:bookmarkStart w:id="62" w:name="_Toc10844"/>
      <w:bookmarkStart w:id="63" w:name="_Toc15396610"/>
      <w:r>
        <w:rPr>
          <w:rFonts w:hint="eastAsia" w:ascii="黑体" w:eastAsia="黑体"/>
          <w:sz w:val="32"/>
          <w:szCs w:val="32"/>
        </w:rPr>
        <w:t>八、</w:t>
      </w:r>
      <w:r>
        <w:rPr>
          <w:rStyle w:val="26"/>
          <w:rFonts w:hint="eastAsia" w:ascii="黑体" w:hAnsi="黑体" w:eastAsia="黑体"/>
          <w:b w:val="0"/>
        </w:rPr>
        <w:t>政府性基金预算支出决算情况说明</w:t>
      </w:r>
      <w:bookmarkEnd w:id="61"/>
      <w:bookmarkEnd w:id="62"/>
      <w:bookmarkEnd w:id="63"/>
    </w:p>
    <w:p w14:paraId="46952116">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年政府性基金预算财政拨款支出0万元。</w:t>
      </w:r>
    </w:p>
    <w:p w14:paraId="12AEC2DE">
      <w:pPr>
        <w:numPr>
          <w:ilvl w:val="0"/>
          <w:numId w:val="4"/>
        </w:numPr>
        <w:spacing w:line="600" w:lineRule="exact"/>
        <w:ind w:firstLine="640"/>
        <w:outlineLvl w:val="1"/>
        <w:rPr>
          <w:rStyle w:val="26"/>
          <w:rFonts w:ascii="黑体" w:hAnsi="黑体" w:eastAsia="黑体"/>
          <w:b w:val="0"/>
        </w:rPr>
      </w:pPr>
      <w:bookmarkStart w:id="64" w:name="_Toc1214"/>
      <w:bookmarkStart w:id="65" w:name="_Toc15396611"/>
      <w:bookmarkStart w:id="66" w:name="_Toc15377219"/>
      <w:r>
        <w:rPr>
          <w:rStyle w:val="26"/>
          <w:rFonts w:hint="eastAsia" w:ascii="黑体" w:hAnsi="黑体" w:eastAsia="黑体"/>
          <w:b w:val="0"/>
        </w:rPr>
        <w:t>国有资本经营预算支出决算情况说明</w:t>
      </w:r>
      <w:bookmarkEnd w:id="64"/>
      <w:bookmarkEnd w:id="65"/>
      <w:bookmarkEnd w:id="66"/>
    </w:p>
    <w:p w14:paraId="0483C2E5">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年国有资本经营预算财政拨款支出0万元。</w:t>
      </w:r>
    </w:p>
    <w:p w14:paraId="5E03EF02">
      <w:pPr>
        <w:numPr>
          <w:ilvl w:val="0"/>
          <w:numId w:val="4"/>
        </w:numPr>
        <w:spacing w:line="600" w:lineRule="exact"/>
        <w:ind w:firstLine="640"/>
        <w:outlineLvl w:val="1"/>
        <w:rPr>
          <w:rStyle w:val="26"/>
          <w:rFonts w:ascii="黑体" w:hAnsi="黑体" w:eastAsia="黑体"/>
          <w:b w:val="0"/>
        </w:rPr>
      </w:pPr>
      <w:bookmarkStart w:id="67" w:name="_Toc15396612"/>
      <w:bookmarkStart w:id="68" w:name="_Toc31091"/>
      <w:bookmarkStart w:id="69" w:name="_Toc15377221"/>
      <w:r>
        <w:rPr>
          <w:rStyle w:val="26"/>
          <w:rFonts w:hint="eastAsia" w:ascii="黑体" w:hAnsi="黑体" w:eastAsia="黑体"/>
          <w:b w:val="0"/>
        </w:rPr>
        <w:t>其他重要事项的情况说明</w:t>
      </w:r>
      <w:bookmarkEnd w:id="67"/>
      <w:bookmarkEnd w:id="68"/>
      <w:bookmarkEnd w:id="69"/>
    </w:p>
    <w:p w14:paraId="11221D10">
      <w:pPr>
        <w:spacing w:line="600" w:lineRule="exact"/>
        <w:ind w:firstLine="643" w:firstLineChars="200"/>
        <w:outlineLvl w:val="2"/>
        <w:rPr>
          <w:rFonts w:ascii="仿宋" w:hAnsi="仿宋" w:eastAsia="仿宋"/>
          <w:sz w:val="32"/>
          <w:szCs w:val="32"/>
        </w:rPr>
      </w:pPr>
      <w:bookmarkStart w:id="70" w:name="_Toc15377222"/>
      <w:r>
        <w:rPr>
          <w:rFonts w:hint="eastAsia" w:ascii="仿宋" w:hAnsi="仿宋" w:eastAsia="仿宋"/>
          <w:b/>
          <w:sz w:val="32"/>
          <w:szCs w:val="32"/>
        </w:rPr>
        <w:t>（一）机关运行经费支出情况</w:t>
      </w:r>
      <w:bookmarkEnd w:id="70"/>
    </w:p>
    <w:p w14:paraId="31508D75">
      <w:pPr>
        <w:spacing w:line="600" w:lineRule="exact"/>
        <w:ind w:firstLine="640" w:firstLineChars="200"/>
        <w:rPr>
          <w:rFonts w:ascii="仿宋" w:hAnsi="仿宋" w:eastAsia="仿宋"/>
          <w:b/>
          <w:sz w:val="32"/>
          <w:szCs w:val="32"/>
        </w:rPr>
      </w:pPr>
      <w:r>
        <w:rPr>
          <w:rFonts w:hint="eastAsia" w:ascii="仿宋_GB2312" w:eastAsia="仿宋_GB2312"/>
          <w:sz w:val="32"/>
          <w:szCs w:val="32"/>
        </w:rPr>
        <w:t>我单位为事业单位（学校），执行政府会计制度，无机关运行经费。</w:t>
      </w:r>
    </w:p>
    <w:p w14:paraId="75764B9C">
      <w:pPr>
        <w:autoSpaceDE w:val="0"/>
        <w:autoSpaceDN w:val="0"/>
        <w:adjustRightInd w:val="0"/>
        <w:spacing w:line="600" w:lineRule="exact"/>
        <w:ind w:firstLine="643" w:firstLineChars="200"/>
        <w:jc w:val="left"/>
        <w:outlineLvl w:val="2"/>
        <w:rPr>
          <w:rFonts w:ascii="仿宋" w:hAnsi="仿宋" w:eastAsia="仿宋"/>
          <w:b/>
          <w:sz w:val="32"/>
          <w:szCs w:val="32"/>
        </w:rPr>
      </w:pPr>
      <w:bookmarkStart w:id="71" w:name="_Toc15377223"/>
      <w:r>
        <w:rPr>
          <w:rFonts w:hint="eastAsia" w:ascii="仿宋" w:hAnsi="仿宋" w:eastAsia="仿宋"/>
          <w:b/>
          <w:sz w:val="32"/>
          <w:szCs w:val="32"/>
        </w:rPr>
        <w:t>（二）政府采购支出情况</w:t>
      </w:r>
      <w:bookmarkEnd w:id="71"/>
    </w:p>
    <w:p w14:paraId="209518CA">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年，大竹县特殊教育学校政府采购支出总额</w:t>
      </w:r>
      <w:r>
        <w:rPr>
          <w:rFonts w:ascii="仿宋_GB2312" w:eastAsia="仿宋_GB2312"/>
          <w:sz w:val="32"/>
          <w:szCs w:val="32"/>
        </w:rPr>
        <w:t>0</w:t>
      </w:r>
      <w:r>
        <w:rPr>
          <w:rFonts w:hint="eastAsia" w:ascii="仿宋_GB2312" w:eastAsia="仿宋_GB2312"/>
          <w:sz w:val="32"/>
          <w:szCs w:val="32"/>
        </w:rPr>
        <w:t>万元。</w:t>
      </w:r>
    </w:p>
    <w:p w14:paraId="7FF208BB">
      <w:pPr>
        <w:autoSpaceDE w:val="0"/>
        <w:autoSpaceDN w:val="0"/>
        <w:adjustRightInd w:val="0"/>
        <w:spacing w:line="600" w:lineRule="exact"/>
        <w:ind w:firstLine="643" w:firstLineChars="200"/>
        <w:jc w:val="left"/>
        <w:outlineLvl w:val="2"/>
        <w:rPr>
          <w:rFonts w:ascii="仿宋" w:hAnsi="仿宋" w:eastAsia="仿宋"/>
          <w:b/>
          <w:sz w:val="32"/>
          <w:szCs w:val="32"/>
        </w:rPr>
      </w:pPr>
      <w:bookmarkStart w:id="72" w:name="_Toc15377224"/>
      <w:r>
        <w:rPr>
          <w:rFonts w:hint="eastAsia" w:ascii="仿宋" w:hAnsi="仿宋" w:eastAsia="仿宋"/>
          <w:b/>
          <w:sz w:val="32"/>
          <w:szCs w:val="32"/>
        </w:rPr>
        <w:t>（三）国有资产占有使用情况</w:t>
      </w:r>
      <w:bookmarkEnd w:id="72"/>
    </w:p>
    <w:p w14:paraId="5E62A5CE">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日，大竹县特殊教育学校共有车辆</w:t>
      </w:r>
      <w:r>
        <w:rPr>
          <w:rFonts w:ascii="仿宋_GB2312" w:eastAsia="仿宋_GB2312"/>
          <w:sz w:val="32"/>
          <w:szCs w:val="32"/>
        </w:rPr>
        <w:t>0</w:t>
      </w:r>
      <w:r>
        <w:rPr>
          <w:rFonts w:hint="eastAsia" w:ascii="仿宋_GB2312" w:eastAsia="仿宋_GB2312"/>
          <w:sz w:val="32"/>
          <w:szCs w:val="32"/>
        </w:rPr>
        <w:t>辆，其中：主要领导干部用车</w:t>
      </w:r>
      <w:r>
        <w:rPr>
          <w:rFonts w:ascii="仿宋_GB2312" w:eastAsia="仿宋_GB2312"/>
          <w:sz w:val="32"/>
          <w:szCs w:val="32"/>
        </w:rPr>
        <w:t>0</w:t>
      </w:r>
      <w:r>
        <w:rPr>
          <w:rFonts w:hint="eastAsia" w:ascii="仿宋_GB2312" w:eastAsia="仿宋_GB2312"/>
          <w:sz w:val="32"/>
          <w:szCs w:val="32"/>
        </w:rPr>
        <w:t>辆、机要通信用车</w:t>
      </w:r>
      <w:r>
        <w:rPr>
          <w:rFonts w:ascii="仿宋_GB2312" w:eastAsia="仿宋_GB2312"/>
          <w:sz w:val="32"/>
          <w:szCs w:val="32"/>
        </w:rPr>
        <w:t>0</w:t>
      </w:r>
      <w:r>
        <w:rPr>
          <w:rFonts w:hint="eastAsia" w:ascii="仿宋_GB2312" w:eastAsia="仿宋_GB2312"/>
          <w:sz w:val="32"/>
          <w:szCs w:val="32"/>
        </w:rPr>
        <w:t>辆、应急保障用车</w:t>
      </w:r>
      <w:r>
        <w:rPr>
          <w:rFonts w:ascii="仿宋_GB2312" w:eastAsia="仿宋_GB2312"/>
          <w:sz w:val="32"/>
          <w:szCs w:val="32"/>
        </w:rPr>
        <w:t>0</w:t>
      </w:r>
      <w:r>
        <w:rPr>
          <w:rFonts w:hint="eastAsia" w:ascii="仿宋_GB2312" w:eastAsia="仿宋_GB2312"/>
          <w:sz w:val="32"/>
          <w:szCs w:val="32"/>
        </w:rPr>
        <w:t>辆、其他用车</w:t>
      </w:r>
      <w:r>
        <w:rPr>
          <w:rFonts w:ascii="仿宋_GB2312" w:eastAsia="仿宋_GB2312"/>
          <w:sz w:val="32"/>
          <w:szCs w:val="32"/>
        </w:rPr>
        <w:t>0</w:t>
      </w:r>
      <w:r>
        <w:rPr>
          <w:rFonts w:hint="eastAsia" w:ascii="仿宋_GB2312" w:eastAsia="仿宋_GB2312"/>
          <w:sz w:val="32"/>
          <w:szCs w:val="32"/>
        </w:rPr>
        <w:t>辆.单价</w:t>
      </w:r>
      <w:r>
        <w:rPr>
          <w:rFonts w:ascii="仿宋_GB2312" w:eastAsia="仿宋_GB2312"/>
          <w:sz w:val="32"/>
          <w:szCs w:val="32"/>
        </w:rPr>
        <w:t>50</w:t>
      </w:r>
      <w:r>
        <w:rPr>
          <w:rFonts w:hint="eastAsia" w:ascii="仿宋_GB2312" w:eastAsia="仿宋_GB2312"/>
          <w:sz w:val="32"/>
          <w:szCs w:val="32"/>
        </w:rPr>
        <w:t>万元以上通用设备</w:t>
      </w:r>
      <w:r>
        <w:rPr>
          <w:rFonts w:ascii="仿宋_GB2312" w:eastAsia="仿宋_GB2312"/>
          <w:sz w:val="32"/>
          <w:szCs w:val="32"/>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ascii="仿宋_GB2312" w:eastAsia="仿宋_GB2312"/>
          <w:sz w:val="32"/>
          <w:szCs w:val="32"/>
        </w:rPr>
        <w:t>0</w:t>
      </w:r>
      <w:r>
        <w:rPr>
          <w:rFonts w:hint="eastAsia" w:ascii="仿宋_GB2312" w:eastAsia="仿宋_GB2312"/>
          <w:sz w:val="32"/>
          <w:szCs w:val="32"/>
        </w:rPr>
        <w:t>台（套）。</w:t>
      </w:r>
    </w:p>
    <w:p w14:paraId="64F809D9">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67882CE1">
      <w:pPr>
        <w:spacing w:line="580" w:lineRule="exact"/>
        <w:ind w:firstLine="640" w:firstLineChars="200"/>
        <w:rPr>
          <w:rFonts w:ascii="仿宋_GB2312" w:eastAsia="仿宋_GB2312"/>
          <w:b/>
          <w:sz w:val="32"/>
          <w:szCs w:val="32"/>
        </w:rPr>
      </w:pPr>
      <w:r>
        <w:rPr>
          <w:rFonts w:hint="eastAsia" w:ascii="仿宋_GB2312" w:hAnsi="仿宋_GB2312" w:eastAsia="仿宋_GB2312" w:cs="仿宋_GB2312"/>
          <w:sz w:val="32"/>
          <w:szCs w:val="32"/>
        </w:rPr>
        <w:t>根据预算绩效管理要求，本单位在202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年度预算编制阶段，组织对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个预算项目开展了预算事前绩效评估，对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个项目开展绩效监控，组织对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个预算项目开展绩效自评，绩效自评表详见第四部分附件。</w:t>
      </w:r>
    </w:p>
    <w:p w14:paraId="635A755D">
      <w:pPr>
        <w:pStyle w:val="5"/>
        <w:spacing w:before="93"/>
      </w:pPr>
    </w:p>
    <w:p w14:paraId="6552E791">
      <w:pPr>
        <w:widowControl/>
        <w:jc w:val="left"/>
        <w:rPr>
          <w:rFonts w:ascii="仿宋_GB2312" w:eastAsia="仿宋_GB2312"/>
          <w:b/>
          <w:sz w:val="32"/>
          <w:szCs w:val="32"/>
        </w:rPr>
      </w:pPr>
      <w:r>
        <w:rPr>
          <w:rFonts w:ascii="仿宋_GB2312" w:eastAsia="仿宋_GB2312"/>
          <w:b/>
          <w:sz w:val="32"/>
          <w:szCs w:val="32"/>
        </w:rPr>
        <w:br w:type="page"/>
      </w:r>
    </w:p>
    <w:p w14:paraId="1A273587">
      <w:pPr>
        <w:numPr>
          <w:ilvl w:val="0"/>
          <w:numId w:val="5"/>
        </w:numPr>
        <w:spacing w:line="600" w:lineRule="exact"/>
        <w:ind w:firstLine="660" w:firstLineChars="150"/>
        <w:jc w:val="center"/>
        <w:outlineLvl w:val="0"/>
        <w:rPr>
          <w:rStyle w:val="25"/>
          <w:rFonts w:ascii="黑体" w:hAnsi="黑体" w:eastAsia="黑体"/>
          <w:b w:val="0"/>
        </w:rPr>
      </w:pPr>
      <w:bookmarkStart w:id="73" w:name="_Toc15377225"/>
      <w:bookmarkStart w:id="74" w:name="_Toc10613"/>
      <w:bookmarkStart w:id="75" w:name="_Toc15396613"/>
      <w:r>
        <w:rPr>
          <w:rFonts w:hint="eastAsia" w:ascii="黑体" w:hAnsi="黑体" w:eastAsia="黑体"/>
          <w:sz w:val="44"/>
          <w:szCs w:val="44"/>
        </w:rPr>
        <w:t>名</w:t>
      </w:r>
      <w:r>
        <w:rPr>
          <w:rStyle w:val="25"/>
          <w:rFonts w:hint="eastAsia" w:ascii="黑体" w:hAnsi="黑体" w:eastAsia="黑体"/>
          <w:b w:val="0"/>
        </w:rPr>
        <w:t>词解释</w:t>
      </w:r>
      <w:bookmarkEnd w:id="73"/>
      <w:bookmarkEnd w:id="74"/>
      <w:bookmarkEnd w:id="75"/>
    </w:p>
    <w:p w14:paraId="4529E4A6">
      <w:pPr>
        <w:spacing w:line="600" w:lineRule="exact"/>
        <w:jc w:val="left"/>
        <w:rPr>
          <w:rFonts w:ascii="宋体"/>
          <w:b/>
          <w:sz w:val="44"/>
          <w:szCs w:val="44"/>
        </w:rPr>
      </w:pPr>
    </w:p>
    <w:p w14:paraId="0D4E4D40">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1.财政拨款收入：指单位从同级财政部门取得的财政预算资金。</w:t>
      </w:r>
    </w:p>
    <w:p w14:paraId="012CD9C2">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2.事业收入：指事业单位开展专业业务活动及辅助活动取得的收入。</w:t>
      </w:r>
    </w:p>
    <w:p w14:paraId="4FDA256A">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 xml:space="preserve">3.年初结转和结余：指以前年度尚未完成、结转到本年按有关规定继续使用的资金。 </w:t>
      </w:r>
    </w:p>
    <w:p w14:paraId="4AE5183B">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4.结余分配：指事业单位按照事业单位会计制度的规定从非财政补助结余中分配的事业基金和职工福利基金等。</w:t>
      </w:r>
    </w:p>
    <w:p w14:paraId="374BE16E">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5、年末结转和结余：指单位按有关规定结转到下年或以后年度继续使用的资金。</w:t>
      </w:r>
    </w:p>
    <w:p w14:paraId="6B4F291B">
      <w:pPr>
        <w:ind w:firstLine="640" w:firstLineChars="200"/>
        <w:rPr>
          <w:rFonts w:hint="eastAsia" w:ascii="仿宋_GB2312" w:hAnsi="Calibri" w:eastAsia="仿宋_GB2312" w:cs="仿宋"/>
          <w:kern w:val="0"/>
          <w:sz w:val="32"/>
          <w:szCs w:val="32"/>
        </w:rPr>
      </w:pPr>
      <w:r>
        <w:rPr>
          <w:rFonts w:hint="eastAsia" w:ascii="仿宋_GB2312" w:hAnsi="Calibri" w:eastAsia="仿宋_GB2312" w:cs="仿宋"/>
          <w:kern w:val="0"/>
          <w:sz w:val="32"/>
          <w:szCs w:val="32"/>
        </w:rPr>
        <w:t>6.教育（205）特殊教育（07）特殊学校教育（01）:指特殊学校教育取得的财政资金。</w:t>
      </w:r>
    </w:p>
    <w:p w14:paraId="307C5C11">
      <w:pPr>
        <w:pStyle w:val="5"/>
        <w:numPr>
          <w:ilvl w:val="0"/>
          <w:numId w:val="0"/>
        </w:numPr>
        <w:ind w:firstLine="640" w:firstLineChars="200"/>
        <w:rPr>
          <w:rFonts w:hint="eastAsia" w:ascii="仿宋_GB2312" w:hAnsi="Calibri" w:eastAsia="仿宋_GB2312" w:cs="仿宋"/>
          <w:kern w:val="0"/>
          <w:sz w:val="32"/>
          <w:szCs w:val="32"/>
        </w:rPr>
      </w:pPr>
      <w:r>
        <w:rPr>
          <w:rStyle w:val="14"/>
          <w:rFonts w:hint="eastAsia" w:ascii="仿宋" w:hAnsi="仿宋" w:eastAsia="仿宋"/>
          <w:b w:val="0"/>
          <w:sz w:val="32"/>
          <w:szCs w:val="32"/>
          <w:lang w:val="en-US" w:eastAsia="zh-CN"/>
        </w:rPr>
        <w:t>7</w:t>
      </w:r>
      <w:r>
        <w:rPr>
          <w:rStyle w:val="14"/>
          <w:rFonts w:hint="eastAsia" w:ascii="仿宋" w:hAnsi="仿宋" w:eastAsia="仿宋"/>
          <w:b w:val="0"/>
          <w:sz w:val="32"/>
          <w:szCs w:val="32"/>
        </w:rPr>
        <w:t>教育（205）其他教育（</w:t>
      </w:r>
      <w:r>
        <w:rPr>
          <w:rStyle w:val="14"/>
          <w:rFonts w:hint="eastAsia" w:ascii="仿宋" w:hAnsi="仿宋" w:eastAsia="仿宋"/>
          <w:b w:val="0"/>
          <w:sz w:val="32"/>
          <w:szCs w:val="32"/>
          <w:lang w:val="en-US" w:eastAsia="zh-CN"/>
        </w:rPr>
        <w:t>99</w:t>
      </w:r>
      <w:r>
        <w:rPr>
          <w:rStyle w:val="14"/>
          <w:rFonts w:hint="eastAsia" w:ascii="仿宋" w:hAnsi="仿宋" w:eastAsia="仿宋"/>
          <w:b w:val="0"/>
          <w:sz w:val="32"/>
          <w:szCs w:val="32"/>
        </w:rPr>
        <w:t>）其他教育（</w:t>
      </w:r>
      <w:r>
        <w:rPr>
          <w:rStyle w:val="14"/>
          <w:rFonts w:hint="eastAsia" w:ascii="仿宋" w:hAnsi="仿宋" w:eastAsia="仿宋"/>
          <w:b w:val="0"/>
          <w:sz w:val="32"/>
          <w:szCs w:val="32"/>
          <w:lang w:val="en-US" w:eastAsia="zh-CN"/>
        </w:rPr>
        <w:t>99</w:t>
      </w:r>
      <w:r>
        <w:rPr>
          <w:rStyle w:val="14"/>
          <w:rFonts w:hint="eastAsia" w:ascii="仿宋" w:hAnsi="仿宋" w:eastAsia="仿宋"/>
          <w:b w:val="0"/>
          <w:sz w:val="32"/>
          <w:szCs w:val="32"/>
        </w:rPr>
        <w:t>）</w:t>
      </w:r>
      <w:r>
        <w:rPr>
          <w:rStyle w:val="14"/>
          <w:rFonts w:ascii="仿宋" w:hAnsi="仿宋" w:eastAsia="仿宋"/>
          <w:b w:val="0"/>
          <w:sz w:val="32"/>
          <w:szCs w:val="32"/>
        </w:rPr>
        <w:t>:</w:t>
      </w:r>
      <w:r>
        <w:rPr>
          <w:rStyle w:val="14"/>
          <w:rFonts w:hint="eastAsia" w:ascii="仿宋" w:hAnsi="仿宋" w:eastAsia="仿宋"/>
          <w:b w:val="0"/>
          <w:sz w:val="32"/>
          <w:szCs w:val="32"/>
          <w:lang w:val="en-US" w:eastAsia="zh-CN"/>
        </w:rPr>
        <w:t>指其他教育</w:t>
      </w:r>
      <w:r>
        <w:rPr>
          <w:rFonts w:hint="eastAsia" w:ascii="仿宋_GB2312" w:hAnsi="Calibri" w:eastAsia="仿宋_GB2312" w:cs="仿宋"/>
          <w:kern w:val="0"/>
          <w:sz w:val="32"/>
          <w:szCs w:val="32"/>
        </w:rPr>
        <w:t>取得的财政资金</w:t>
      </w:r>
      <w:r>
        <w:rPr>
          <w:rFonts w:hint="eastAsia" w:hAnsi="Calibri" w:cs="仿宋"/>
          <w:kern w:val="0"/>
          <w:sz w:val="32"/>
          <w:szCs w:val="32"/>
          <w:lang w:eastAsia="zh-CN"/>
        </w:rPr>
        <w:t>。</w:t>
      </w:r>
    </w:p>
    <w:p w14:paraId="7BE53E2D">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8</w:t>
      </w:r>
      <w:r>
        <w:rPr>
          <w:rFonts w:hint="eastAsia" w:ascii="仿宋_GB2312" w:hAnsi="Calibri" w:eastAsia="仿宋_GB2312" w:cs="仿宋"/>
          <w:kern w:val="0"/>
          <w:sz w:val="32"/>
          <w:szCs w:val="32"/>
        </w:rPr>
        <w:t>. 社会保障和就业（208）行政事业单位养老支出（05）事业单位离退休（02）：反映事业单位的离退休经费。</w:t>
      </w:r>
    </w:p>
    <w:p w14:paraId="161E315D">
      <w:pPr>
        <w:ind w:firstLine="640" w:firstLineChars="200"/>
        <w:rPr>
          <w:rFonts w:hint="eastAsia"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9</w:t>
      </w:r>
      <w:r>
        <w:rPr>
          <w:rFonts w:hint="eastAsia" w:ascii="仿宋_GB2312" w:hAnsi="Calibri" w:eastAsia="仿宋_GB2312" w:cs="仿宋"/>
          <w:kern w:val="0"/>
          <w:sz w:val="32"/>
          <w:szCs w:val="32"/>
        </w:rPr>
        <w:t>. 社会保障和就业（208）行政事业单位养老支出（05）机关事业单位基本养老保险缴费支出（05）：反映机关事业单位实施养老保险制度由单位缴纳的基本养老保险费支出。</w:t>
      </w:r>
    </w:p>
    <w:p w14:paraId="2E873567">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rPr>
        <w:t xml:space="preserve"> </w:t>
      </w:r>
      <w:r>
        <w:rPr>
          <w:rFonts w:hint="eastAsia" w:ascii="仿宋_GB2312" w:hAnsi="Calibri" w:eastAsia="仿宋_GB2312" w:cs="仿宋"/>
          <w:color w:val="auto"/>
          <w:kern w:val="0"/>
          <w:sz w:val="32"/>
          <w:szCs w:val="32"/>
          <w:lang w:val="en-US" w:eastAsia="zh-CN"/>
        </w:rPr>
        <w:t>10.</w:t>
      </w:r>
      <w:r>
        <w:rPr>
          <w:rFonts w:hint="eastAsia" w:ascii="仿宋_GB2312" w:hAnsi="Calibri" w:eastAsia="仿宋_GB2312" w:cs="仿宋"/>
          <w:color w:val="auto"/>
          <w:kern w:val="0"/>
          <w:sz w:val="32"/>
          <w:szCs w:val="32"/>
        </w:rPr>
        <w:t>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其他</w:t>
      </w:r>
      <w:r>
        <w:rPr>
          <w:rFonts w:hint="eastAsia" w:ascii="仿宋_GB2312" w:hAnsi="Calibri" w:eastAsia="仿宋_GB2312" w:cs="仿宋"/>
          <w:color w:val="auto"/>
          <w:kern w:val="0"/>
          <w:sz w:val="32"/>
          <w:szCs w:val="32"/>
        </w:rPr>
        <w:t>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99</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反映除上述项目以外其他用于行政事业单位养老方面的支出</w:t>
      </w:r>
      <w:r>
        <w:rPr>
          <w:rFonts w:hint="eastAsia" w:ascii="仿宋_GB2312" w:hAnsi="Calibri" w:eastAsia="仿宋_GB2312" w:cs="仿宋"/>
          <w:color w:val="auto"/>
          <w:kern w:val="0"/>
          <w:sz w:val="32"/>
          <w:szCs w:val="32"/>
          <w:lang w:eastAsia="zh-CN"/>
        </w:rPr>
        <w:t>。</w:t>
      </w:r>
    </w:p>
    <w:p w14:paraId="5EE4095F">
      <w:pPr>
        <w:spacing w:line="600" w:lineRule="exact"/>
        <w:ind w:firstLine="640" w:firstLineChars="200"/>
      </w:pPr>
      <w:r>
        <w:rPr>
          <w:rStyle w:val="14"/>
          <w:rFonts w:hint="eastAsia" w:ascii="仿宋" w:hAnsi="仿宋" w:eastAsia="仿宋"/>
          <w:b w:val="0"/>
          <w:sz w:val="32"/>
          <w:szCs w:val="32"/>
          <w:lang w:val="en-US" w:eastAsia="zh-CN"/>
        </w:rPr>
        <w:t>11.</w:t>
      </w:r>
      <w:r>
        <w:rPr>
          <w:rStyle w:val="14"/>
          <w:rFonts w:hint="eastAsia" w:ascii="仿宋" w:hAnsi="仿宋" w:eastAsia="仿宋"/>
          <w:b w:val="0"/>
          <w:sz w:val="32"/>
          <w:szCs w:val="32"/>
        </w:rPr>
        <w:t>社会保障和就业（208）其他社会保障和就业支出（</w:t>
      </w:r>
      <w:r>
        <w:rPr>
          <w:rStyle w:val="14"/>
          <w:rFonts w:hint="eastAsia" w:ascii="仿宋" w:hAnsi="仿宋" w:eastAsia="仿宋"/>
          <w:b w:val="0"/>
          <w:sz w:val="32"/>
          <w:szCs w:val="32"/>
          <w:lang w:val="en-US" w:eastAsia="zh-CN"/>
        </w:rPr>
        <w:t>99</w:t>
      </w:r>
      <w:r>
        <w:rPr>
          <w:rStyle w:val="14"/>
          <w:rFonts w:hint="eastAsia" w:ascii="仿宋" w:hAnsi="仿宋" w:eastAsia="仿宋"/>
          <w:b w:val="0"/>
          <w:sz w:val="32"/>
          <w:szCs w:val="32"/>
        </w:rPr>
        <w:t>）其他社会保障和就业支出（</w:t>
      </w:r>
      <w:r>
        <w:rPr>
          <w:rStyle w:val="14"/>
          <w:rFonts w:hint="eastAsia" w:ascii="仿宋" w:hAnsi="仿宋" w:eastAsia="仿宋"/>
          <w:b w:val="0"/>
          <w:sz w:val="32"/>
          <w:szCs w:val="32"/>
          <w:lang w:val="en-US" w:eastAsia="zh-CN"/>
        </w:rPr>
        <w:t>99</w:t>
      </w:r>
      <w:r>
        <w:rPr>
          <w:rStyle w:val="14"/>
          <w:rFonts w:hint="eastAsia" w:ascii="仿宋" w:hAnsi="仿宋" w:eastAsia="仿宋"/>
          <w:b w:val="0"/>
          <w:sz w:val="32"/>
          <w:szCs w:val="32"/>
        </w:rPr>
        <w:t>）:</w:t>
      </w:r>
      <w:r>
        <w:rPr>
          <w:rStyle w:val="14"/>
          <w:rFonts w:hint="eastAsia" w:ascii="仿宋" w:hAnsi="仿宋" w:eastAsia="仿宋"/>
          <w:b w:val="0"/>
          <w:sz w:val="32"/>
          <w:szCs w:val="32"/>
          <w:lang w:val="en-US" w:eastAsia="zh-CN"/>
        </w:rPr>
        <w:t>反映用于其他社会保障和就业支出的资金。</w:t>
      </w:r>
    </w:p>
    <w:p w14:paraId="3654EC17">
      <w:pPr>
        <w:ind w:firstLine="640" w:firstLineChars="200"/>
      </w:pPr>
      <w:r>
        <w:rPr>
          <w:rFonts w:hint="eastAsia" w:ascii="仿宋_GB2312" w:hAnsi="Calibri" w:eastAsia="仿宋_GB2312" w:cs="仿宋"/>
          <w:kern w:val="0"/>
          <w:sz w:val="32"/>
          <w:szCs w:val="32"/>
          <w:lang w:val="en-US" w:eastAsia="zh-CN"/>
        </w:rPr>
        <w:t>12</w:t>
      </w:r>
      <w:r>
        <w:rPr>
          <w:rFonts w:hint="eastAsia" w:ascii="仿宋_GB2312" w:hAnsi="Calibri" w:eastAsia="仿宋_GB2312" w:cs="仿宋"/>
          <w:kern w:val="0"/>
          <w:sz w:val="32"/>
          <w:szCs w:val="32"/>
        </w:rPr>
        <w:t xml:space="preserve">. </w:t>
      </w:r>
      <w:r>
        <w:rPr>
          <w:rFonts w:hint="eastAsia" w:ascii="仿宋" w:hAnsi="仿宋" w:eastAsia="仿宋"/>
          <w:sz w:val="32"/>
          <w:szCs w:val="32"/>
        </w:rPr>
        <w:t>卫生健康支出（210）行政事业单位医疗（11）事业单位医疗（02）</w:t>
      </w:r>
      <w:r>
        <w:rPr>
          <w:rFonts w:hint="eastAsia" w:ascii="仿宋_GB2312" w:hAnsi="Calibri" w:eastAsia="仿宋_GB2312" w:cs="仿宋"/>
          <w:kern w:val="0"/>
          <w:sz w:val="32"/>
          <w:szCs w:val="32"/>
        </w:rPr>
        <w:t>：反映财政部门安排的事业单位基本医疗保险缴费经费，未参加医疗保险的事业单位的公费医疗经费，按国家规定享受离休人员待遇的医疗经费。</w:t>
      </w:r>
    </w:p>
    <w:p w14:paraId="2048FF7F">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w:t>
      </w:r>
      <w:r>
        <w:rPr>
          <w:rFonts w:hint="eastAsia" w:ascii="仿宋_GB2312" w:hAnsi="Calibri" w:eastAsia="仿宋_GB2312" w:cs="仿宋"/>
          <w:kern w:val="0"/>
          <w:sz w:val="32"/>
          <w:szCs w:val="32"/>
          <w:lang w:val="en-US" w:eastAsia="zh-CN"/>
        </w:rPr>
        <w:t>3</w:t>
      </w:r>
      <w:r>
        <w:rPr>
          <w:rFonts w:hint="eastAsia" w:ascii="仿宋_GB2312" w:hAnsi="Calibri" w:eastAsia="仿宋_GB2312" w:cs="仿宋"/>
          <w:kern w:val="0"/>
          <w:sz w:val="32"/>
          <w:szCs w:val="32"/>
        </w:rPr>
        <w:t>. 住房保障支出（221）住房改革支出（02）住房公积金（01）：反正行政事业单位按人力资源和社会保障部、财政部规定的基本工资和津贴补贴以及规定比例为职工缴纳的住房公积金。</w:t>
      </w:r>
    </w:p>
    <w:p w14:paraId="0A506D06">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w:t>
      </w:r>
      <w:r>
        <w:rPr>
          <w:rFonts w:hint="eastAsia" w:ascii="仿宋_GB2312" w:hAnsi="Calibri" w:eastAsia="仿宋_GB2312" w:cs="仿宋"/>
          <w:kern w:val="0"/>
          <w:sz w:val="32"/>
          <w:szCs w:val="32"/>
          <w:lang w:val="en-US" w:eastAsia="zh-CN"/>
        </w:rPr>
        <w:t>4</w:t>
      </w:r>
      <w:r>
        <w:rPr>
          <w:rFonts w:hint="eastAsia" w:ascii="仿宋_GB2312" w:hAnsi="Calibri" w:eastAsia="仿宋_GB2312" w:cs="仿宋"/>
          <w:kern w:val="0"/>
          <w:sz w:val="32"/>
          <w:szCs w:val="32"/>
        </w:rPr>
        <w:t>.基本支出：指为保障机构正常运转、完成日常工作任务而发生的人员支出和公用支出。</w:t>
      </w:r>
    </w:p>
    <w:p w14:paraId="5BFA801F">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w:t>
      </w:r>
      <w:r>
        <w:rPr>
          <w:rFonts w:hint="eastAsia" w:ascii="仿宋_GB2312" w:hAnsi="Calibri" w:eastAsia="仿宋_GB2312" w:cs="仿宋"/>
          <w:kern w:val="0"/>
          <w:sz w:val="32"/>
          <w:szCs w:val="32"/>
          <w:lang w:val="en-US" w:eastAsia="zh-CN"/>
        </w:rPr>
        <w:t>5</w:t>
      </w:r>
      <w:r>
        <w:rPr>
          <w:rFonts w:hint="eastAsia" w:ascii="仿宋_GB2312" w:hAnsi="Calibri" w:eastAsia="仿宋_GB2312" w:cs="仿宋"/>
          <w:kern w:val="0"/>
          <w:sz w:val="32"/>
          <w:szCs w:val="32"/>
        </w:rPr>
        <w:t xml:space="preserve">.项目支出：指在基本支出之外为完成特定行政任务和事业发展目标所发生的支出。 </w:t>
      </w:r>
    </w:p>
    <w:p w14:paraId="22DAA7EE">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w:t>
      </w:r>
      <w:r>
        <w:rPr>
          <w:rFonts w:hint="eastAsia" w:ascii="仿宋_GB2312" w:hAnsi="Calibri" w:eastAsia="仿宋_GB2312" w:cs="仿宋"/>
          <w:kern w:val="0"/>
          <w:sz w:val="32"/>
          <w:szCs w:val="32"/>
          <w:lang w:val="en-US" w:eastAsia="zh-CN"/>
        </w:rPr>
        <w:t>6</w:t>
      </w:r>
      <w:r>
        <w:rPr>
          <w:rFonts w:hint="eastAsia" w:ascii="仿宋_GB2312" w:hAnsi="Calibri" w:eastAsia="仿宋_GB2312" w:cs="仿宋"/>
          <w:kern w:val="0"/>
          <w:sz w:val="32"/>
          <w:szCs w:val="32"/>
        </w:rPr>
        <w:t>.经营支出：指事业单位在专业业务活动及其辅助活动之外开展非独立核算经营活动发生的支出。</w:t>
      </w:r>
    </w:p>
    <w:p w14:paraId="461DECE8">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w:t>
      </w:r>
      <w:r>
        <w:rPr>
          <w:rFonts w:hint="eastAsia" w:ascii="仿宋_GB2312" w:hAnsi="Calibri" w:eastAsia="仿宋_GB2312" w:cs="仿宋"/>
          <w:kern w:val="0"/>
          <w:sz w:val="32"/>
          <w:szCs w:val="32"/>
          <w:lang w:val="en-US" w:eastAsia="zh-CN"/>
        </w:rPr>
        <w:t>7</w:t>
      </w:r>
      <w:r>
        <w:rPr>
          <w:rFonts w:hint="eastAsia" w:ascii="仿宋_GB2312" w:hAnsi="Calibri" w:eastAsia="仿宋_GB2312" w:cs="仿宋"/>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DA4010E">
      <w:pPr>
        <w:spacing w:line="600" w:lineRule="exact"/>
        <w:ind w:firstLine="640"/>
        <w:rPr>
          <w:rFonts w:ascii="仿宋_GB2312" w:hAnsi="Calibri" w:eastAsia="仿宋_GB2312" w:cs="仿宋"/>
          <w:kern w:val="0"/>
          <w:sz w:val="32"/>
          <w:szCs w:val="32"/>
        </w:rPr>
      </w:pPr>
      <w:r>
        <w:rPr>
          <w:rFonts w:hint="eastAsia" w:ascii="仿宋_GB2312" w:hAnsi="Calibri" w:eastAsia="仿宋_GB2312" w:cs="仿宋"/>
          <w:kern w:val="0"/>
          <w:sz w:val="32"/>
          <w:szCs w:val="32"/>
        </w:rPr>
        <w:t>1</w:t>
      </w:r>
      <w:r>
        <w:rPr>
          <w:rFonts w:hint="eastAsia" w:ascii="仿宋_GB2312" w:hAnsi="Calibri" w:eastAsia="仿宋_GB2312" w:cs="仿宋"/>
          <w:kern w:val="0"/>
          <w:sz w:val="32"/>
          <w:szCs w:val="32"/>
          <w:lang w:val="en-US" w:eastAsia="zh-CN"/>
        </w:rPr>
        <w:t>8</w:t>
      </w:r>
      <w:r>
        <w:rPr>
          <w:rFonts w:hint="eastAsia" w:ascii="仿宋_GB2312" w:hAnsi="Calibri" w:eastAsia="仿宋_GB2312" w:cs="仿宋"/>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76" w:name="_Toc15396614"/>
      <w:bookmarkStart w:id="77" w:name="_Toc15377226"/>
    </w:p>
    <w:bookmarkEnd w:id="76"/>
    <w:p w14:paraId="663F1290">
      <w:pPr>
        <w:spacing w:line="600" w:lineRule="exact"/>
        <w:jc w:val="center"/>
        <w:outlineLvl w:val="0"/>
        <w:rPr>
          <w:rFonts w:ascii="黑体" w:hAnsi="黑体" w:eastAsia="黑体"/>
          <w:sz w:val="44"/>
          <w:szCs w:val="44"/>
        </w:rPr>
        <w:sectPr>
          <w:footerReference r:id="rId7" w:type="first"/>
          <w:footerReference r:id="rId6" w:type="default"/>
          <w:pgSz w:w="11906" w:h="16838"/>
          <w:pgMar w:top="1440" w:right="1800" w:bottom="1440" w:left="1800" w:header="851" w:footer="992" w:gutter="0"/>
          <w:pgNumType w:start="2"/>
          <w:cols w:space="0" w:num="1"/>
          <w:docGrid w:type="lines" w:linePitch="312" w:charSpace="0"/>
        </w:sectPr>
      </w:pPr>
      <w:bookmarkStart w:id="78" w:name="_Toc25087"/>
      <w:bookmarkStart w:id="79" w:name="_Toc15396618"/>
    </w:p>
    <w:p w14:paraId="683814EE">
      <w:pPr>
        <w:numPr>
          <w:ilvl w:val="0"/>
          <w:numId w:val="5"/>
        </w:numPr>
        <w:spacing w:line="600" w:lineRule="exact"/>
        <w:ind w:left="0" w:leftChars="0" w:firstLine="660" w:firstLineChars="150"/>
        <w:jc w:val="center"/>
        <w:outlineLvl w:val="0"/>
        <w:rPr>
          <w:rStyle w:val="25"/>
          <w:rFonts w:hint="eastAsia" w:ascii="黑体" w:hAnsi="黑体" w:eastAsia="黑体"/>
          <w:b w:val="0"/>
        </w:rPr>
      </w:pPr>
      <w:r>
        <w:rPr>
          <w:rStyle w:val="25"/>
          <w:rFonts w:hint="eastAsia" w:ascii="黑体" w:hAnsi="黑体" w:eastAsia="黑体"/>
          <w:b w:val="0"/>
        </w:rPr>
        <w:t>附件</w:t>
      </w:r>
      <w:bookmarkEnd w:id="78"/>
    </w:p>
    <w:p w14:paraId="6C68E5F6">
      <w:pPr>
        <w:numPr>
          <w:ilvl w:val="0"/>
          <w:numId w:val="0"/>
        </w:numPr>
        <w:spacing w:line="600" w:lineRule="exact"/>
        <w:ind w:leftChars="150"/>
        <w:jc w:val="both"/>
        <w:outlineLvl w:val="0"/>
        <w:rPr>
          <w:rStyle w:val="25"/>
          <w:rFonts w:hint="eastAsia" w:ascii="黑体" w:hAnsi="黑体" w:eastAsia="黑体"/>
          <w:b w:val="0"/>
        </w:rPr>
      </w:pPr>
    </w:p>
    <w:tbl>
      <w:tblPr>
        <w:tblStyle w:val="12"/>
        <w:tblW w:w="13343"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9"/>
        <w:gridCol w:w="1738"/>
        <w:gridCol w:w="1739"/>
        <w:gridCol w:w="2666"/>
        <w:gridCol w:w="1391"/>
        <w:gridCol w:w="1623"/>
        <w:gridCol w:w="1043"/>
        <w:gridCol w:w="795"/>
        <w:gridCol w:w="969"/>
      </w:tblGrid>
      <w:tr w14:paraId="7CB08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3343" w:type="dxa"/>
            <w:gridSpan w:val="9"/>
            <w:tcBorders>
              <w:top w:val="nil"/>
              <w:left w:val="nil"/>
              <w:bottom w:val="nil"/>
              <w:right w:val="nil"/>
            </w:tcBorders>
            <w:shd w:val="clear" w:color="auto" w:fill="auto"/>
            <w:vAlign w:val="center"/>
          </w:tcPr>
          <w:p w14:paraId="7F9E1252">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部门整体支出绩效目标完成情况自评表</w:t>
            </w:r>
          </w:p>
        </w:tc>
      </w:tr>
      <w:tr w14:paraId="56F3D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343" w:type="dxa"/>
            <w:gridSpan w:val="9"/>
            <w:tcBorders>
              <w:top w:val="nil"/>
              <w:left w:val="nil"/>
              <w:bottom w:val="nil"/>
              <w:right w:val="nil"/>
            </w:tcBorders>
            <w:shd w:val="clear" w:color="auto" w:fill="auto"/>
            <w:vAlign w:val="center"/>
          </w:tcPr>
          <w:p w14:paraId="28D36A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（2023年度）</w:t>
            </w:r>
          </w:p>
        </w:tc>
      </w:tr>
      <w:tr w14:paraId="6D2EF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343" w:type="dxa"/>
            <w:gridSpan w:val="9"/>
            <w:tcBorders>
              <w:top w:val="nil"/>
              <w:left w:val="nil"/>
              <w:bottom w:val="single" w:color="000000" w:sz="4" w:space="0"/>
              <w:right w:val="nil"/>
            </w:tcBorders>
            <w:shd w:val="clear" w:color="auto" w:fill="auto"/>
            <w:vAlign w:val="center"/>
          </w:tcPr>
          <w:p w14:paraId="30273FB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4C028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48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E17D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84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0E03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大竹县特殊教育学校部门</w:t>
            </w:r>
          </w:p>
        </w:tc>
      </w:tr>
      <w:tr w14:paraId="16894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32F9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053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4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CC5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4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2BF0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r>
      <w:tr w14:paraId="3DA11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0477F">
            <w:pPr>
              <w:jc w:val="center"/>
              <w:rPr>
                <w:rFonts w:hint="eastAsia" w:ascii="宋体" w:hAnsi="宋体" w:eastAsia="宋体" w:cs="宋体"/>
                <w:i w:val="0"/>
                <w:iCs w:val="0"/>
                <w:color w:val="000000"/>
                <w:sz w:val="18"/>
                <w:szCs w:val="18"/>
                <w:u w:val="none"/>
              </w:rPr>
            </w:pP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D358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1,182.79</w:t>
            </w:r>
          </w:p>
        </w:tc>
        <w:tc>
          <w:tcPr>
            <w:tcW w:w="4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3C59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1,182.79</w:t>
            </w:r>
            <w:bookmarkStart w:id="107" w:name="_GoBack"/>
            <w:bookmarkEnd w:id="107"/>
          </w:p>
        </w:tc>
        <w:tc>
          <w:tcPr>
            <w:tcW w:w="4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DFF82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66208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AB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1196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41170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保障三残适龄儿童的入学率；促进学生身心发展；提升教育教学水平；引领教师专业进步；营造和谐美丽校园。</w:t>
            </w:r>
          </w:p>
        </w:tc>
      </w:tr>
      <w:tr w14:paraId="4384A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5048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E2E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84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075F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14:paraId="1452F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FECD7">
            <w:pPr>
              <w:jc w:val="center"/>
              <w:rPr>
                <w:rFonts w:hint="eastAsia" w:ascii="宋体" w:hAnsi="宋体" w:eastAsia="宋体" w:cs="宋体"/>
                <w:i w:val="0"/>
                <w:iCs w:val="0"/>
                <w:color w:val="000000"/>
                <w:sz w:val="18"/>
                <w:szCs w:val="18"/>
                <w:u w:val="none"/>
              </w:rPr>
            </w:pP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7B1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学校建设</w:t>
            </w:r>
          </w:p>
        </w:tc>
        <w:tc>
          <w:tcPr>
            <w:tcW w:w="84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56A1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全面落实党的教育方针以及省市有关教育的政策，完成教育主管部门和同级政府部门下达的工作目标任务，确保三残儿童的入学率，确保我校各项工作顺利开展。</w:t>
            </w:r>
          </w:p>
        </w:tc>
      </w:tr>
      <w:tr w14:paraId="62EB3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4A06B">
            <w:pPr>
              <w:jc w:val="center"/>
              <w:rPr>
                <w:rFonts w:hint="eastAsia" w:ascii="宋体" w:hAnsi="宋体" w:eastAsia="宋体" w:cs="宋体"/>
                <w:i w:val="0"/>
                <w:iCs w:val="0"/>
                <w:color w:val="000000"/>
                <w:sz w:val="18"/>
                <w:szCs w:val="18"/>
                <w:u w:val="none"/>
              </w:rPr>
            </w:pP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966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教师队伍建设</w:t>
            </w:r>
          </w:p>
        </w:tc>
        <w:tc>
          <w:tcPr>
            <w:tcW w:w="84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DF7B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切实加强学校教师队伍建设，制定业务培训计划和教研计划，提高教学水平，加强师德建设，提升教师修养。 </w:t>
            </w:r>
          </w:p>
        </w:tc>
      </w:tr>
      <w:tr w14:paraId="10C34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1FC7B">
            <w:pPr>
              <w:jc w:val="center"/>
              <w:rPr>
                <w:rFonts w:hint="eastAsia" w:ascii="宋体" w:hAnsi="宋体" w:eastAsia="宋体" w:cs="宋体"/>
                <w:i w:val="0"/>
                <w:iCs w:val="0"/>
                <w:color w:val="000000"/>
                <w:sz w:val="18"/>
                <w:szCs w:val="18"/>
                <w:u w:val="none"/>
              </w:rPr>
            </w:pP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322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学生全面发展</w:t>
            </w:r>
          </w:p>
        </w:tc>
        <w:tc>
          <w:tcPr>
            <w:tcW w:w="84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F641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促进学生身心发展，帮助学生养成良好的行为习惯，培养学生的自理能力和适应社会的能力。</w:t>
            </w:r>
          </w:p>
        </w:tc>
      </w:tr>
      <w:tr w14:paraId="76209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B37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1C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95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DD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D3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绩效指标性质</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02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绩效指标值</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06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绩效度量单位</w:t>
            </w: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22F88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969" w:type="dxa"/>
            <w:tcBorders>
              <w:top w:val="single" w:color="000000" w:sz="4" w:space="0"/>
              <w:left w:val="single" w:color="auto" w:sz="4" w:space="0"/>
              <w:bottom w:val="single" w:color="000000" w:sz="4" w:space="0"/>
              <w:right w:val="single" w:color="000000" w:sz="4" w:space="0"/>
            </w:tcBorders>
            <w:shd w:val="clear" w:color="auto" w:fill="auto"/>
            <w:vAlign w:val="center"/>
          </w:tcPr>
          <w:p w14:paraId="3E61A51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实际完成指标值</w:t>
            </w:r>
          </w:p>
        </w:tc>
      </w:tr>
      <w:tr w14:paraId="62063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64004">
            <w:pPr>
              <w:jc w:val="center"/>
              <w:rPr>
                <w:rFonts w:hint="eastAsia" w:ascii="宋体" w:hAnsi="宋体" w:eastAsia="宋体" w:cs="宋体"/>
                <w:i w:val="0"/>
                <w:iCs w:val="0"/>
                <w:color w:val="000000"/>
                <w:sz w:val="18"/>
                <w:szCs w:val="18"/>
                <w:u w:val="none"/>
              </w:rPr>
            </w:pPr>
          </w:p>
        </w:tc>
        <w:tc>
          <w:tcPr>
            <w:tcW w:w="1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4E6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EDE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FE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每学期开展教育教研活动</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82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2E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67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38F7B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69" w:type="dxa"/>
            <w:tcBorders>
              <w:top w:val="single" w:color="000000" w:sz="4" w:space="0"/>
              <w:left w:val="single" w:color="auto" w:sz="4" w:space="0"/>
              <w:bottom w:val="single" w:color="000000" w:sz="4" w:space="0"/>
              <w:right w:val="single" w:color="000000" w:sz="4" w:space="0"/>
            </w:tcBorders>
            <w:shd w:val="clear" w:color="auto" w:fill="auto"/>
            <w:vAlign w:val="center"/>
          </w:tcPr>
          <w:p w14:paraId="7C330278">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w:t>
            </w:r>
          </w:p>
        </w:tc>
      </w:tr>
      <w:tr w14:paraId="01318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BC2DB">
            <w:pPr>
              <w:jc w:val="center"/>
              <w:rPr>
                <w:rFonts w:hint="eastAsia" w:ascii="宋体" w:hAnsi="宋体" w:eastAsia="宋体" w:cs="宋体"/>
                <w:i w:val="0"/>
                <w:iCs w:val="0"/>
                <w:color w:val="000000"/>
                <w:sz w:val="18"/>
                <w:szCs w:val="18"/>
                <w:u w:val="none"/>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063ED">
            <w:pPr>
              <w:jc w:val="left"/>
              <w:rPr>
                <w:rFonts w:hint="eastAsia" w:ascii="宋体" w:hAnsi="宋体" w:eastAsia="宋体" w:cs="宋体"/>
                <w:i w:val="0"/>
                <w:iCs w:val="0"/>
                <w:color w:val="000000"/>
                <w:sz w:val="18"/>
                <w:szCs w:val="18"/>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F2138">
            <w:pPr>
              <w:jc w:val="left"/>
              <w:rPr>
                <w:rFonts w:hint="eastAsia" w:ascii="宋体" w:hAnsi="宋体" w:eastAsia="宋体" w:cs="宋体"/>
                <w:i w:val="0"/>
                <w:iCs w:val="0"/>
                <w:color w:val="000000"/>
                <w:sz w:val="18"/>
                <w:szCs w:val="18"/>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7A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每学期开展课外实践活动次数</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67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2A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DA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3148F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69" w:type="dxa"/>
            <w:tcBorders>
              <w:top w:val="single" w:color="000000" w:sz="4" w:space="0"/>
              <w:left w:val="single" w:color="auto" w:sz="4" w:space="0"/>
              <w:bottom w:val="single" w:color="000000" w:sz="4" w:space="0"/>
              <w:right w:val="single" w:color="000000" w:sz="4" w:space="0"/>
            </w:tcBorders>
            <w:shd w:val="clear" w:color="auto" w:fill="auto"/>
            <w:vAlign w:val="center"/>
          </w:tcPr>
          <w:p w14:paraId="3220C6BC">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r>
      <w:tr w14:paraId="72B48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8C5E4">
            <w:pPr>
              <w:jc w:val="center"/>
              <w:rPr>
                <w:rFonts w:hint="eastAsia" w:ascii="宋体" w:hAnsi="宋体" w:eastAsia="宋体" w:cs="宋体"/>
                <w:i w:val="0"/>
                <w:iCs w:val="0"/>
                <w:color w:val="000000"/>
                <w:sz w:val="18"/>
                <w:szCs w:val="18"/>
                <w:u w:val="none"/>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AD7FB">
            <w:pPr>
              <w:jc w:val="left"/>
              <w:rPr>
                <w:rFonts w:hint="eastAsia" w:ascii="宋体" w:hAnsi="宋体" w:eastAsia="宋体" w:cs="宋体"/>
                <w:i w:val="0"/>
                <w:iCs w:val="0"/>
                <w:color w:val="000000"/>
                <w:sz w:val="18"/>
                <w:szCs w:val="18"/>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28D1A">
            <w:pPr>
              <w:jc w:val="left"/>
              <w:rPr>
                <w:rFonts w:hint="eastAsia" w:ascii="宋体" w:hAnsi="宋体" w:eastAsia="宋体" w:cs="宋体"/>
                <w:i w:val="0"/>
                <w:iCs w:val="0"/>
                <w:color w:val="000000"/>
                <w:sz w:val="18"/>
                <w:szCs w:val="18"/>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1E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每学期开展应急安全演练</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FC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88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3F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00F5F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69" w:type="dxa"/>
            <w:tcBorders>
              <w:top w:val="single" w:color="000000" w:sz="4" w:space="0"/>
              <w:left w:val="single" w:color="auto" w:sz="4" w:space="0"/>
              <w:bottom w:val="single" w:color="000000" w:sz="4" w:space="0"/>
              <w:right w:val="single" w:color="000000" w:sz="4" w:space="0"/>
            </w:tcBorders>
            <w:shd w:val="clear" w:color="auto" w:fill="auto"/>
            <w:vAlign w:val="center"/>
          </w:tcPr>
          <w:p w14:paraId="3C12C617">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r>
      <w:tr w14:paraId="4AA4E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AD535">
            <w:pPr>
              <w:jc w:val="center"/>
              <w:rPr>
                <w:rFonts w:hint="eastAsia" w:ascii="宋体" w:hAnsi="宋体" w:eastAsia="宋体" w:cs="宋体"/>
                <w:i w:val="0"/>
                <w:iCs w:val="0"/>
                <w:color w:val="000000"/>
                <w:sz w:val="18"/>
                <w:szCs w:val="18"/>
                <w:u w:val="none"/>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49C58">
            <w:pPr>
              <w:jc w:val="left"/>
              <w:rPr>
                <w:rFonts w:hint="eastAsia" w:ascii="宋体" w:hAnsi="宋体" w:eastAsia="宋体" w:cs="宋体"/>
                <w:i w:val="0"/>
                <w:iCs w:val="0"/>
                <w:color w:val="000000"/>
                <w:sz w:val="18"/>
                <w:szCs w:val="18"/>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32AEE">
            <w:pPr>
              <w:jc w:val="left"/>
              <w:rPr>
                <w:rFonts w:hint="eastAsia" w:ascii="宋体" w:hAnsi="宋体" w:eastAsia="宋体" w:cs="宋体"/>
                <w:i w:val="0"/>
                <w:iCs w:val="0"/>
                <w:color w:val="000000"/>
                <w:sz w:val="18"/>
                <w:szCs w:val="18"/>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53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辖区内适龄三残儿童入学率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2F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10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80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42654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69" w:type="dxa"/>
            <w:tcBorders>
              <w:top w:val="single" w:color="000000" w:sz="4" w:space="0"/>
              <w:left w:val="single" w:color="auto" w:sz="4" w:space="0"/>
              <w:bottom w:val="single" w:color="000000" w:sz="4" w:space="0"/>
              <w:right w:val="single" w:color="000000" w:sz="4" w:space="0"/>
            </w:tcBorders>
            <w:shd w:val="clear" w:color="auto" w:fill="auto"/>
            <w:vAlign w:val="center"/>
          </w:tcPr>
          <w:p w14:paraId="7B65C37B">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100</w:t>
            </w:r>
          </w:p>
        </w:tc>
      </w:tr>
      <w:tr w14:paraId="6FB1B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0A997">
            <w:pPr>
              <w:jc w:val="center"/>
              <w:rPr>
                <w:rFonts w:hint="eastAsia" w:ascii="宋体" w:hAnsi="宋体" w:eastAsia="宋体" w:cs="宋体"/>
                <w:i w:val="0"/>
                <w:iCs w:val="0"/>
                <w:color w:val="000000"/>
                <w:sz w:val="18"/>
                <w:szCs w:val="18"/>
                <w:u w:val="none"/>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B4A6D">
            <w:pPr>
              <w:jc w:val="left"/>
              <w:rPr>
                <w:rFonts w:hint="eastAsia" w:ascii="宋体" w:hAnsi="宋体" w:eastAsia="宋体" w:cs="宋体"/>
                <w:i w:val="0"/>
                <w:iCs w:val="0"/>
                <w:color w:val="000000"/>
                <w:sz w:val="18"/>
                <w:szCs w:val="18"/>
                <w:u w:val="none"/>
              </w:rPr>
            </w:pP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8E9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46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确保在校学生身心健康发展</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DF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E3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ADA7">
            <w:pPr>
              <w:jc w:val="lef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A37A4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69" w:type="dxa"/>
            <w:tcBorders>
              <w:top w:val="single" w:color="000000" w:sz="4" w:space="0"/>
              <w:left w:val="single" w:color="auto" w:sz="4" w:space="0"/>
              <w:bottom w:val="single" w:color="000000" w:sz="4" w:space="0"/>
              <w:right w:val="single" w:color="000000" w:sz="4" w:space="0"/>
            </w:tcBorders>
            <w:shd w:val="clear" w:color="auto" w:fill="auto"/>
            <w:vAlign w:val="center"/>
          </w:tcPr>
          <w:p w14:paraId="72134B41">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良</w:t>
            </w:r>
          </w:p>
        </w:tc>
      </w:tr>
      <w:tr w14:paraId="23B95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0DBEF">
            <w:pPr>
              <w:jc w:val="center"/>
              <w:rPr>
                <w:rFonts w:hint="eastAsia" w:ascii="宋体" w:hAnsi="宋体" w:eastAsia="宋体" w:cs="宋体"/>
                <w:i w:val="0"/>
                <w:iCs w:val="0"/>
                <w:color w:val="000000"/>
                <w:sz w:val="18"/>
                <w:szCs w:val="18"/>
                <w:u w:val="none"/>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AD2A0">
            <w:pPr>
              <w:jc w:val="left"/>
              <w:rPr>
                <w:rFonts w:hint="eastAsia" w:ascii="宋体" w:hAnsi="宋体" w:eastAsia="宋体" w:cs="宋体"/>
                <w:i w:val="0"/>
                <w:iCs w:val="0"/>
                <w:color w:val="000000"/>
                <w:sz w:val="18"/>
                <w:szCs w:val="18"/>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47CAC">
            <w:pPr>
              <w:jc w:val="left"/>
              <w:rPr>
                <w:rFonts w:hint="eastAsia" w:ascii="宋体" w:hAnsi="宋体" w:eastAsia="宋体" w:cs="宋体"/>
                <w:i w:val="0"/>
                <w:iCs w:val="0"/>
                <w:color w:val="000000"/>
                <w:sz w:val="18"/>
                <w:szCs w:val="18"/>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EC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安全事故发生率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0E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4F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FA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955A6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69" w:type="dxa"/>
            <w:tcBorders>
              <w:top w:val="single" w:color="000000" w:sz="4" w:space="0"/>
              <w:left w:val="single" w:color="auto" w:sz="4" w:space="0"/>
              <w:bottom w:val="single" w:color="000000" w:sz="4" w:space="0"/>
              <w:right w:val="single" w:color="000000" w:sz="4" w:space="0"/>
            </w:tcBorders>
            <w:shd w:val="clear" w:color="auto" w:fill="auto"/>
            <w:vAlign w:val="center"/>
          </w:tcPr>
          <w:p w14:paraId="11AE526B">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w:t>
            </w:r>
          </w:p>
        </w:tc>
      </w:tr>
      <w:tr w14:paraId="3CE18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1DDB5">
            <w:pPr>
              <w:jc w:val="center"/>
              <w:rPr>
                <w:rFonts w:hint="eastAsia" w:ascii="宋体" w:hAnsi="宋体" w:eastAsia="宋体" w:cs="宋体"/>
                <w:i w:val="0"/>
                <w:iCs w:val="0"/>
                <w:color w:val="000000"/>
                <w:sz w:val="18"/>
                <w:szCs w:val="18"/>
                <w:u w:val="none"/>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A10F7">
            <w:pPr>
              <w:jc w:val="left"/>
              <w:rPr>
                <w:rFonts w:hint="eastAsia" w:ascii="宋体" w:hAnsi="宋体" w:eastAsia="宋体" w:cs="宋体"/>
                <w:i w:val="0"/>
                <w:iCs w:val="0"/>
                <w:color w:val="000000"/>
                <w:sz w:val="18"/>
                <w:szCs w:val="18"/>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8E987">
            <w:pPr>
              <w:jc w:val="left"/>
              <w:rPr>
                <w:rFonts w:hint="eastAsia" w:ascii="宋体" w:hAnsi="宋体" w:eastAsia="宋体" w:cs="宋体"/>
                <w:i w:val="0"/>
                <w:iCs w:val="0"/>
                <w:color w:val="000000"/>
                <w:sz w:val="18"/>
                <w:szCs w:val="18"/>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CB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教育教学论文获县级以上名次</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2E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2F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5B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9A174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69" w:type="dxa"/>
            <w:tcBorders>
              <w:top w:val="single" w:color="000000" w:sz="4" w:space="0"/>
              <w:left w:val="single" w:color="auto" w:sz="4" w:space="0"/>
              <w:bottom w:val="single" w:color="000000" w:sz="4" w:space="0"/>
              <w:right w:val="single" w:color="000000" w:sz="4" w:space="0"/>
            </w:tcBorders>
            <w:shd w:val="clear" w:color="auto" w:fill="auto"/>
            <w:vAlign w:val="center"/>
          </w:tcPr>
          <w:p w14:paraId="080809CF">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p>
        </w:tc>
      </w:tr>
      <w:tr w14:paraId="2E8E2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2853B">
            <w:pPr>
              <w:jc w:val="center"/>
              <w:rPr>
                <w:rFonts w:hint="eastAsia" w:ascii="宋体" w:hAnsi="宋体" w:eastAsia="宋体" w:cs="宋体"/>
                <w:i w:val="0"/>
                <w:iCs w:val="0"/>
                <w:color w:val="000000"/>
                <w:sz w:val="18"/>
                <w:szCs w:val="18"/>
                <w:u w:val="none"/>
              </w:rPr>
            </w:pPr>
          </w:p>
        </w:tc>
        <w:tc>
          <w:tcPr>
            <w:tcW w:w="1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024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22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AA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维护学生合法权益</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1D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75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EBCE">
            <w:pPr>
              <w:jc w:val="lef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FBF0A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69" w:type="dxa"/>
            <w:tcBorders>
              <w:top w:val="single" w:color="000000" w:sz="4" w:space="0"/>
              <w:left w:val="single" w:color="auto" w:sz="4" w:space="0"/>
              <w:bottom w:val="single" w:color="000000" w:sz="4" w:space="0"/>
              <w:right w:val="single" w:color="000000" w:sz="4" w:space="0"/>
            </w:tcBorders>
            <w:shd w:val="clear" w:color="auto" w:fill="auto"/>
            <w:vAlign w:val="center"/>
          </w:tcPr>
          <w:p w14:paraId="410ECB04">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优</w:t>
            </w:r>
          </w:p>
        </w:tc>
      </w:tr>
      <w:tr w14:paraId="3C92C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993E8">
            <w:pPr>
              <w:jc w:val="center"/>
              <w:rPr>
                <w:rFonts w:hint="eastAsia" w:ascii="宋体" w:hAnsi="宋体" w:eastAsia="宋体" w:cs="宋体"/>
                <w:i w:val="0"/>
                <w:iCs w:val="0"/>
                <w:color w:val="000000"/>
                <w:sz w:val="18"/>
                <w:szCs w:val="18"/>
                <w:u w:val="none"/>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82EC3">
            <w:pPr>
              <w:jc w:val="left"/>
              <w:rPr>
                <w:rFonts w:hint="eastAsia" w:ascii="宋体" w:hAnsi="宋体" w:eastAsia="宋体" w:cs="宋体"/>
                <w:i w:val="0"/>
                <w:iCs w:val="0"/>
                <w:color w:val="000000"/>
                <w:sz w:val="18"/>
                <w:szCs w:val="18"/>
                <w:u w:val="none"/>
              </w:rPr>
            </w:pP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EE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1F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提高教师队伍的影响力</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72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7E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F24A">
            <w:pPr>
              <w:jc w:val="lef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268B3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69" w:type="dxa"/>
            <w:tcBorders>
              <w:top w:val="single" w:color="000000" w:sz="4" w:space="0"/>
              <w:left w:val="single" w:color="auto" w:sz="4" w:space="0"/>
              <w:bottom w:val="single" w:color="000000" w:sz="4" w:space="0"/>
              <w:right w:val="single" w:color="000000" w:sz="4" w:space="0"/>
            </w:tcBorders>
            <w:shd w:val="clear" w:color="auto" w:fill="auto"/>
            <w:vAlign w:val="center"/>
          </w:tcPr>
          <w:p w14:paraId="5F3090DD">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优</w:t>
            </w:r>
          </w:p>
        </w:tc>
      </w:tr>
      <w:tr w14:paraId="46F99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C53D4">
            <w:pPr>
              <w:jc w:val="center"/>
              <w:rPr>
                <w:rFonts w:hint="eastAsia" w:ascii="宋体" w:hAnsi="宋体" w:eastAsia="宋体" w:cs="宋体"/>
                <w:i w:val="0"/>
                <w:iCs w:val="0"/>
                <w:color w:val="000000"/>
                <w:sz w:val="18"/>
                <w:szCs w:val="18"/>
                <w:u w:val="none"/>
              </w:rPr>
            </w:pPr>
          </w:p>
        </w:tc>
        <w:tc>
          <w:tcPr>
            <w:tcW w:w="1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EFD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6C3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BA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学生满意度</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38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D7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D6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6A7C7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69" w:type="dxa"/>
            <w:tcBorders>
              <w:top w:val="single" w:color="000000" w:sz="4" w:space="0"/>
              <w:left w:val="single" w:color="auto" w:sz="4" w:space="0"/>
              <w:bottom w:val="single" w:color="000000" w:sz="4" w:space="0"/>
              <w:right w:val="single" w:color="000000" w:sz="4" w:space="0"/>
            </w:tcBorders>
            <w:shd w:val="clear" w:color="auto" w:fill="auto"/>
            <w:vAlign w:val="center"/>
          </w:tcPr>
          <w:p w14:paraId="33C8413E">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100</w:t>
            </w:r>
          </w:p>
        </w:tc>
      </w:tr>
      <w:tr w14:paraId="65379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6A79B">
            <w:pPr>
              <w:jc w:val="center"/>
              <w:rPr>
                <w:rFonts w:hint="eastAsia" w:ascii="宋体" w:hAnsi="宋体" w:eastAsia="宋体" w:cs="宋体"/>
                <w:i w:val="0"/>
                <w:iCs w:val="0"/>
                <w:color w:val="000000"/>
                <w:sz w:val="18"/>
                <w:szCs w:val="18"/>
                <w:u w:val="none"/>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5900D">
            <w:pPr>
              <w:jc w:val="left"/>
              <w:rPr>
                <w:rFonts w:hint="eastAsia" w:ascii="宋体" w:hAnsi="宋体" w:eastAsia="宋体" w:cs="宋体"/>
                <w:i w:val="0"/>
                <w:iCs w:val="0"/>
                <w:color w:val="000000"/>
                <w:sz w:val="18"/>
                <w:szCs w:val="18"/>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3806D">
            <w:pPr>
              <w:jc w:val="left"/>
              <w:rPr>
                <w:rFonts w:hint="eastAsia" w:ascii="宋体" w:hAnsi="宋体" w:eastAsia="宋体" w:cs="宋体"/>
                <w:i w:val="0"/>
                <w:iCs w:val="0"/>
                <w:color w:val="000000"/>
                <w:sz w:val="18"/>
                <w:szCs w:val="18"/>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B6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家长满意度</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00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19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0D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5C2B0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69" w:type="dxa"/>
            <w:tcBorders>
              <w:top w:val="single" w:color="000000" w:sz="4" w:space="0"/>
              <w:left w:val="single" w:color="auto" w:sz="4" w:space="0"/>
              <w:bottom w:val="single" w:color="000000" w:sz="4" w:space="0"/>
              <w:right w:val="single" w:color="000000" w:sz="4" w:space="0"/>
            </w:tcBorders>
            <w:shd w:val="clear" w:color="auto" w:fill="auto"/>
            <w:vAlign w:val="center"/>
          </w:tcPr>
          <w:p w14:paraId="5B2F9CE6">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100</w:t>
            </w:r>
          </w:p>
        </w:tc>
      </w:tr>
    </w:tbl>
    <w:p w14:paraId="3E3E5585">
      <w:pPr>
        <w:numPr>
          <w:ilvl w:val="0"/>
          <w:numId w:val="0"/>
        </w:numPr>
        <w:spacing w:line="600" w:lineRule="exact"/>
        <w:ind w:leftChars="150"/>
        <w:jc w:val="both"/>
        <w:outlineLvl w:val="0"/>
        <w:rPr>
          <w:rStyle w:val="25"/>
          <w:rFonts w:hint="eastAsia" w:ascii="黑体" w:hAnsi="黑体" w:eastAsia="黑体"/>
          <w:b w:val="0"/>
        </w:rPr>
      </w:pPr>
    </w:p>
    <w:tbl>
      <w:tblPr>
        <w:tblStyle w:val="12"/>
        <w:tblW w:w="13275"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0"/>
        <w:gridCol w:w="1862"/>
        <w:gridCol w:w="1615"/>
        <w:gridCol w:w="2061"/>
        <w:gridCol w:w="486"/>
        <w:gridCol w:w="1537"/>
        <w:gridCol w:w="756"/>
        <w:gridCol w:w="1018"/>
        <w:gridCol w:w="486"/>
        <w:gridCol w:w="486"/>
        <w:gridCol w:w="2328"/>
      </w:tblGrid>
      <w:tr w14:paraId="04703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32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3976270">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4475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048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70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CA2C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51172422T000005781355-营养餐</w:t>
            </w:r>
          </w:p>
        </w:tc>
      </w:tr>
      <w:tr w14:paraId="028BA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F90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3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9195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大竹县特殊教育学校部门</w:t>
            </w:r>
          </w:p>
        </w:tc>
        <w:tc>
          <w:tcPr>
            <w:tcW w:w="1027" w:type="dxa"/>
            <w:tcBorders>
              <w:top w:val="nil"/>
              <w:left w:val="nil"/>
              <w:bottom w:val="nil"/>
              <w:right w:val="nil"/>
            </w:tcBorders>
            <w:shd w:val="clear" w:color="auto" w:fill="auto"/>
            <w:vAlign w:val="center"/>
          </w:tcPr>
          <w:p w14:paraId="10B3B034">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3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14E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大竹县特殊教育学校</w:t>
            </w:r>
          </w:p>
        </w:tc>
      </w:tr>
      <w:tr w14:paraId="0A89D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62D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87A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3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B51E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C510C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2DD1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6CA28">
            <w:pPr>
              <w:rPr>
                <w:rFonts w:hint="eastAsia" w:ascii="宋体" w:hAnsi="宋体" w:eastAsia="宋体" w:cs="宋体"/>
                <w:i w:val="0"/>
                <w:iCs w:val="0"/>
                <w:color w:val="000000"/>
                <w:sz w:val="18"/>
                <w:szCs w:val="18"/>
                <w:u w:val="none"/>
              </w:rPr>
            </w:pP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19E40">
            <w:pPr>
              <w:rPr>
                <w:rFonts w:hint="eastAsia" w:ascii="宋体" w:hAnsi="宋体" w:eastAsia="宋体" w:cs="宋体"/>
                <w:i w:val="0"/>
                <w:iCs w:val="0"/>
                <w:color w:val="000000"/>
                <w:sz w:val="18"/>
                <w:szCs w:val="18"/>
                <w:u w:val="none"/>
              </w:rPr>
            </w:pPr>
          </w:p>
        </w:tc>
        <w:tc>
          <w:tcPr>
            <w:tcW w:w="63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4FD0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保障在校学生营养</w:t>
            </w:r>
          </w:p>
        </w:tc>
        <w:tc>
          <w:tcPr>
            <w:tcW w:w="4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4189C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保障在校学生营养</w:t>
            </w:r>
          </w:p>
        </w:tc>
      </w:tr>
      <w:tr w14:paraId="3DA77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091AD">
            <w:pPr>
              <w:rPr>
                <w:rFonts w:hint="eastAsia" w:ascii="宋体" w:hAnsi="宋体" w:eastAsia="宋体" w:cs="宋体"/>
                <w:i w:val="0"/>
                <w:iCs w:val="0"/>
                <w:color w:val="000000"/>
                <w:sz w:val="18"/>
                <w:szCs w:val="18"/>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A2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70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D08DB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保障在校学生营养</w:t>
            </w:r>
          </w:p>
        </w:tc>
      </w:tr>
      <w:tr w14:paraId="6AF63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527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77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3C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D0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74FF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D2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30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A7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01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77AB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10E84">
            <w:pPr>
              <w:jc w:val="center"/>
              <w:rPr>
                <w:rFonts w:hint="eastAsia" w:ascii="宋体" w:hAnsi="宋体" w:eastAsia="宋体" w:cs="宋体"/>
                <w:i w:val="0"/>
                <w:iCs w:val="0"/>
                <w:color w:val="000000"/>
                <w:sz w:val="18"/>
                <w:szCs w:val="18"/>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09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08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3.05</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8B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15.15</w:t>
            </w:r>
          </w:p>
        </w:tc>
        <w:tc>
          <w:tcPr>
            <w:tcW w:w="2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10B0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15.15</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55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1C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17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6E0BD">
            <w:pPr>
              <w:keepNext w:val="0"/>
              <w:keepLines w:val="0"/>
              <w:widowControl/>
              <w:suppressLineNumbers w:val="0"/>
              <w:jc w:val="left"/>
              <w:textAlignment w:val="center"/>
              <w:rPr>
                <w:rFonts w:hint="eastAsia" w:ascii="黑体" w:hAnsi="黑体" w:eastAsia="黑体" w:cs="黑体"/>
                <w:i w:val="0"/>
                <w:iCs w:val="0"/>
                <w:color w:val="000000"/>
                <w:sz w:val="18"/>
                <w:szCs w:val="18"/>
                <w:u w:val="single"/>
              </w:rPr>
            </w:pPr>
            <w:r>
              <w:rPr>
                <w:rFonts w:hint="eastAsia" w:ascii="黑体" w:hAnsi="黑体" w:eastAsia="黑体" w:cs="黑体"/>
                <w:i w:val="0"/>
                <w:iCs w:val="0"/>
                <w:color w:val="000000"/>
                <w:kern w:val="0"/>
                <w:sz w:val="18"/>
                <w:szCs w:val="18"/>
                <w:u w:val="singl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C246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1C87E">
            <w:pPr>
              <w:jc w:val="center"/>
              <w:rPr>
                <w:rFonts w:hint="eastAsia" w:ascii="宋体" w:hAnsi="宋体" w:eastAsia="宋体" w:cs="宋体"/>
                <w:i w:val="0"/>
                <w:iCs w:val="0"/>
                <w:color w:val="000000"/>
                <w:sz w:val="18"/>
                <w:szCs w:val="18"/>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9E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CC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3.05</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71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15.15</w:t>
            </w:r>
          </w:p>
        </w:tc>
        <w:tc>
          <w:tcPr>
            <w:tcW w:w="2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6863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15.15</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D7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BC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32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A8159">
            <w:pPr>
              <w:rPr>
                <w:rFonts w:hint="eastAsia" w:ascii="黑体" w:hAnsi="黑体" w:eastAsia="黑体" w:cs="黑体"/>
                <w:i w:val="0"/>
                <w:iCs w:val="0"/>
                <w:color w:val="000000"/>
                <w:sz w:val="18"/>
                <w:szCs w:val="18"/>
                <w:u w:val="single"/>
              </w:rPr>
            </w:pPr>
          </w:p>
        </w:tc>
      </w:tr>
      <w:tr w14:paraId="3475E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604B3">
            <w:pPr>
              <w:jc w:val="center"/>
              <w:rPr>
                <w:rFonts w:hint="eastAsia" w:ascii="宋体" w:hAnsi="宋体" w:eastAsia="宋体" w:cs="宋体"/>
                <w:i w:val="0"/>
                <w:iCs w:val="0"/>
                <w:color w:val="000000"/>
                <w:sz w:val="18"/>
                <w:szCs w:val="18"/>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40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D9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32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458E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92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3C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B1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CBB3E">
            <w:pPr>
              <w:rPr>
                <w:rFonts w:hint="eastAsia" w:ascii="黑体" w:hAnsi="黑体" w:eastAsia="黑体" w:cs="黑体"/>
                <w:i w:val="0"/>
                <w:iCs w:val="0"/>
                <w:color w:val="000000"/>
                <w:sz w:val="18"/>
                <w:szCs w:val="18"/>
                <w:u w:val="single"/>
              </w:rPr>
            </w:pPr>
          </w:p>
        </w:tc>
      </w:tr>
      <w:tr w14:paraId="0690C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E944D">
            <w:pPr>
              <w:jc w:val="center"/>
              <w:rPr>
                <w:rFonts w:hint="eastAsia" w:ascii="宋体" w:hAnsi="宋体" w:eastAsia="宋体" w:cs="宋体"/>
                <w:i w:val="0"/>
                <w:iCs w:val="0"/>
                <w:color w:val="000000"/>
                <w:sz w:val="18"/>
                <w:szCs w:val="18"/>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BD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89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99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BD7A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2E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37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5B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627AD">
            <w:pPr>
              <w:rPr>
                <w:rFonts w:hint="eastAsia" w:ascii="黑体" w:hAnsi="黑体" w:eastAsia="黑体" w:cs="黑体"/>
                <w:i w:val="0"/>
                <w:iCs w:val="0"/>
                <w:color w:val="000000"/>
                <w:sz w:val="18"/>
                <w:szCs w:val="18"/>
                <w:u w:val="single"/>
              </w:rPr>
            </w:pPr>
          </w:p>
        </w:tc>
      </w:tr>
      <w:tr w14:paraId="52512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FDFE8">
            <w:pPr>
              <w:jc w:val="center"/>
              <w:rPr>
                <w:rFonts w:hint="eastAsia" w:ascii="宋体" w:hAnsi="宋体" w:eastAsia="宋体" w:cs="宋体"/>
                <w:i w:val="0"/>
                <w:iCs w:val="0"/>
                <w:color w:val="000000"/>
                <w:sz w:val="18"/>
                <w:szCs w:val="18"/>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A8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A9A8">
            <w:pPr>
              <w:jc w:val="center"/>
              <w:rPr>
                <w:rFonts w:hint="eastAsia" w:ascii="微软雅黑" w:hAnsi="微软雅黑" w:eastAsia="微软雅黑" w:cs="微软雅黑"/>
                <w:i/>
                <w:iCs/>
                <w:color w:val="000000"/>
                <w:sz w:val="16"/>
                <w:szCs w:val="16"/>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F09C">
            <w:pPr>
              <w:jc w:val="center"/>
              <w:rPr>
                <w:rFonts w:hint="eastAsia" w:ascii="微软雅黑" w:hAnsi="微软雅黑" w:eastAsia="微软雅黑" w:cs="微软雅黑"/>
                <w:i/>
                <w:iCs/>
                <w:color w:val="000000"/>
                <w:sz w:val="16"/>
                <w:szCs w:val="16"/>
                <w:u w:val="none"/>
              </w:rPr>
            </w:pPr>
          </w:p>
        </w:tc>
        <w:tc>
          <w:tcPr>
            <w:tcW w:w="2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B5695D">
            <w:pPr>
              <w:jc w:val="center"/>
              <w:rPr>
                <w:rFonts w:hint="eastAsia" w:ascii="微软雅黑" w:hAnsi="微软雅黑" w:eastAsia="微软雅黑" w:cs="微软雅黑"/>
                <w:i/>
                <w:iCs/>
                <w:color w:val="000000"/>
                <w:sz w:val="16"/>
                <w:szCs w:val="16"/>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0562">
            <w:pPr>
              <w:jc w:val="center"/>
              <w:rPr>
                <w:rFonts w:hint="eastAsia" w:ascii="微软雅黑" w:hAnsi="微软雅黑" w:eastAsia="微软雅黑" w:cs="微软雅黑"/>
                <w:i/>
                <w:iCs/>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9F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4B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57637">
            <w:pPr>
              <w:rPr>
                <w:rFonts w:hint="eastAsia" w:ascii="黑体" w:hAnsi="黑体" w:eastAsia="黑体" w:cs="黑体"/>
                <w:i w:val="0"/>
                <w:iCs w:val="0"/>
                <w:color w:val="000000"/>
                <w:sz w:val="18"/>
                <w:szCs w:val="18"/>
                <w:u w:val="single"/>
              </w:rPr>
            </w:pPr>
          </w:p>
        </w:tc>
      </w:tr>
      <w:tr w14:paraId="70FA9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C5D0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B2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D5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31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5E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EF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9F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9D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0D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7B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AB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31BB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F2544">
            <w:pPr>
              <w:jc w:val="center"/>
              <w:rPr>
                <w:rFonts w:hint="eastAsia" w:ascii="宋体" w:hAnsi="宋体" w:eastAsia="宋体" w:cs="宋体"/>
                <w:i w:val="0"/>
                <w:iCs w:val="0"/>
                <w:color w:val="000000"/>
                <w:sz w:val="18"/>
                <w:szCs w:val="18"/>
                <w:u w:val="none"/>
              </w:rPr>
            </w:pP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20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5AC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3E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人均补助标准</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E4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16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A7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元/人·次</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C5C1">
            <w:pPr>
              <w:jc w:val="center"/>
              <w:rPr>
                <w:rFonts w:hint="eastAsia" w:ascii="微软雅黑" w:hAnsi="微软雅黑" w:eastAsia="微软雅黑" w:cs="微软雅黑"/>
                <w:i/>
                <w:iCs/>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FC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CF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5398">
            <w:pPr>
              <w:jc w:val="center"/>
              <w:rPr>
                <w:rFonts w:hint="eastAsia" w:ascii="微软雅黑" w:hAnsi="微软雅黑" w:eastAsia="微软雅黑" w:cs="微软雅黑"/>
                <w:i/>
                <w:iCs/>
                <w:color w:val="000000"/>
                <w:sz w:val="16"/>
                <w:szCs w:val="16"/>
                <w:u w:val="none"/>
              </w:rPr>
            </w:pPr>
          </w:p>
        </w:tc>
      </w:tr>
      <w:tr w14:paraId="7092C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22182">
            <w:pPr>
              <w:jc w:val="center"/>
              <w:rPr>
                <w:rFonts w:hint="eastAsia" w:ascii="宋体" w:hAnsi="宋体" w:eastAsia="宋体" w:cs="宋体"/>
                <w:i w:val="0"/>
                <w:iCs w:val="0"/>
                <w:color w:val="000000"/>
                <w:sz w:val="18"/>
                <w:szCs w:val="18"/>
                <w:u w:val="none"/>
              </w:rPr>
            </w:pP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7E13D">
            <w:pPr>
              <w:jc w:val="center"/>
              <w:rPr>
                <w:rFonts w:hint="eastAsia" w:ascii="宋体" w:hAnsi="宋体" w:eastAsia="宋体" w:cs="宋体"/>
                <w:i w:val="0"/>
                <w:iCs w:val="0"/>
                <w:color w:val="000000"/>
                <w:sz w:val="18"/>
                <w:szCs w:val="18"/>
                <w:u w:val="none"/>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F807E">
            <w:pPr>
              <w:jc w:val="center"/>
              <w:rPr>
                <w:rFonts w:hint="eastAsia" w:ascii="宋体" w:hAnsi="宋体" w:eastAsia="宋体" w:cs="宋体"/>
                <w:i w:val="0"/>
                <w:iCs w:val="0"/>
                <w:color w:val="000000"/>
                <w:sz w:val="18"/>
                <w:szCs w:val="18"/>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B4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接受免费营养餐的义务教育学生人数</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CA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02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E1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人/户</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486E">
            <w:pPr>
              <w:jc w:val="center"/>
              <w:rPr>
                <w:rFonts w:hint="eastAsia" w:ascii="微软雅黑" w:hAnsi="微软雅黑" w:eastAsia="微软雅黑" w:cs="微软雅黑"/>
                <w:i/>
                <w:iCs/>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A6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38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5E64">
            <w:pPr>
              <w:jc w:val="center"/>
              <w:rPr>
                <w:rFonts w:hint="eastAsia" w:ascii="微软雅黑" w:hAnsi="微软雅黑" w:eastAsia="微软雅黑" w:cs="微软雅黑"/>
                <w:i/>
                <w:iCs/>
                <w:color w:val="000000"/>
                <w:sz w:val="16"/>
                <w:szCs w:val="16"/>
                <w:u w:val="none"/>
              </w:rPr>
            </w:pPr>
          </w:p>
        </w:tc>
      </w:tr>
      <w:tr w14:paraId="42A17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EA512">
            <w:pPr>
              <w:jc w:val="center"/>
              <w:rPr>
                <w:rFonts w:hint="eastAsia" w:ascii="宋体" w:hAnsi="宋体" w:eastAsia="宋体" w:cs="宋体"/>
                <w:i w:val="0"/>
                <w:iCs w:val="0"/>
                <w:color w:val="000000"/>
                <w:sz w:val="18"/>
                <w:szCs w:val="18"/>
                <w:u w:val="none"/>
              </w:rPr>
            </w:pP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5AA83">
            <w:pPr>
              <w:jc w:val="center"/>
              <w:rPr>
                <w:rFonts w:hint="eastAsia" w:ascii="宋体" w:hAnsi="宋体" w:eastAsia="宋体" w:cs="宋体"/>
                <w:i w:val="0"/>
                <w:iCs w:val="0"/>
                <w:color w:val="000000"/>
                <w:sz w:val="18"/>
                <w:szCs w:val="18"/>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AE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F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膳食结构的合理度</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96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F1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42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D9ED">
            <w:pPr>
              <w:jc w:val="center"/>
              <w:rPr>
                <w:rFonts w:hint="eastAsia" w:ascii="微软雅黑" w:hAnsi="微软雅黑" w:eastAsia="微软雅黑" w:cs="微软雅黑"/>
                <w:i/>
                <w:iCs/>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4D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99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6046">
            <w:pPr>
              <w:jc w:val="center"/>
              <w:rPr>
                <w:rFonts w:hint="eastAsia" w:ascii="微软雅黑" w:hAnsi="微软雅黑" w:eastAsia="微软雅黑" w:cs="微软雅黑"/>
                <w:i/>
                <w:iCs/>
                <w:color w:val="000000"/>
                <w:sz w:val="16"/>
                <w:szCs w:val="16"/>
                <w:u w:val="none"/>
              </w:rPr>
            </w:pPr>
          </w:p>
        </w:tc>
      </w:tr>
      <w:tr w14:paraId="46D5E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F809E">
            <w:pPr>
              <w:jc w:val="center"/>
              <w:rPr>
                <w:rFonts w:hint="eastAsia" w:ascii="宋体" w:hAnsi="宋体" w:eastAsia="宋体" w:cs="宋体"/>
                <w:i w:val="0"/>
                <w:iCs w:val="0"/>
                <w:color w:val="000000"/>
                <w:sz w:val="18"/>
                <w:szCs w:val="18"/>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5F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EF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59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学生身体素质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2E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6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9274">
            <w:pPr>
              <w:jc w:val="center"/>
              <w:rPr>
                <w:rFonts w:hint="eastAsia" w:ascii="宋体" w:hAnsi="宋体" w:eastAsia="宋体" w:cs="宋体"/>
                <w:i w:val="0"/>
                <w:iCs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D6A2">
            <w:pPr>
              <w:jc w:val="center"/>
              <w:rPr>
                <w:rFonts w:hint="eastAsia" w:ascii="微软雅黑" w:hAnsi="微软雅黑" w:eastAsia="微软雅黑" w:cs="微软雅黑"/>
                <w:i/>
                <w:iCs/>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C2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92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C221">
            <w:pPr>
              <w:jc w:val="center"/>
              <w:rPr>
                <w:rFonts w:hint="eastAsia" w:ascii="微软雅黑" w:hAnsi="微软雅黑" w:eastAsia="微软雅黑" w:cs="微软雅黑"/>
                <w:i/>
                <w:iCs/>
                <w:color w:val="000000"/>
                <w:sz w:val="16"/>
                <w:szCs w:val="16"/>
                <w:u w:val="none"/>
              </w:rPr>
            </w:pPr>
          </w:p>
        </w:tc>
      </w:tr>
      <w:tr w14:paraId="6DBEA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8E9FD">
            <w:pPr>
              <w:jc w:val="center"/>
              <w:rPr>
                <w:rFonts w:hint="eastAsia" w:ascii="宋体" w:hAnsi="宋体" w:eastAsia="宋体" w:cs="宋体"/>
                <w:i w:val="0"/>
                <w:iCs w:val="0"/>
                <w:color w:val="000000"/>
                <w:sz w:val="18"/>
                <w:szCs w:val="18"/>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ED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F6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A0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学生满意度</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2E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44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E1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122B">
            <w:pPr>
              <w:jc w:val="center"/>
              <w:rPr>
                <w:rFonts w:hint="eastAsia" w:ascii="微软雅黑" w:hAnsi="微软雅黑" w:eastAsia="微软雅黑" w:cs="微软雅黑"/>
                <w:i/>
                <w:iCs/>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F0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9F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6A20">
            <w:pPr>
              <w:jc w:val="center"/>
              <w:rPr>
                <w:rFonts w:hint="eastAsia" w:ascii="微软雅黑" w:hAnsi="微软雅黑" w:eastAsia="微软雅黑" w:cs="微软雅黑"/>
                <w:i/>
                <w:iCs/>
                <w:color w:val="000000"/>
                <w:sz w:val="16"/>
                <w:szCs w:val="16"/>
                <w:u w:val="none"/>
              </w:rPr>
            </w:pPr>
          </w:p>
        </w:tc>
      </w:tr>
      <w:tr w14:paraId="21920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9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47E45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AA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D6E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5A2C">
            <w:pPr>
              <w:rPr>
                <w:rFonts w:hint="eastAsia" w:ascii="宋体" w:hAnsi="宋体" w:eastAsia="宋体" w:cs="宋体"/>
                <w:i w:val="0"/>
                <w:iCs w:val="0"/>
                <w:color w:val="000000"/>
                <w:sz w:val="18"/>
                <w:szCs w:val="18"/>
                <w:u w:val="none"/>
              </w:rPr>
            </w:pPr>
          </w:p>
        </w:tc>
      </w:tr>
      <w:tr w14:paraId="633EA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A0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6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A96C3E">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项目自评总分达到100分，通过实施，项目达到了预期目标，取得了显著成果。</w:t>
            </w:r>
          </w:p>
        </w:tc>
      </w:tr>
      <w:tr w14:paraId="3DA1E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BE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6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6B8E91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65995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C7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6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FD204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5C8F4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B7489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项目负责人：王景胜</w:t>
            </w:r>
          </w:p>
        </w:tc>
        <w:tc>
          <w:tcPr>
            <w:tcW w:w="64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B4520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财务负责人：樊小东</w:t>
            </w:r>
          </w:p>
        </w:tc>
      </w:tr>
      <w:tr w14:paraId="46ED8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44" w:type="dxa"/>
            <w:tcBorders>
              <w:top w:val="nil"/>
              <w:left w:val="nil"/>
              <w:bottom w:val="nil"/>
              <w:right w:val="nil"/>
            </w:tcBorders>
            <w:shd w:val="clear" w:color="auto" w:fill="auto"/>
            <w:vAlign w:val="center"/>
          </w:tcPr>
          <w:p w14:paraId="702FE513">
            <w:pPr>
              <w:rPr>
                <w:rFonts w:hint="eastAsia" w:ascii="宋体" w:hAnsi="宋体" w:eastAsia="宋体" w:cs="宋体"/>
                <w:i w:val="0"/>
                <w:iCs w:val="0"/>
                <w:color w:val="000000"/>
                <w:sz w:val="18"/>
                <w:szCs w:val="18"/>
                <w:u w:val="none"/>
              </w:rPr>
            </w:pPr>
          </w:p>
        </w:tc>
        <w:tc>
          <w:tcPr>
            <w:tcW w:w="1932" w:type="dxa"/>
            <w:tcBorders>
              <w:top w:val="nil"/>
              <w:left w:val="nil"/>
              <w:bottom w:val="nil"/>
              <w:right w:val="nil"/>
            </w:tcBorders>
            <w:shd w:val="clear" w:color="auto" w:fill="auto"/>
            <w:vAlign w:val="center"/>
          </w:tcPr>
          <w:p w14:paraId="7D5209E0">
            <w:pPr>
              <w:rPr>
                <w:rFonts w:hint="eastAsia" w:ascii="宋体" w:hAnsi="宋体" w:eastAsia="宋体" w:cs="宋体"/>
                <w:i w:val="0"/>
                <w:iCs w:val="0"/>
                <w:color w:val="000000"/>
                <w:sz w:val="18"/>
                <w:szCs w:val="18"/>
                <w:u w:val="none"/>
              </w:rPr>
            </w:pPr>
          </w:p>
        </w:tc>
        <w:tc>
          <w:tcPr>
            <w:tcW w:w="1671" w:type="dxa"/>
            <w:tcBorders>
              <w:top w:val="nil"/>
              <w:left w:val="nil"/>
              <w:bottom w:val="nil"/>
              <w:right w:val="nil"/>
            </w:tcBorders>
            <w:shd w:val="clear" w:color="auto" w:fill="auto"/>
            <w:vAlign w:val="center"/>
          </w:tcPr>
          <w:p w14:paraId="00BEAF79">
            <w:pPr>
              <w:rPr>
                <w:rFonts w:hint="eastAsia" w:ascii="宋体" w:hAnsi="宋体" w:eastAsia="宋体" w:cs="宋体"/>
                <w:i w:val="0"/>
                <w:iCs w:val="0"/>
                <w:color w:val="000000"/>
                <w:sz w:val="18"/>
                <w:szCs w:val="18"/>
                <w:u w:val="none"/>
              </w:rPr>
            </w:pPr>
          </w:p>
        </w:tc>
        <w:tc>
          <w:tcPr>
            <w:tcW w:w="2132" w:type="dxa"/>
            <w:tcBorders>
              <w:top w:val="nil"/>
              <w:left w:val="nil"/>
              <w:bottom w:val="nil"/>
              <w:right w:val="nil"/>
            </w:tcBorders>
            <w:shd w:val="clear" w:color="auto" w:fill="auto"/>
            <w:vAlign w:val="center"/>
          </w:tcPr>
          <w:p w14:paraId="446AFB83">
            <w:pPr>
              <w:rPr>
                <w:rFonts w:hint="eastAsia" w:ascii="宋体" w:hAnsi="宋体" w:eastAsia="宋体" w:cs="宋体"/>
                <w:i w:val="0"/>
                <w:iCs w:val="0"/>
                <w:color w:val="000000"/>
                <w:sz w:val="18"/>
                <w:szCs w:val="18"/>
                <w:u w:val="none"/>
              </w:rPr>
            </w:pPr>
          </w:p>
        </w:tc>
        <w:tc>
          <w:tcPr>
            <w:tcW w:w="491" w:type="dxa"/>
            <w:tcBorders>
              <w:top w:val="nil"/>
              <w:left w:val="nil"/>
              <w:bottom w:val="nil"/>
              <w:right w:val="nil"/>
            </w:tcBorders>
            <w:shd w:val="clear" w:color="auto" w:fill="auto"/>
            <w:vAlign w:val="center"/>
          </w:tcPr>
          <w:p w14:paraId="7421EDF1">
            <w:pPr>
              <w:rPr>
                <w:rFonts w:hint="eastAsia" w:ascii="宋体" w:hAnsi="宋体" w:eastAsia="宋体" w:cs="宋体"/>
                <w:i w:val="0"/>
                <w:iCs w:val="0"/>
                <w:color w:val="000000"/>
                <w:sz w:val="18"/>
                <w:szCs w:val="18"/>
                <w:u w:val="none"/>
              </w:rPr>
            </w:pPr>
          </w:p>
        </w:tc>
        <w:tc>
          <w:tcPr>
            <w:tcW w:w="1579" w:type="dxa"/>
            <w:tcBorders>
              <w:top w:val="nil"/>
              <w:left w:val="nil"/>
              <w:bottom w:val="nil"/>
              <w:right w:val="nil"/>
            </w:tcBorders>
            <w:shd w:val="clear" w:color="auto" w:fill="auto"/>
            <w:vAlign w:val="center"/>
          </w:tcPr>
          <w:p w14:paraId="401F742B">
            <w:pPr>
              <w:rPr>
                <w:rFonts w:hint="eastAsia" w:ascii="宋体" w:hAnsi="宋体" w:eastAsia="宋体" w:cs="宋体"/>
                <w:i w:val="0"/>
                <w:iCs w:val="0"/>
                <w:color w:val="000000"/>
                <w:sz w:val="18"/>
                <w:szCs w:val="18"/>
                <w:u w:val="none"/>
              </w:rPr>
            </w:pPr>
          </w:p>
        </w:tc>
        <w:tc>
          <w:tcPr>
            <w:tcW w:w="491" w:type="dxa"/>
            <w:tcBorders>
              <w:top w:val="nil"/>
              <w:left w:val="nil"/>
              <w:bottom w:val="nil"/>
              <w:right w:val="nil"/>
            </w:tcBorders>
            <w:shd w:val="clear" w:color="auto" w:fill="auto"/>
            <w:vAlign w:val="center"/>
          </w:tcPr>
          <w:p w14:paraId="7C790DE9">
            <w:pPr>
              <w:rPr>
                <w:rFonts w:hint="eastAsia" w:ascii="宋体" w:hAnsi="宋体" w:eastAsia="宋体" w:cs="宋体"/>
                <w:i w:val="0"/>
                <w:iCs w:val="0"/>
                <w:color w:val="000000"/>
                <w:sz w:val="18"/>
                <w:szCs w:val="18"/>
                <w:u w:val="none"/>
              </w:rPr>
            </w:pPr>
          </w:p>
        </w:tc>
        <w:tc>
          <w:tcPr>
            <w:tcW w:w="1027" w:type="dxa"/>
            <w:tcBorders>
              <w:top w:val="nil"/>
              <w:left w:val="nil"/>
              <w:bottom w:val="nil"/>
              <w:right w:val="nil"/>
            </w:tcBorders>
            <w:shd w:val="clear" w:color="auto" w:fill="auto"/>
            <w:vAlign w:val="center"/>
          </w:tcPr>
          <w:p w14:paraId="3CCE77F5">
            <w:pPr>
              <w:rPr>
                <w:rFonts w:hint="eastAsia" w:ascii="宋体" w:hAnsi="宋体" w:eastAsia="宋体" w:cs="宋体"/>
                <w:i w:val="0"/>
                <w:iCs w:val="0"/>
                <w:color w:val="000000"/>
                <w:sz w:val="18"/>
                <w:szCs w:val="18"/>
                <w:u w:val="none"/>
              </w:rPr>
            </w:pPr>
          </w:p>
        </w:tc>
        <w:tc>
          <w:tcPr>
            <w:tcW w:w="476" w:type="dxa"/>
            <w:tcBorders>
              <w:top w:val="nil"/>
              <w:left w:val="nil"/>
              <w:bottom w:val="nil"/>
              <w:right w:val="nil"/>
            </w:tcBorders>
            <w:shd w:val="clear" w:color="auto" w:fill="auto"/>
            <w:vAlign w:val="center"/>
          </w:tcPr>
          <w:p w14:paraId="6ED967B8">
            <w:pPr>
              <w:rPr>
                <w:rFonts w:hint="eastAsia" w:ascii="宋体" w:hAnsi="宋体" w:eastAsia="宋体" w:cs="宋体"/>
                <w:i w:val="0"/>
                <w:iCs w:val="0"/>
                <w:color w:val="000000"/>
                <w:sz w:val="18"/>
                <w:szCs w:val="18"/>
                <w:u w:val="none"/>
              </w:rPr>
            </w:pPr>
          </w:p>
        </w:tc>
        <w:tc>
          <w:tcPr>
            <w:tcW w:w="429" w:type="dxa"/>
            <w:tcBorders>
              <w:top w:val="nil"/>
              <w:left w:val="nil"/>
              <w:bottom w:val="nil"/>
              <w:right w:val="nil"/>
            </w:tcBorders>
            <w:shd w:val="clear" w:color="auto" w:fill="auto"/>
            <w:vAlign w:val="center"/>
          </w:tcPr>
          <w:p w14:paraId="7ABE5166">
            <w:pPr>
              <w:rPr>
                <w:rFonts w:hint="eastAsia" w:ascii="宋体" w:hAnsi="宋体" w:eastAsia="宋体" w:cs="宋体"/>
                <w:i w:val="0"/>
                <w:iCs w:val="0"/>
                <w:color w:val="000000"/>
                <w:sz w:val="18"/>
                <w:szCs w:val="18"/>
                <w:u w:val="none"/>
              </w:rPr>
            </w:pPr>
          </w:p>
        </w:tc>
        <w:tc>
          <w:tcPr>
            <w:tcW w:w="2408" w:type="dxa"/>
            <w:tcBorders>
              <w:top w:val="nil"/>
              <w:left w:val="nil"/>
              <w:bottom w:val="nil"/>
              <w:right w:val="nil"/>
            </w:tcBorders>
            <w:shd w:val="clear" w:color="auto" w:fill="auto"/>
            <w:vAlign w:val="center"/>
          </w:tcPr>
          <w:p w14:paraId="7B39E50A">
            <w:pPr>
              <w:rPr>
                <w:rFonts w:hint="eastAsia" w:ascii="宋体" w:hAnsi="宋体" w:eastAsia="宋体" w:cs="宋体"/>
                <w:i w:val="0"/>
                <w:iCs w:val="0"/>
                <w:color w:val="000000"/>
                <w:sz w:val="18"/>
                <w:szCs w:val="18"/>
                <w:u w:val="none"/>
              </w:rPr>
            </w:pPr>
          </w:p>
        </w:tc>
      </w:tr>
      <w:tr w14:paraId="7DC39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32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75127A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32F1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A77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70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265A0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51172422T000005781584-特教营养餐</w:t>
            </w:r>
          </w:p>
        </w:tc>
      </w:tr>
      <w:tr w14:paraId="4E120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AFC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3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4619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大竹县特殊教育学校部门</w:t>
            </w:r>
          </w:p>
        </w:tc>
        <w:tc>
          <w:tcPr>
            <w:tcW w:w="1027" w:type="dxa"/>
            <w:tcBorders>
              <w:top w:val="nil"/>
              <w:left w:val="nil"/>
              <w:bottom w:val="nil"/>
              <w:right w:val="nil"/>
            </w:tcBorders>
            <w:shd w:val="clear" w:color="auto" w:fill="auto"/>
            <w:vAlign w:val="center"/>
          </w:tcPr>
          <w:p w14:paraId="4B82E3D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3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A37A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大竹县特殊教育学校</w:t>
            </w:r>
          </w:p>
        </w:tc>
      </w:tr>
      <w:tr w14:paraId="2CD80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6C6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D17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3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B66A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19997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1661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AA3DB">
            <w:pPr>
              <w:rPr>
                <w:rFonts w:hint="eastAsia" w:ascii="宋体" w:hAnsi="宋体" w:eastAsia="宋体" w:cs="宋体"/>
                <w:i w:val="0"/>
                <w:iCs w:val="0"/>
                <w:color w:val="000000"/>
                <w:sz w:val="18"/>
                <w:szCs w:val="18"/>
                <w:u w:val="none"/>
              </w:rPr>
            </w:pP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8C848">
            <w:pPr>
              <w:rPr>
                <w:rFonts w:hint="eastAsia" w:ascii="宋体" w:hAnsi="宋体" w:eastAsia="宋体" w:cs="宋体"/>
                <w:i w:val="0"/>
                <w:iCs w:val="0"/>
                <w:color w:val="000000"/>
                <w:sz w:val="18"/>
                <w:szCs w:val="18"/>
                <w:u w:val="none"/>
              </w:rPr>
            </w:pPr>
          </w:p>
        </w:tc>
        <w:tc>
          <w:tcPr>
            <w:tcW w:w="63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7206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应于2023年用特教营养补助学生在校伙食费，以实现增强学生体质的目标。</w:t>
            </w:r>
          </w:p>
        </w:tc>
        <w:tc>
          <w:tcPr>
            <w:tcW w:w="4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2429D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应于2023年用特教营养补助学生在校伙食费，以实现增强学生体质的目标。</w:t>
            </w:r>
          </w:p>
        </w:tc>
      </w:tr>
      <w:tr w14:paraId="2379B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23066">
            <w:pPr>
              <w:rPr>
                <w:rFonts w:hint="eastAsia" w:ascii="宋体" w:hAnsi="宋体" w:eastAsia="宋体" w:cs="宋体"/>
                <w:i w:val="0"/>
                <w:iCs w:val="0"/>
                <w:color w:val="000000"/>
                <w:sz w:val="18"/>
                <w:szCs w:val="18"/>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84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70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832C2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应于2023年用特教营养补助学生在校伙食费，以实现增强学生体质的目标。</w:t>
            </w:r>
          </w:p>
        </w:tc>
      </w:tr>
      <w:tr w14:paraId="32642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BFAD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6D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23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03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90AC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59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FF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A5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41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3BF7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C5E64">
            <w:pPr>
              <w:jc w:val="center"/>
              <w:rPr>
                <w:rFonts w:hint="eastAsia" w:ascii="宋体" w:hAnsi="宋体" w:eastAsia="宋体" w:cs="宋体"/>
                <w:i w:val="0"/>
                <w:iCs w:val="0"/>
                <w:color w:val="000000"/>
                <w:sz w:val="18"/>
                <w:szCs w:val="18"/>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E2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89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81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46DA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2.56</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5C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51.14%</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10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9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E146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8D8C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7957A">
            <w:pPr>
              <w:jc w:val="center"/>
              <w:rPr>
                <w:rFonts w:hint="eastAsia" w:ascii="宋体" w:hAnsi="宋体" w:eastAsia="宋体" w:cs="宋体"/>
                <w:i w:val="0"/>
                <w:iCs w:val="0"/>
                <w:color w:val="000000"/>
                <w:sz w:val="18"/>
                <w:szCs w:val="18"/>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0F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58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7A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EBF4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2.56</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66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51.14%</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74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01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1A10E">
            <w:pPr>
              <w:rPr>
                <w:rFonts w:hint="eastAsia" w:ascii="黑体" w:hAnsi="黑体" w:eastAsia="黑体" w:cs="黑体"/>
                <w:i w:val="0"/>
                <w:iCs w:val="0"/>
                <w:color w:val="000000"/>
                <w:sz w:val="18"/>
                <w:szCs w:val="18"/>
                <w:u w:val="none"/>
              </w:rPr>
            </w:pPr>
          </w:p>
        </w:tc>
      </w:tr>
      <w:tr w14:paraId="2A949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5430E">
            <w:pPr>
              <w:jc w:val="center"/>
              <w:rPr>
                <w:rFonts w:hint="eastAsia" w:ascii="宋体" w:hAnsi="宋体" w:eastAsia="宋体" w:cs="宋体"/>
                <w:i w:val="0"/>
                <w:iCs w:val="0"/>
                <w:color w:val="000000"/>
                <w:sz w:val="18"/>
                <w:szCs w:val="18"/>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52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C4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D2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C280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61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2C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1C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270E8">
            <w:pPr>
              <w:rPr>
                <w:rFonts w:hint="eastAsia" w:ascii="黑体" w:hAnsi="黑体" w:eastAsia="黑体" w:cs="黑体"/>
                <w:i w:val="0"/>
                <w:iCs w:val="0"/>
                <w:color w:val="000000"/>
                <w:sz w:val="18"/>
                <w:szCs w:val="18"/>
                <w:u w:val="none"/>
              </w:rPr>
            </w:pPr>
          </w:p>
        </w:tc>
      </w:tr>
      <w:tr w14:paraId="7AA58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A9CAE">
            <w:pPr>
              <w:jc w:val="center"/>
              <w:rPr>
                <w:rFonts w:hint="eastAsia" w:ascii="宋体" w:hAnsi="宋体" w:eastAsia="宋体" w:cs="宋体"/>
                <w:i w:val="0"/>
                <w:iCs w:val="0"/>
                <w:color w:val="000000"/>
                <w:sz w:val="18"/>
                <w:szCs w:val="18"/>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85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4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9E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026A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C3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41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B0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B5ABC">
            <w:pPr>
              <w:rPr>
                <w:rFonts w:hint="eastAsia" w:ascii="黑体" w:hAnsi="黑体" w:eastAsia="黑体" w:cs="黑体"/>
                <w:i w:val="0"/>
                <w:iCs w:val="0"/>
                <w:color w:val="000000"/>
                <w:sz w:val="18"/>
                <w:szCs w:val="18"/>
                <w:u w:val="none"/>
              </w:rPr>
            </w:pPr>
          </w:p>
        </w:tc>
      </w:tr>
      <w:tr w14:paraId="43465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69CC9">
            <w:pPr>
              <w:jc w:val="center"/>
              <w:rPr>
                <w:rFonts w:hint="eastAsia" w:ascii="宋体" w:hAnsi="宋体" w:eastAsia="宋体" w:cs="宋体"/>
                <w:i w:val="0"/>
                <w:iCs w:val="0"/>
                <w:color w:val="000000"/>
                <w:sz w:val="18"/>
                <w:szCs w:val="18"/>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8D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6EB2">
            <w:pPr>
              <w:jc w:val="center"/>
              <w:rPr>
                <w:rFonts w:hint="eastAsia" w:ascii="微软雅黑" w:hAnsi="微软雅黑" w:eastAsia="微软雅黑" w:cs="微软雅黑"/>
                <w:i/>
                <w:iCs/>
                <w:color w:val="000000"/>
                <w:sz w:val="16"/>
                <w:szCs w:val="16"/>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FE93">
            <w:pPr>
              <w:jc w:val="center"/>
              <w:rPr>
                <w:rFonts w:hint="eastAsia" w:ascii="微软雅黑" w:hAnsi="微软雅黑" w:eastAsia="微软雅黑" w:cs="微软雅黑"/>
                <w:i/>
                <w:iCs/>
                <w:color w:val="000000"/>
                <w:sz w:val="16"/>
                <w:szCs w:val="16"/>
                <w:u w:val="none"/>
              </w:rPr>
            </w:pPr>
          </w:p>
        </w:tc>
        <w:tc>
          <w:tcPr>
            <w:tcW w:w="2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50A256">
            <w:pPr>
              <w:jc w:val="center"/>
              <w:rPr>
                <w:rFonts w:hint="eastAsia" w:ascii="微软雅黑" w:hAnsi="微软雅黑" w:eastAsia="微软雅黑" w:cs="微软雅黑"/>
                <w:i/>
                <w:iCs/>
                <w:color w:val="000000"/>
                <w:sz w:val="16"/>
                <w:szCs w:val="16"/>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49F4">
            <w:pPr>
              <w:jc w:val="center"/>
              <w:rPr>
                <w:rFonts w:hint="eastAsia" w:ascii="微软雅黑" w:hAnsi="微软雅黑" w:eastAsia="微软雅黑" w:cs="微软雅黑"/>
                <w:i/>
                <w:iCs/>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D9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B2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42CA1">
            <w:pPr>
              <w:rPr>
                <w:rFonts w:hint="eastAsia" w:ascii="黑体" w:hAnsi="黑体" w:eastAsia="黑体" w:cs="黑体"/>
                <w:i w:val="0"/>
                <w:iCs w:val="0"/>
                <w:color w:val="000000"/>
                <w:sz w:val="18"/>
                <w:szCs w:val="18"/>
                <w:u w:val="none"/>
              </w:rPr>
            </w:pPr>
          </w:p>
        </w:tc>
      </w:tr>
      <w:tr w14:paraId="30B27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2D5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7E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4A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28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84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06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A9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6F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D5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FC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2A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A5DB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5BCE1">
            <w:pPr>
              <w:jc w:val="center"/>
              <w:rPr>
                <w:rFonts w:hint="eastAsia" w:ascii="宋体" w:hAnsi="宋体" w:eastAsia="宋体" w:cs="宋体"/>
                <w:i w:val="0"/>
                <w:iCs w:val="0"/>
                <w:color w:val="000000"/>
                <w:sz w:val="18"/>
                <w:szCs w:val="18"/>
                <w:u w:val="none"/>
              </w:rPr>
            </w:pP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D29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50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12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享受营养餐人数。</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5B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AE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1D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669D">
            <w:pPr>
              <w:jc w:val="center"/>
              <w:rPr>
                <w:rFonts w:hint="eastAsia" w:ascii="微软雅黑" w:hAnsi="微软雅黑" w:eastAsia="微软雅黑" w:cs="微软雅黑"/>
                <w:i/>
                <w:iCs/>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51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02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7E98">
            <w:pPr>
              <w:jc w:val="center"/>
              <w:rPr>
                <w:rFonts w:hint="eastAsia" w:ascii="微软雅黑" w:hAnsi="微软雅黑" w:eastAsia="微软雅黑" w:cs="微软雅黑"/>
                <w:i/>
                <w:iCs/>
                <w:color w:val="000000"/>
                <w:sz w:val="16"/>
                <w:szCs w:val="16"/>
                <w:u w:val="none"/>
              </w:rPr>
            </w:pPr>
          </w:p>
        </w:tc>
      </w:tr>
      <w:tr w14:paraId="72F33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BE122">
            <w:pPr>
              <w:jc w:val="center"/>
              <w:rPr>
                <w:rFonts w:hint="eastAsia" w:ascii="宋体" w:hAnsi="宋体" w:eastAsia="宋体" w:cs="宋体"/>
                <w:i w:val="0"/>
                <w:iCs w:val="0"/>
                <w:color w:val="000000"/>
                <w:sz w:val="18"/>
                <w:szCs w:val="18"/>
                <w:u w:val="none"/>
              </w:rPr>
            </w:pP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AC721">
            <w:pPr>
              <w:jc w:val="center"/>
              <w:rPr>
                <w:rFonts w:hint="eastAsia" w:ascii="宋体" w:hAnsi="宋体" w:eastAsia="宋体" w:cs="宋体"/>
                <w:i w:val="0"/>
                <w:iCs w:val="0"/>
                <w:color w:val="000000"/>
                <w:sz w:val="18"/>
                <w:szCs w:val="18"/>
                <w:u w:val="none"/>
              </w:rPr>
            </w:pP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E57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2B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食品安全达标率</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2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DA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D4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5BB6">
            <w:pPr>
              <w:jc w:val="center"/>
              <w:rPr>
                <w:rFonts w:hint="eastAsia" w:ascii="微软雅黑" w:hAnsi="微软雅黑" w:eastAsia="微软雅黑" w:cs="微软雅黑"/>
                <w:i/>
                <w:iCs/>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6C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7A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0AD2">
            <w:pPr>
              <w:jc w:val="center"/>
              <w:rPr>
                <w:rFonts w:hint="eastAsia" w:ascii="微软雅黑" w:hAnsi="微软雅黑" w:eastAsia="微软雅黑" w:cs="微软雅黑"/>
                <w:i/>
                <w:iCs/>
                <w:color w:val="000000"/>
                <w:sz w:val="16"/>
                <w:szCs w:val="16"/>
                <w:u w:val="none"/>
              </w:rPr>
            </w:pPr>
          </w:p>
        </w:tc>
      </w:tr>
      <w:tr w14:paraId="5EA9D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B3C77">
            <w:pPr>
              <w:jc w:val="center"/>
              <w:rPr>
                <w:rFonts w:hint="eastAsia" w:ascii="宋体" w:hAnsi="宋体" w:eastAsia="宋体" w:cs="宋体"/>
                <w:i w:val="0"/>
                <w:iCs w:val="0"/>
                <w:color w:val="000000"/>
                <w:sz w:val="18"/>
                <w:szCs w:val="18"/>
                <w:u w:val="none"/>
              </w:rPr>
            </w:pP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39A50">
            <w:pPr>
              <w:jc w:val="center"/>
              <w:rPr>
                <w:rFonts w:hint="eastAsia" w:ascii="宋体" w:hAnsi="宋体" w:eastAsia="宋体" w:cs="宋体"/>
                <w:i w:val="0"/>
                <w:iCs w:val="0"/>
                <w:color w:val="000000"/>
                <w:sz w:val="18"/>
                <w:szCs w:val="18"/>
                <w:u w:val="none"/>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1CBCF">
            <w:pPr>
              <w:jc w:val="center"/>
              <w:rPr>
                <w:rFonts w:hint="eastAsia" w:ascii="宋体" w:hAnsi="宋体" w:eastAsia="宋体" w:cs="宋体"/>
                <w:i w:val="0"/>
                <w:iCs w:val="0"/>
                <w:color w:val="000000"/>
                <w:sz w:val="18"/>
                <w:szCs w:val="18"/>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4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膳食结构合理度</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1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57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AB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F614">
            <w:pPr>
              <w:jc w:val="center"/>
              <w:rPr>
                <w:rFonts w:hint="eastAsia" w:ascii="微软雅黑" w:hAnsi="微软雅黑" w:eastAsia="微软雅黑" w:cs="微软雅黑"/>
                <w:i/>
                <w:iCs/>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65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D1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C449">
            <w:pPr>
              <w:jc w:val="center"/>
              <w:rPr>
                <w:rFonts w:hint="eastAsia" w:ascii="微软雅黑" w:hAnsi="微软雅黑" w:eastAsia="微软雅黑" w:cs="微软雅黑"/>
                <w:i/>
                <w:iCs/>
                <w:color w:val="000000"/>
                <w:sz w:val="16"/>
                <w:szCs w:val="16"/>
                <w:u w:val="none"/>
              </w:rPr>
            </w:pPr>
          </w:p>
        </w:tc>
      </w:tr>
      <w:tr w14:paraId="36CC8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ED65F">
            <w:pPr>
              <w:jc w:val="center"/>
              <w:rPr>
                <w:rFonts w:hint="eastAsia" w:ascii="宋体" w:hAnsi="宋体" w:eastAsia="宋体" w:cs="宋体"/>
                <w:i w:val="0"/>
                <w:iCs w:val="0"/>
                <w:color w:val="000000"/>
                <w:sz w:val="18"/>
                <w:szCs w:val="18"/>
                <w:u w:val="none"/>
              </w:rPr>
            </w:pP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F6643">
            <w:pPr>
              <w:jc w:val="center"/>
              <w:rPr>
                <w:rFonts w:hint="eastAsia" w:ascii="宋体" w:hAnsi="宋体" w:eastAsia="宋体" w:cs="宋体"/>
                <w:i w:val="0"/>
                <w:iCs w:val="0"/>
                <w:color w:val="000000"/>
                <w:sz w:val="18"/>
                <w:szCs w:val="18"/>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5D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F2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3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B8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2023年12月完成</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C7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6AC0">
            <w:pPr>
              <w:jc w:val="center"/>
              <w:rPr>
                <w:rFonts w:hint="eastAsia" w:ascii="微软雅黑" w:hAnsi="微软雅黑" w:eastAsia="微软雅黑" w:cs="微软雅黑"/>
                <w:i/>
                <w:iCs/>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9D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DE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9EEF">
            <w:pPr>
              <w:jc w:val="center"/>
              <w:rPr>
                <w:rFonts w:hint="eastAsia" w:ascii="微软雅黑" w:hAnsi="微软雅黑" w:eastAsia="微软雅黑" w:cs="微软雅黑"/>
                <w:i/>
                <w:iCs/>
                <w:color w:val="000000"/>
                <w:sz w:val="16"/>
                <w:szCs w:val="16"/>
                <w:u w:val="none"/>
              </w:rPr>
            </w:pPr>
          </w:p>
        </w:tc>
      </w:tr>
      <w:tr w14:paraId="43945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B431F">
            <w:pPr>
              <w:jc w:val="center"/>
              <w:rPr>
                <w:rFonts w:hint="eastAsia" w:ascii="宋体" w:hAnsi="宋体" w:eastAsia="宋体" w:cs="宋体"/>
                <w:i w:val="0"/>
                <w:iCs w:val="0"/>
                <w:color w:val="000000"/>
                <w:sz w:val="18"/>
                <w:szCs w:val="18"/>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BE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9E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C5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学生身体素质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1A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B7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提高学生身体素质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4033">
            <w:pPr>
              <w:jc w:val="center"/>
              <w:rPr>
                <w:rFonts w:hint="eastAsia" w:ascii="宋体" w:hAnsi="宋体" w:eastAsia="宋体" w:cs="宋体"/>
                <w:i w:val="0"/>
                <w:iCs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F571">
            <w:pPr>
              <w:jc w:val="center"/>
              <w:rPr>
                <w:rFonts w:hint="eastAsia" w:ascii="微软雅黑" w:hAnsi="微软雅黑" w:eastAsia="微软雅黑" w:cs="微软雅黑"/>
                <w:i/>
                <w:iCs/>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08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21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7987">
            <w:pPr>
              <w:jc w:val="center"/>
              <w:rPr>
                <w:rFonts w:hint="eastAsia" w:ascii="微软雅黑" w:hAnsi="微软雅黑" w:eastAsia="微软雅黑" w:cs="微软雅黑"/>
                <w:i/>
                <w:iCs/>
                <w:color w:val="000000"/>
                <w:sz w:val="16"/>
                <w:szCs w:val="16"/>
                <w:u w:val="none"/>
              </w:rPr>
            </w:pPr>
          </w:p>
        </w:tc>
      </w:tr>
      <w:tr w14:paraId="120FE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04491">
            <w:pPr>
              <w:jc w:val="center"/>
              <w:rPr>
                <w:rFonts w:hint="eastAsia" w:ascii="宋体" w:hAnsi="宋体" w:eastAsia="宋体" w:cs="宋体"/>
                <w:i w:val="0"/>
                <w:iCs w:val="0"/>
                <w:color w:val="000000"/>
                <w:sz w:val="18"/>
                <w:szCs w:val="18"/>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36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CB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0A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学生满意度</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05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86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D4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69DD">
            <w:pPr>
              <w:jc w:val="center"/>
              <w:rPr>
                <w:rFonts w:hint="eastAsia" w:ascii="微软雅黑" w:hAnsi="微软雅黑" w:eastAsia="微软雅黑" w:cs="微软雅黑"/>
                <w:i/>
                <w:iCs/>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D5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FE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21E4">
            <w:pPr>
              <w:jc w:val="center"/>
              <w:rPr>
                <w:rFonts w:hint="eastAsia" w:ascii="微软雅黑" w:hAnsi="微软雅黑" w:eastAsia="微软雅黑" w:cs="微软雅黑"/>
                <w:i/>
                <w:iCs/>
                <w:color w:val="000000"/>
                <w:sz w:val="16"/>
                <w:szCs w:val="16"/>
                <w:u w:val="none"/>
              </w:rPr>
            </w:pPr>
          </w:p>
        </w:tc>
      </w:tr>
      <w:tr w14:paraId="71442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3D417">
            <w:pPr>
              <w:jc w:val="center"/>
              <w:rPr>
                <w:rFonts w:hint="eastAsia" w:ascii="宋体" w:hAnsi="宋体" w:eastAsia="宋体" w:cs="宋体"/>
                <w:i w:val="0"/>
                <w:iCs w:val="0"/>
                <w:color w:val="000000"/>
                <w:sz w:val="18"/>
                <w:szCs w:val="18"/>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70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0B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34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成本控制金额</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FF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65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7D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元/人·次</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C943">
            <w:pPr>
              <w:jc w:val="center"/>
              <w:rPr>
                <w:rFonts w:hint="eastAsia" w:ascii="微软雅黑" w:hAnsi="微软雅黑" w:eastAsia="微软雅黑" w:cs="微软雅黑"/>
                <w:i/>
                <w:iCs/>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61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7B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E257">
            <w:pPr>
              <w:jc w:val="center"/>
              <w:rPr>
                <w:rFonts w:hint="eastAsia" w:ascii="微软雅黑" w:hAnsi="微软雅黑" w:eastAsia="微软雅黑" w:cs="微软雅黑"/>
                <w:i/>
                <w:iCs/>
                <w:color w:val="000000"/>
                <w:sz w:val="16"/>
                <w:szCs w:val="16"/>
                <w:u w:val="none"/>
              </w:rPr>
            </w:pPr>
          </w:p>
        </w:tc>
      </w:tr>
      <w:tr w14:paraId="71641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9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1CA59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78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1F0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B707">
            <w:pPr>
              <w:rPr>
                <w:rFonts w:hint="eastAsia" w:ascii="宋体" w:hAnsi="宋体" w:eastAsia="宋体" w:cs="宋体"/>
                <w:i w:val="0"/>
                <w:iCs w:val="0"/>
                <w:color w:val="000000"/>
                <w:sz w:val="18"/>
                <w:szCs w:val="18"/>
                <w:u w:val="none"/>
              </w:rPr>
            </w:pPr>
          </w:p>
        </w:tc>
      </w:tr>
      <w:tr w14:paraId="48FD5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BB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6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231C4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项目自评总分达到100分，通过实施，项目达到了预期目标，取得了显著成果。</w:t>
            </w:r>
          </w:p>
        </w:tc>
      </w:tr>
      <w:tr w14:paraId="7581A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57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6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B1905EB">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48F6B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E3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6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DFAE9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1A9FB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B8B0C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项目负责人：王景胜</w:t>
            </w:r>
          </w:p>
        </w:tc>
        <w:tc>
          <w:tcPr>
            <w:tcW w:w="64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A4FE6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财务负责人：樊小东</w:t>
            </w:r>
          </w:p>
        </w:tc>
      </w:tr>
      <w:tr w14:paraId="677DF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44" w:type="dxa"/>
            <w:tcBorders>
              <w:top w:val="nil"/>
              <w:left w:val="nil"/>
              <w:bottom w:val="nil"/>
              <w:right w:val="nil"/>
            </w:tcBorders>
            <w:shd w:val="clear" w:color="auto" w:fill="auto"/>
            <w:vAlign w:val="center"/>
          </w:tcPr>
          <w:p w14:paraId="5E735791">
            <w:pPr>
              <w:rPr>
                <w:rFonts w:hint="eastAsia" w:ascii="宋体" w:hAnsi="宋体" w:eastAsia="宋体" w:cs="宋体"/>
                <w:i w:val="0"/>
                <w:iCs w:val="0"/>
                <w:color w:val="000000"/>
                <w:sz w:val="18"/>
                <w:szCs w:val="18"/>
                <w:u w:val="none"/>
              </w:rPr>
            </w:pPr>
          </w:p>
        </w:tc>
        <w:tc>
          <w:tcPr>
            <w:tcW w:w="1932" w:type="dxa"/>
            <w:tcBorders>
              <w:top w:val="nil"/>
              <w:left w:val="nil"/>
              <w:bottom w:val="nil"/>
              <w:right w:val="nil"/>
            </w:tcBorders>
            <w:shd w:val="clear" w:color="auto" w:fill="auto"/>
            <w:vAlign w:val="center"/>
          </w:tcPr>
          <w:p w14:paraId="4F2E7068">
            <w:pPr>
              <w:rPr>
                <w:rFonts w:hint="eastAsia" w:ascii="宋体" w:hAnsi="宋体" w:eastAsia="宋体" w:cs="宋体"/>
                <w:i w:val="0"/>
                <w:iCs w:val="0"/>
                <w:color w:val="000000"/>
                <w:sz w:val="18"/>
                <w:szCs w:val="18"/>
                <w:u w:val="none"/>
              </w:rPr>
            </w:pPr>
          </w:p>
        </w:tc>
        <w:tc>
          <w:tcPr>
            <w:tcW w:w="1671" w:type="dxa"/>
            <w:tcBorders>
              <w:top w:val="nil"/>
              <w:left w:val="nil"/>
              <w:bottom w:val="nil"/>
              <w:right w:val="nil"/>
            </w:tcBorders>
            <w:shd w:val="clear" w:color="auto" w:fill="auto"/>
            <w:vAlign w:val="center"/>
          </w:tcPr>
          <w:p w14:paraId="0498733A">
            <w:pPr>
              <w:rPr>
                <w:rFonts w:hint="eastAsia" w:ascii="宋体" w:hAnsi="宋体" w:eastAsia="宋体" w:cs="宋体"/>
                <w:i w:val="0"/>
                <w:iCs w:val="0"/>
                <w:color w:val="000000"/>
                <w:sz w:val="18"/>
                <w:szCs w:val="18"/>
                <w:u w:val="none"/>
              </w:rPr>
            </w:pPr>
          </w:p>
        </w:tc>
        <w:tc>
          <w:tcPr>
            <w:tcW w:w="2132" w:type="dxa"/>
            <w:tcBorders>
              <w:top w:val="nil"/>
              <w:left w:val="nil"/>
              <w:bottom w:val="nil"/>
              <w:right w:val="nil"/>
            </w:tcBorders>
            <w:shd w:val="clear" w:color="auto" w:fill="auto"/>
            <w:vAlign w:val="center"/>
          </w:tcPr>
          <w:p w14:paraId="05D0FDF7">
            <w:pPr>
              <w:rPr>
                <w:rFonts w:hint="eastAsia" w:ascii="宋体" w:hAnsi="宋体" w:eastAsia="宋体" w:cs="宋体"/>
                <w:i w:val="0"/>
                <w:iCs w:val="0"/>
                <w:color w:val="000000"/>
                <w:sz w:val="18"/>
                <w:szCs w:val="18"/>
                <w:u w:val="none"/>
              </w:rPr>
            </w:pPr>
          </w:p>
        </w:tc>
        <w:tc>
          <w:tcPr>
            <w:tcW w:w="491" w:type="dxa"/>
            <w:tcBorders>
              <w:top w:val="nil"/>
              <w:left w:val="nil"/>
              <w:bottom w:val="nil"/>
              <w:right w:val="nil"/>
            </w:tcBorders>
            <w:shd w:val="clear" w:color="auto" w:fill="auto"/>
            <w:vAlign w:val="center"/>
          </w:tcPr>
          <w:p w14:paraId="16A58C25">
            <w:pPr>
              <w:rPr>
                <w:rFonts w:hint="eastAsia" w:ascii="宋体" w:hAnsi="宋体" w:eastAsia="宋体" w:cs="宋体"/>
                <w:i w:val="0"/>
                <w:iCs w:val="0"/>
                <w:color w:val="000000"/>
                <w:sz w:val="18"/>
                <w:szCs w:val="18"/>
                <w:u w:val="none"/>
              </w:rPr>
            </w:pPr>
          </w:p>
        </w:tc>
        <w:tc>
          <w:tcPr>
            <w:tcW w:w="1579" w:type="dxa"/>
            <w:tcBorders>
              <w:top w:val="nil"/>
              <w:left w:val="nil"/>
              <w:bottom w:val="nil"/>
              <w:right w:val="nil"/>
            </w:tcBorders>
            <w:shd w:val="clear" w:color="auto" w:fill="auto"/>
            <w:vAlign w:val="center"/>
          </w:tcPr>
          <w:p w14:paraId="50DDFA33">
            <w:pPr>
              <w:rPr>
                <w:rFonts w:hint="eastAsia" w:ascii="宋体" w:hAnsi="宋体" w:eastAsia="宋体" w:cs="宋体"/>
                <w:i w:val="0"/>
                <w:iCs w:val="0"/>
                <w:color w:val="000000"/>
                <w:sz w:val="18"/>
                <w:szCs w:val="18"/>
                <w:u w:val="none"/>
              </w:rPr>
            </w:pPr>
          </w:p>
        </w:tc>
        <w:tc>
          <w:tcPr>
            <w:tcW w:w="491" w:type="dxa"/>
            <w:tcBorders>
              <w:top w:val="nil"/>
              <w:left w:val="nil"/>
              <w:bottom w:val="nil"/>
              <w:right w:val="nil"/>
            </w:tcBorders>
            <w:shd w:val="clear" w:color="auto" w:fill="auto"/>
            <w:vAlign w:val="center"/>
          </w:tcPr>
          <w:p w14:paraId="7AC51829">
            <w:pPr>
              <w:rPr>
                <w:rFonts w:hint="eastAsia" w:ascii="宋体" w:hAnsi="宋体" w:eastAsia="宋体" w:cs="宋体"/>
                <w:i w:val="0"/>
                <w:iCs w:val="0"/>
                <w:color w:val="000000"/>
                <w:sz w:val="18"/>
                <w:szCs w:val="18"/>
                <w:u w:val="none"/>
              </w:rPr>
            </w:pPr>
          </w:p>
        </w:tc>
        <w:tc>
          <w:tcPr>
            <w:tcW w:w="1027" w:type="dxa"/>
            <w:tcBorders>
              <w:top w:val="nil"/>
              <w:left w:val="nil"/>
              <w:bottom w:val="nil"/>
              <w:right w:val="nil"/>
            </w:tcBorders>
            <w:shd w:val="clear" w:color="auto" w:fill="auto"/>
            <w:vAlign w:val="center"/>
          </w:tcPr>
          <w:p w14:paraId="7F09FA53">
            <w:pPr>
              <w:rPr>
                <w:rFonts w:hint="eastAsia" w:ascii="宋体" w:hAnsi="宋体" w:eastAsia="宋体" w:cs="宋体"/>
                <w:i w:val="0"/>
                <w:iCs w:val="0"/>
                <w:color w:val="000000"/>
                <w:sz w:val="18"/>
                <w:szCs w:val="18"/>
                <w:u w:val="none"/>
              </w:rPr>
            </w:pPr>
          </w:p>
        </w:tc>
        <w:tc>
          <w:tcPr>
            <w:tcW w:w="476" w:type="dxa"/>
            <w:tcBorders>
              <w:top w:val="nil"/>
              <w:left w:val="nil"/>
              <w:bottom w:val="nil"/>
              <w:right w:val="nil"/>
            </w:tcBorders>
            <w:shd w:val="clear" w:color="auto" w:fill="auto"/>
            <w:vAlign w:val="center"/>
          </w:tcPr>
          <w:p w14:paraId="76AE1D23">
            <w:pPr>
              <w:rPr>
                <w:rFonts w:hint="eastAsia" w:ascii="宋体" w:hAnsi="宋体" w:eastAsia="宋体" w:cs="宋体"/>
                <w:i w:val="0"/>
                <w:iCs w:val="0"/>
                <w:color w:val="000000"/>
                <w:sz w:val="18"/>
                <w:szCs w:val="18"/>
                <w:u w:val="none"/>
              </w:rPr>
            </w:pPr>
          </w:p>
        </w:tc>
        <w:tc>
          <w:tcPr>
            <w:tcW w:w="429" w:type="dxa"/>
            <w:tcBorders>
              <w:top w:val="nil"/>
              <w:left w:val="nil"/>
              <w:bottom w:val="nil"/>
              <w:right w:val="nil"/>
            </w:tcBorders>
            <w:shd w:val="clear" w:color="auto" w:fill="auto"/>
            <w:vAlign w:val="center"/>
          </w:tcPr>
          <w:p w14:paraId="355D2D62">
            <w:pPr>
              <w:rPr>
                <w:rFonts w:hint="eastAsia" w:ascii="宋体" w:hAnsi="宋体" w:eastAsia="宋体" w:cs="宋体"/>
                <w:i w:val="0"/>
                <w:iCs w:val="0"/>
                <w:color w:val="000000"/>
                <w:sz w:val="18"/>
                <w:szCs w:val="18"/>
                <w:u w:val="none"/>
              </w:rPr>
            </w:pPr>
          </w:p>
        </w:tc>
        <w:tc>
          <w:tcPr>
            <w:tcW w:w="2408" w:type="dxa"/>
            <w:tcBorders>
              <w:top w:val="nil"/>
              <w:left w:val="nil"/>
              <w:bottom w:val="nil"/>
              <w:right w:val="nil"/>
            </w:tcBorders>
            <w:shd w:val="clear" w:color="auto" w:fill="auto"/>
            <w:vAlign w:val="center"/>
          </w:tcPr>
          <w:p w14:paraId="24D9AB56">
            <w:pPr>
              <w:rPr>
                <w:rFonts w:hint="eastAsia" w:ascii="宋体" w:hAnsi="宋体" w:eastAsia="宋体" w:cs="宋体"/>
                <w:i w:val="0"/>
                <w:iCs w:val="0"/>
                <w:color w:val="000000"/>
                <w:sz w:val="18"/>
                <w:szCs w:val="18"/>
                <w:u w:val="none"/>
              </w:rPr>
            </w:pPr>
          </w:p>
        </w:tc>
      </w:tr>
      <w:tr w14:paraId="0A1B1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2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5C5C13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581D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360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70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4E2DD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51172423T000009129780-特殊教育补助资金（特校）</w:t>
            </w:r>
          </w:p>
        </w:tc>
      </w:tr>
      <w:tr w14:paraId="701F5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47B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3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EAB2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大竹县特殊教育学校部门</w:t>
            </w:r>
          </w:p>
        </w:tc>
        <w:tc>
          <w:tcPr>
            <w:tcW w:w="1027" w:type="dxa"/>
            <w:tcBorders>
              <w:top w:val="nil"/>
              <w:left w:val="nil"/>
              <w:bottom w:val="nil"/>
              <w:right w:val="nil"/>
            </w:tcBorders>
            <w:shd w:val="clear" w:color="auto" w:fill="auto"/>
            <w:vAlign w:val="center"/>
          </w:tcPr>
          <w:p w14:paraId="1C162C8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3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92B8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大竹县特殊教育学校</w:t>
            </w:r>
          </w:p>
        </w:tc>
      </w:tr>
      <w:tr w14:paraId="00CE4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39C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0AC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3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B0CC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B9EB8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96B4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2E717">
            <w:pPr>
              <w:rPr>
                <w:rFonts w:hint="eastAsia" w:ascii="宋体" w:hAnsi="宋体" w:eastAsia="宋体" w:cs="宋体"/>
                <w:i w:val="0"/>
                <w:iCs w:val="0"/>
                <w:color w:val="000000"/>
                <w:sz w:val="18"/>
                <w:szCs w:val="18"/>
                <w:u w:val="none"/>
              </w:rPr>
            </w:pP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EA814">
            <w:pPr>
              <w:rPr>
                <w:rFonts w:hint="eastAsia" w:ascii="宋体" w:hAnsi="宋体" w:eastAsia="宋体" w:cs="宋体"/>
                <w:i w:val="0"/>
                <w:iCs w:val="0"/>
                <w:color w:val="000000"/>
                <w:sz w:val="18"/>
                <w:szCs w:val="18"/>
                <w:u w:val="none"/>
              </w:rPr>
            </w:pPr>
          </w:p>
        </w:tc>
        <w:tc>
          <w:tcPr>
            <w:tcW w:w="63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FFCB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新建校舍，添置教学设备，改善教学条件。</w:t>
            </w:r>
          </w:p>
        </w:tc>
        <w:tc>
          <w:tcPr>
            <w:tcW w:w="4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9C740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新建校舍，添置教学设备，改善教学条件。</w:t>
            </w:r>
          </w:p>
        </w:tc>
      </w:tr>
      <w:tr w14:paraId="18BE7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591E3">
            <w:pPr>
              <w:rPr>
                <w:rFonts w:hint="eastAsia" w:ascii="宋体" w:hAnsi="宋体" w:eastAsia="宋体" w:cs="宋体"/>
                <w:i w:val="0"/>
                <w:iCs w:val="0"/>
                <w:color w:val="000000"/>
                <w:sz w:val="18"/>
                <w:szCs w:val="18"/>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2A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70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57891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新建校舍，添置教学设备，改善教学条件。</w:t>
            </w:r>
          </w:p>
        </w:tc>
      </w:tr>
      <w:tr w14:paraId="5A412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49F6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27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74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5D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3D7B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AE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51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BC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70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1FED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EFACC">
            <w:pPr>
              <w:jc w:val="center"/>
              <w:rPr>
                <w:rFonts w:hint="eastAsia" w:ascii="宋体" w:hAnsi="宋体" w:eastAsia="宋体" w:cs="宋体"/>
                <w:i w:val="0"/>
                <w:iCs w:val="0"/>
                <w:color w:val="000000"/>
                <w:sz w:val="18"/>
                <w:szCs w:val="18"/>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D4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9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CF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720.00</w:t>
            </w:r>
          </w:p>
        </w:tc>
        <w:tc>
          <w:tcPr>
            <w:tcW w:w="2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239B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720.00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2E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33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44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B010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0CB0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6E969">
            <w:pPr>
              <w:jc w:val="center"/>
              <w:rPr>
                <w:rFonts w:hint="eastAsia" w:ascii="宋体" w:hAnsi="宋体" w:eastAsia="宋体" w:cs="宋体"/>
                <w:i w:val="0"/>
                <w:iCs w:val="0"/>
                <w:color w:val="000000"/>
                <w:sz w:val="18"/>
                <w:szCs w:val="18"/>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A3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A6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A0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720.00</w:t>
            </w:r>
          </w:p>
        </w:tc>
        <w:tc>
          <w:tcPr>
            <w:tcW w:w="2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B237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720.00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03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19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5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95FC5">
            <w:pPr>
              <w:rPr>
                <w:rFonts w:hint="eastAsia" w:ascii="黑体" w:hAnsi="黑体" w:eastAsia="黑体" w:cs="黑体"/>
                <w:i/>
                <w:iCs/>
                <w:color w:val="000000"/>
                <w:sz w:val="18"/>
                <w:szCs w:val="18"/>
                <w:u w:val="none"/>
              </w:rPr>
            </w:pPr>
          </w:p>
        </w:tc>
      </w:tr>
      <w:tr w14:paraId="4C8AE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97249">
            <w:pPr>
              <w:jc w:val="center"/>
              <w:rPr>
                <w:rFonts w:hint="eastAsia" w:ascii="宋体" w:hAnsi="宋体" w:eastAsia="宋体" w:cs="宋体"/>
                <w:i w:val="0"/>
                <w:iCs w:val="0"/>
                <w:color w:val="000000"/>
                <w:sz w:val="18"/>
                <w:szCs w:val="18"/>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CA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48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79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93F0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D0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59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06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607CF">
            <w:pPr>
              <w:rPr>
                <w:rFonts w:hint="eastAsia" w:ascii="黑体" w:hAnsi="黑体" w:eastAsia="黑体" w:cs="黑体"/>
                <w:i/>
                <w:iCs/>
                <w:color w:val="000000"/>
                <w:sz w:val="18"/>
                <w:szCs w:val="18"/>
                <w:u w:val="none"/>
              </w:rPr>
            </w:pPr>
          </w:p>
        </w:tc>
      </w:tr>
      <w:tr w14:paraId="53AB8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F8E93">
            <w:pPr>
              <w:jc w:val="center"/>
              <w:rPr>
                <w:rFonts w:hint="eastAsia" w:ascii="宋体" w:hAnsi="宋体" w:eastAsia="宋体" w:cs="宋体"/>
                <w:i w:val="0"/>
                <w:iCs w:val="0"/>
                <w:color w:val="000000"/>
                <w:sz w:val="18"/>
                <w:szCs w:val="18"/>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A1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00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11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A904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63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98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5D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258F2">
            <w:pPr>
              <w:rPr>
                <w:rFonts w:hint="eastAsia" w:ascii="黑体" w:hAnsi="黑体" w:eastAsia="黑体" w:cs="黑体"/>
                <w:i/>
                <w:iCs/>
                <w:color w:val="000000"/>
                <w:sz w:val="18"/>
                <w:szCs w:val="18"/>
                <w:u w:val="none"/>
              </w:rPr>
            </w:pPr>
          </w:p>
        </w:tc>
      </w:tr>
      <w:tr w14:paraId="0281C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56A43">
            <w:pPr>
              <w:jc w:val="center"/>
              <w:rPr>
                <w:rFonts w:hint="eastAsia" w:ascii="宋体" w:hAnsi="宋体" w:eastAsia="宋体" w:cs="宋体"/>
                <w:i w:val="0"/>
                <w:iCs w:val="0"/>
                <w:color w:val="000000"/>
                <w:sz w:val="18"/>
                <w:szCs w:val="18"/>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28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F7C0">
            <w:pPr>
              <w:jc w:val="center"/>
              <w:rPr>
                <w:rFonts w:hint="eastAsia" w:ascii="微软雅黑" w:hAnsi="微软雅黑" w:eastAsia="微软雅黑" w:cs="微软雅黑"/>
                <w:i/>
                <w:iCs/>
                <w:color w:val="000000"/>
                <w:sz w:val="16"/>
                <w:szCs w:val="16"/>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6C18">
            <w:pPr>
              <w:jc w:val="center"/>
              <w:rPr>
                <w:rFonts w:hint="eastAsia" w:ascii="微软雅黑" w:hAnsi="微软雅黑" w:eastAsia="微软雅黑" w:cs="微软雅黑"/>
                <w:i/>
                <w:iCs/>
                <w:color w:val="000000"/>
                <w:sz w:val="16"/>
                <w:szCs w:val="16"/>
                <w:u w:val="none"/>
              </w:rPr>
            </w:pPr>
          </w:p>
        </w:tc>
        <w:tc>
          <w:tcPr>
            <w:tcW w:w="2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794ACC">
            <w:pPr>
              <w:jc w:val="center"/>
              <w:rPr>
                <w:rFonts w:hint="eastAsia" w:ascii="微软雅黑" w:hAnsi="微软雅黑" w:eastAsia="微软雅黑" w:cs="微软雅黑"/>
                <w:i/>
                <w:iCs/>
                <w:color w:val="000000"/>
                <w:sz w:val="16"/>
                <w:szCs w:val="16"/>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0525">
            <w:pPr>
              <w:jc w:val="center"/>
              <w:rPr>
                <w:rFonts w:hint="eastAsia" w:ascii="微软雅黑" w:hAnsi="微软雅黑" w:eastAsia="微软雅黑" w:cs="微软雅黑"/>
                <w:i/>
                <w:iCs/>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3E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8A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51D4B">
            <w:pPr>
              <w:rPr>
                <w:rFonts w:hint="eastAsia" w:ascii="黑体" w:hAnsi="黑体" w:eastAsia="黑体" w:cs="黑体"/>
                <w:i/>
                <w:iCs/>
                <w:color w:val="000000"/>
                <w:sz w:val="18"/>
                <w:szCs w:val="18"/>
                <w:u w:val="none"/>
              </w:rPr>
            </w:pPr>
          </w:p>
        </w:tc>
      </w:tr>
      <w:tr w14:paraId="00360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309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0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00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EC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2F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A4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36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0D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51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F9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48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2C7A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BE6B1">
            <w:pPr>
              <w:jc w:val="center"/>
              <w:rPr>
                <w:rFonts w:hint="eastAsia" w:ascii="宋体" w:hAnsi="宋体" w:eastAsia="宋体" w:cs="宋体"/>
                <w:i w:val="0"/>
                <w:iCs w:val="0"/>
                <w:color w:val="000000"/>
                <w:sz w:val="18"/>
                <w:szCs w:val="18"/>
                <w:u w:val="none"/>
              </w:rPr>
            </w:pP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DFA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5540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B9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电子白板个数</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17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4D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63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台（套）</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ADA7">
            <w:pPr>
              <w:jc w:val="center"/>
              <w:rPr>
                <w:rFonts w:hint="eastAsia" w:ascii="微软雅黑" w:hAnsi="微软雅黑" w:eastAsia="微软雅黑" w:cs="微软雅黑"/>
                <w:i/>
                <w:iCs/>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D2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45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EE1C">
            <w:pPr>
              <w:jc w:val="center"/>
              <w:rPr>
                <w:rFonts w:hint="eastAsia" w:ascii="微软雅黑" w:hAnsi="微软雅黑" w:eastAsia="微软雅黑" w:cs="微软雅黑"/>
                <w:i/>
                <w:iCs/>
                <w:color w:val="000000"/>
                <w:sz w:val="16"/>
                <w:szCs w:val="16"/>
                <w:u w:val="none"/>
              </w:rPr>
            </w:pPr>
          </w:p>
        </w:tc>
      </w:tr>
      <w:tr w14:paraId="39C90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97B01">
            <w:pPr>
              <w:jc w:val="center"/>
              <w:rPr>
                <w:rFonts w:hint="eastAsia" w:ascii="宋体" w:hAnsi="宋体" w:eastAsia="宋体" w:cs="宋体"/>
                <w:i w:val="0"/>
                <w:iCs w:val="0"/>
                <w:color w:val="000000"/>
                <w:sz w:val="18"/>
                <w:szCs w:val="18"/>
                <w:u w:val="none"/>
              </w:rPr>
            </w:pP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1EB3E">
            <w:pPr>
              <w:jc w:val="center"/>
              <w:rPr>
                <w:rFonts w:hint="eastAsia" w:ascii="宋体" w:hAnsi="宋体" w:eastAsia="宋体" w:cs="宋体"/>
                <w:i w:val="0"/>
                <w:iCs w:val="0"/>
                <w:color w:val="000000"/>
                <w:sz w:val="18"/>
                <w:szCs w:val="18"/>
                <w:u w:val="none"/>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2C8D0">
            <w:pPr>
              <w:jc w:val="center"/>
              <w:rPr>
                <w:rFonts w:hint="eastAsia" w:ascii="宋体" w:hAnsi="宋体" w:eastAsia="宋体" w:cs="宋体"/>
                <w:i w:val="0"/>
                <w:iCs w:val="0"/>
                <w:color w:val="000000"/>
                <w:sz w:val="18"/>
                <w:szCs w:val="18"/>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F8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资源教室数量</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AF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38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D6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个/艘</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3F3A">
            <w:pPr>
              <w:jc w:val="center"/>
              <w:rPr>
                <w:rFonts w:hint="eastAsia" w:ascii="微软雅黑" w:hAnsi="微软雅黑" w:eastAsia="微软雅黑" w:cs="微软雅黑"/>
                <w:i/>
                <w:iCs/>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50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A4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FB60">
            <w:pPr>
              <w:jc w:val="center"/>
              <w:rPr>
                <w:rFonts w:hint="eastAsia" w:ascii="微软雅黑" w:hAnsi="微软雅黑" w:eastAsia="微软雅黑" w:cs="微软雅黑"/>
                <w:i/>
                <w:iCs/>
                <w:color w:val="000000"/>
                <w:sz w:val="16"/>
                <w:szCs w:val="16"/>
                <w:u w:val="none"/>
              </w:rPr>
            </w:pPr>
          </w:p>
        </w:tc>
      </w:tr>
      <w:tr w14:paraId="6A381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47FB6">
            <w:pPr>
              <w:jc w:val="center"/>
              <w:rPr>
                <w:rFonts w:hint="eastAsia" w:ascii="宋体" w:hAnsi="宋体" w:eastAsia="宋体" w:cs="宋体"/>
                <w:i w:val="0"/>
                <w:iCs w:val="0"/>
                <w:color w:val="000000"/>
                <w:sz w:val="18"/>
                <w:szCs w:val="18"/>
                <w:u w:val="none"/>
              </w:rPr>
            </w:pP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A3639">
            <w:pPr>
              <w:jc w:val="center"/>
              <w:rPr>
                <w:rFonts w:hint="eastAsia" w:ascii="宋体" w:hAnsi="宋体" w:eastAsia="宋体" w:cs="宋体"/>
                <w:i w:val="0"/>
                <w:iCs w:val="0"/>
                <w:color w:val="000000"/>
                <w:sz w:val="18"/>
                <w:szCs w:val="18"/>
                <w:u w:val="none"/>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7ED9F">
            <w:pPr>
              <w:jc w:val="center"/>
              <w:rPr>
                <w:rFonts w:hint="eastAsia" w:ascii="宋体" w:hAnsi="宋体" w:eastAsia="宋体" w:cs="宋体"/>
                <w:i w:val="0"/>
                <w:iCs w:val="0"/>
                <w:color w:val="000000"/>
                <w:sz w:val="18"/>
                <w:szCs w:val="18"/>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EF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竣工验收合格率</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AC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26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82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0C66">
            <w:pPr>
              <w:jc w:val="center"/>
              <w:rPr>
                <w:rFonts w:hint="eastAsia" w:ascii="微软雅黑" w:hAnsi="微软雅黑" w:eastAsia="微软雅黑" w:cs="微软雅黑"/>
                <w:i/>
                <w:iCs/>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C2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3B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A999">
            <w:pPr>
              <w:jc w:val="center"/>
              <w:rPr>
                <w:rFonts w:hint="eastAsia" w:ascii="微软雅黑" w:hAnsi="微软雅黑" w:eastAsia="微软雅黑" w:cs="微软雅黑"/>
                <w:i/>
                <w:iCs/>
                <w:color w:val="000000"/>
                <w:sz w:val="16"/>
                <w:szCs w:val="16"/>
                <w:u w:val="none"/>
              </w:rPr>
            </w:pPr>
          </w:p>
        </w:tc>
      </w:tr>
      <w:tr w14:paraId="62E6B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54BB9">
            <w:pPr>
              <w:jc w:val="center"/>
              <w:rPr>
                <w:rFonts w:hint="eastAsia" w:ascii="宋体" w:hAnsi="宋体" w:eastAsia="宋体" w:cs="宋体"/>
                <w:i w:val="0"/>
                <w:iCs w:val="0"/>
                <w:color w:val="000000"/>
                <w:sz w:val="18"/>
                <w:szCs w:val="18"/>
                <w:u w:val="none"/>
              </w:rPr>
            </w:pP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54B39">
            <w:pPr>
              <w:jc w:val="center"/>
              <w:rPr>
                <w:rFonts w:hint="eastAsia" w:ascii="宋体" w:hAnsi="宋体" w:eastAsia="宋体" w:cs="宋体"/>
                <w:i w:val="0"/>
                <w:iCs w:val="0"/>
                <w:color w:val="000000"/>
                <w:sz w:val="18"/>
                <w:szCs w:val="18"/>
                <w:u w:val="none"/>
              </w:rPr>
            </w:pP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F2F5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33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质量达标率</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76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EB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E5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EF7A">
            <w:pPr>
              <w:jc w:val="center"/>
              <w:rPr>
                <w:rFonts w:hint="eastAsia" w:ascii="微软雅黑" w:hAnsi="微软雅黑" w:eastAsia="微软雅黑" w:cs="微软雅黑"/>
                <w:i/>
                <w:iCs/>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C6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EF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9EC5">
            <w:pPr>
              <w:jc w:val="center"/>
              <w:rPr>
                <w:rFonts w:hint="eastAsia" w:ascii="微软雅黑" w:hAnsi="微软雅黑" w:eastAsia="微软雅黑" w:cs="微软雅黑"/>
                <w:i/>
                <w:iCs/>
                <w:color w:val="000000"/>
                <w:sz w:val="16"/>
                <w:szCs w:val="16"/>
                <w:u w:val="none"/>
              </w:rPr>
            </w:pPr>
          </w:p>
        </w:tc>
      </w:tr>
      <w:tr w14:paraId="73BFA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F3DA7">
            <w:pPr>
              <w:jc w:val="center"/>
              <w:rPr>
                <w:rFonts w:hint="eastAsia" w:ascii="宋体" w:hAnsi="宋体" w:eastAsia="宋体" w:cs="宋体"/>
                <w:i w:val="0"/>
                <w:iCs w:val="0"/>
                <w:color w:val="000000"/>
                <w:sz w:val="18"/>
                <w:szCs w:val="18"/>
                <w:u w:val="none"/>
              </w:rPr>
            </w:pP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D149A">
            <w:pPr>
              <w:jc w:val="center"/>
              <w:rPr>
                <w:rFonts w:hint="eastAsia" w:ascii="宋体" w:hAnsi="宋体" w:eastAsia="宋体" w:cs="宋体"/>
                <w:i w:val="0"/>
                <w:iCs w:val="0"/>
                <w:color w:val="000000"/>
                <w:sz w:val="18"/>
                <w:szCs w:val="18"/>
                <w:u w:val="none"/>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8A822">
            <w:pPr>
              <w:jc w:val="center"/>
              <w:rPr>
                <w:rFonts w:hint="eastAsia" w:ascii="宋体" w:hAnsi="宋体" w:eastAsia="宋体" w:cs="宋体"/>
                <w:i w:val="0"/>
                <w:iCs w:val="0"/>
                <w:color w:val="000000"/>
                <w:sz w:val="18"/>
                <w:szCs w:val="18"/>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88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建设周期</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3E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A2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61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A057">
            <w:pPr>
              <w:jc w:val="center"/>
              <w:rPr>
                <w:rFonts w:hint="eastAsia" w:ascii="微软雅黑" w:hAnsi="微软雅黑" w:eastAsia="微软雅黑" w:cs="微软雅黑"/>
                <w:i/>
                <w:iCs/>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09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C4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EF00">
            <w:pPr>
              <w:jc w:val="center"/>
              <w:rPr>
                <w:rFonts w:hint="eastAsia" w:ascii="微软雅黑" w:hAnsi="微软雅黑" w:eastAsia="微软雅黑" w:cs="微软雅黑"/>
                <w:i/>
                <w:iCs/>
                <w:color w:val="000000"/>
                <w:sz w:val="16"/>
                <w:szCs w:val="16"/>
                <w:u w:val="none"/>
              </w:rPr>
            </w:pPr>
          </w:p>
        </w:tc>
      </w:tr>
      <w:tr w14:paraId="28EF0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2AF45">
            <w:pPr>
              <w:jc w:val="center"/>
              <w:rPr>
                <w:rFonts w:hint="eastAsia" w:ascii="宋体" w:hAnsi="宋体" w:eastAsia="宋体" w:cs="宋体"/>
                <w:i w:val="0"/>
                <w:iCs w:val="0"/>
                <w:color w:val="000000"/>
                <w:sz w:val="18"/>
                <w:szCs w:val="18"/>
                <w:u w:val="none"/>
              </w:rPr>
            </w:pP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75E2C">
            <w:pPr>
              <w:jc w:val="center"/>
              <w:rPr>
                <w:rFonts w:hint="eastAsia" w:ascii="宋体" w:hAnsi="宋体" w:eastAsia="宋体" w:cs="宋体"/>
                <w:i w:val="0"/>
                <w:iCs w:val="0"/>
                <w:color w:val="000000"/>
                <w:sz w:val="18"/>
                <w:szCs w:val="18"/>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7A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49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校舍建筑面积</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50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A6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F0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6318">
            <w:pPr>
              <w:jc w:val="center"/>
              <w:rPr>
                <w:rFonts w:hint="eastAsia" w:ascii="微软雅黑" w:hAnsi="微软雅黑" w:eastAsia="微软雅黑" w:cs="微软雅黑"/>
                <w:i/>
                <w:iCs/>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57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06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88FB">
            <w:pPr>
              <w:jc w:val="center"/>
              <w:rPr>
                <w:rFonts w:hint="eastAsia" w:ascii="微软雅黑" w:hAnsi="微软雅黑" w:eastAsia="微软雅黑" w:cs="微软雅黑"/>
                <w:i/>
                <w:iCs/>
                <w:color w:val="000000"/>
                <w:sz w:val="16"/>
                <w:szCs w:val="16"/>
                <w:u w:val="none"/>
              </w:rPr>
            </w:pPr>
          </w:p>
        </w:tc>
      </w:tr>
      <w:tr w14:paraId="0F7FE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7B411">
            <w:pPr>
              <w:jc w:val="center"/>
              <w:rPr>
                <w:rFonts w:hint="eastAsia" w:ascii="宋体" w:hAnsi="宋体" w:eastAsia="宋体" w:cs="宋体"/>
                <w:i w:val="0"/>
                <w:iCs w:val="0"/>
                <w:color w:val="000000"/>
                <w:sz w:val="18"/>
                <w:szCs w:val="18"/>
                <w:u w:val="none"/>
              </w:rPr>
            </w:pP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7D06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D0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F0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建成后综合利用率</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F4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14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CF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ECA4">
            <w:pPr>
              <w:jc w:val="center"/>
              <w:rPr>
                <w:rFonts w:hint="eastAsia" w:ascii="微软雅黑" w:hAnsi="微软雅黑" w:eastAsia="微软雅黑" w:cs="微软雅黑"/>
                <w:i/>
                <w:iCs/>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B1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2F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2029">
            <w:pPr>
              <w:jc w:val="center"/>
              <w:rPr>
                <w:rFonts w:hint="eastAsia" w:ascii="微软雅黑" w:hAnsi="微软雅黑" w:eastAsia="微软雅黑" w:cs="微软雅黑"/>
                <w:i/>
                <w:iCs/>
                <w:color w:val="000000"/>
                <w:sz w:val="16"/>
                <w:szCs w:val="16"/>
                <w:u w:val="none"/>
              </w:rPr>
            </w:pPr>
          </w:p>
        </w:tc>
      </w:tr>
      <w:tr w14:paraId="5A6D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91A89">
            <w:pPr>
              <w:jc w:val="center"/>
              <w:rPr>
                <w:rFonts w:hint="eastAsia" w:ascii="宋体" w:hAnsi="宋体" w:eastAsia="宋体" w:cs="宋体"/>
                <w:i w:val="0"/>
                <w:iCs w:val="0"/>
                <w:color w:val="000000"/>
                <w:sz w:val="18"/>
                <w:szCs w:val="18"/>
                <w:u w:val="none"/>
              </w:rPr>
            </w:pP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85751">
            <w:pPr>
              <w:jc w:val="center"/>
              <w:rPr>
                <w:rFonts w:hint="eastAsia" w:ascii="宋体" w:hAnsi="宋体" w:eastAsia="宋体" w:cs="宋体"/>
                <w:i w:val="0"/>
                <w:iCs w:val="0"/>
                <w:color w:val="000000"/>
                <w:sz w:val="18"/>
                <w:szCs w:val="18"/>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AD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6A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学生学习康复持续发挥作用周期</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E6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51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1039">
            <w:pPr>
              <w:jc w:val="center"/>
              <w:rPr>
                <w:rFonts w:hint="eastAsia" w:ascii="宋体" w:hAnsi="宋体" w:eastAsia="宋体" w:cs="宋体"/>
                <w:i w:val="0"/>
                <w:iCs w:val="0"/>
                <w:color w:val="000000"/>
                <w:sz w:val="18"/>
                <w:szCs w:val="18"/>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D6F3">
            <w:pPr>
              <w:jc w:val="center"/>
              <w:rPr>
                <w:rFonts w:hint="eastAsia" w:ascii="微软雅黑" w:hAnsi="微软雅黑" w:eastAsia="微软雅黑" w:cs="微软雅黑"/>
                <w:i/>
                <w:iCs/>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66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DE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049F">
            <w:pPr>
              <w:jc w:val="center"/>
              <w:rPr>
                <w:rFonts w:hint="eastAsia" w:ascii="微软雅黑" w:hAnsi="微软雅黑" w:eastAsia="微软雅黑" w:cs="微软雅黑"/>
                <w:i/>
                <w:iCs/>
                <w:color w:val="000000"/>
                <w:sz w:val="16"/>
                <w:szCs w:val="16"/>
                <w:u w:val="none"/>
              </w:rPr>
            </w:pPr>
          </w:p>
        </w:tc>
      </w:tr>
      <w:tr w14:paraId="3FDFB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C7CBE">
            <w:pPr>
              <w:jc w:val="center"/>
              <w:rPr>
                <w:rFonts w:hint="eastAsia" w:ascii="宋体" w:hAnsi="宋体" w:eastAsia="宋体" w:cs="宋体"/>
                <w:i w:val="0"/>
                <w:iCs w:val="0"/>
                <w:color w:val="000000"/>
                <w:sz w:val="18"/>
                <w:szCs w:val="18"/>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09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64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DF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学生满意度</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D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2C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51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433E">
            <w:pPr>
              <w:jc w:val="center"/>
              <w:rPr>
                <w:rFonts w:hint="eastAsia" w:ascii="微软雅黑" w:hAnsi="微软雅黑" w:eastAsia="微软雅黑" w:cs="微软雅黑"/>
                <w:i/>
                <w:iCs/>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E7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05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8638">
            <w:pPr>
              <w:jc w:val="center"/>
              <w:rPr>
                <w:rFonts w:hint="eastAsia" w:ascii="微软雅黑" w:hAnsi="微软雅黑" w:eastAsia="微软雅黑" w:cs="微软雅黑"/>
                <w:i/>
                <w:iCs/>
                <w:color w:val="000000"/>
                <w:sz w:val="16"/>
                <w:szCs w:val="16"/>
                <w:u w:val="none"/>
              </w:rPr>
            </w:pPr>
          </w:p>
        </w:tc>
      </w:tr>
      <w:tr w14:paraId="7AB01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9D854">
            <w:pPr>
              <w:jc w:val="center"/>
              <w:rPr>
                <w:rFonts w:hint="eastAsia" w:ascii="宋体" w:hAnsi="宋体" w:eastAsia="宋体" w:cs="宋体"/>
                <w:i w:val="0"/>
                <w:iCs w:val="0"/>
                <w:color w:val="000000"/>
                <w:sz w:val="18"/>
                <w:szCs w:val="18"/>
                <w:u w:val="none"/>
              </w:rPr>
            </w:pPr>
          </w:p>
        </w:tc>
        <w:tc>
          <w:tcPr>
            <w:tcW w:w="1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011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A27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2D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单位建筑价格</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6D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B4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A8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元/平方米</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2EF0">
            <w:pPr>
              <w:jc w:val="center"/>
              <w:rPr>
                <w:rFonts w:hint="eastAsia" w:ascii="微软雅黑" w:hAnsi="微软雅黑" w:eastAsia="微软雅黑" w:cs="微软雅黑"/>
                <w:i/>
                <w:iCs/>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30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E8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7E6E">
            <w:pPr>
              <w:jc w:val="center"/>
              <w:rPr>
                <w:rFonts w:hint="eastAsia" w:ascii="微软雅黑" w:hAnsi="微软雅黑" w:eastAsia="微软雅黑" w:cs="微软雅黑"/>
                <w:i/>
                <w:iCs/>
                <w:color w:val="000000"/>
                <w:sz w:val="16"/>
                <w:szCs w:val="16"/>
                <w:u w:val="none"/>
              </w:rPr>
            </w:pPr>
          </w:p>
        </w:tc>
      </w:tr>
      <w:tr w14:paraId="76EBF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E6929">
            <w:pPr>
              <w:jc w:val="center"/>
              <w:rPr>
                <w:rFonts w:hint="eastAsia" w:ascii="宋体" w:hAnsi="宋体" w:eastAsia="宋体" w:cs="宋体"/>
                <w:i w:val="0"/>
                <w:iCs w:val="0"/>
                <w:color w:val="000000"/>
                <w:sz w:val="18"/>
                <w:szCs w:val="18"/>
                <w:u w:val="none"/>
              </w:rPr>
            </w:pP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57F0B">
            <w:pPr>
              <w:jc w:val="center"/>
              <w:rPr>
                <w:rFonts w:hint="eastAsia" w:ascii="宋体" w:hAnsi="宋体" w:eastAsia="宋体" w:cs="宋体"/>
                <w:i w:val="0"/>
                <w:iCs w:val="0"/>
                <w:color w:val="000000"/>
                <w:sz w:val="18"/>
                <w:szCs w:val="18"/>
                <w:u w:val="none"/>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A856C">
            <w:pPr>
              <w:jc w:val="center"/>
              <w:rPr>
                <w:rFonts w:hint="eastAsia" w:ascii="宋体" w:hAnsi="宋体" w:eastAsia="宋体" w:cs="宋体"/>
                <w:i w:val="0"/>
                <w:iCs w:val="0"/>
                <w:color w:val="000000"/>
                <w:sz w:val="18"/>
                <w:szCs w:val="18"/>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0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电子白板价格</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E4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69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B9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元/套</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EDA7">
            <w:pPr>
              <w:jc w:val="center"/>
              <w:rPr>
                <w:rFonts w:hint="eastAsia" w:ascii="微软雅黑" w:hAnsi="微软雅黑" w:eastAsia="微软雅黑" w:cs="微软雅黑"/>
                <w:i/>
                <w:iCs/>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DE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12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033E">
            <w:pPr>
              <w:jc w:val="center"/>
              <w:rPr>
                <w:rFonts w:hint="eastAsia" w:ascii="微软雅黑" w:hAnsi="微软雅黑" w:eastAsia="微软雅黑" w:cs="微软雅黑"/>
                <w:i/>
                <w:iCs/>
                <w:color w:val="000000"/>
                <w:sz w:val="16"/>
                <w:szCs w:val="16"/>
                <w:u w:val="none"/>
              </w:rPr>
            </w:pPr>
          </w:p>
        </w:tc>
      </w:tr>
      <w:tr w14:paraId="0286B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C5BCC">
            <w:pPr>
              <w:jc w:val="center"/>
              <w:rPr>
                <w:rFonts w:hint="eastAsia" w:ascii="宋体" w:hAnsi="宋体" w:eastAsia="宋体" w:cs="宋体"/>
                <w:i w:val="0"/>
                <w:iCs w:val="0"/>
                <w:color w:val="000000"/>
                <w:sz w:val="18"/>
                <w:szCs w:val="18"/>
                <w:u w:val="none"/>
              </w:rPr>
            </w:pPr>
          </w:p>
        </w:tc>
        <w:tc>
          <w:tcPr>
            <w:tcW w:w="1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0618B">
            <w:pPr>
              <w:jc w:val="center"/>
              <w:rPr>
                <w:rFonts w:hint="eastAsia" w:ascii="宋体" w:hAnsi="宋体" w:eastAsia="宋体" w:cs="宋体"/>
                <w:i w:val="0"/>
                <w:iCs w:val="0"/>
                <w:color w:val="000000"/>
                <w:sz w:val="18"/>
                <w:szCs w:val="18"/>
                <w:u w:val="none"/>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A3B52">
            <w:pPr>
              <w:jc w:val="center"/>
              <w:rPr>
                <w:rFonts w:hint="eastAsia" w:ascii="宋体" w:hAnsi="宋体" w:eastAsia="宋体" w:cs="宋体"/>
                <w:i w:val="0"/>
                <w:iCs w:val="0"/>
                <w:color w:val="000000"/>
                <w:sz w:val="18"/>
                <w:szCs w:val="18"/>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98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资源教室价格</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66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D1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200000</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9F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4C1A">
            <w:pPr>
              <w:jc w:val="center"/>
              <w:rPr>
                <w:rFonts w:hint="eastAsia" w:ascii="微软雅黑" w:hAnsi="微软雅黑" w:eastAsia="微软雅黑" w:cs="微软雅黑"/>
                <w:i/>
                <w:iCs/>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32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57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AB5B">
            <w:pPr>
              <w:jc w:val="center"/>
              <w:rPr>
                <w:rFonts w:hint="eastAsia" w:ascii="微软雅黑" w:hAnsi="微软雅黑" w:eastAsia="微软雅黑" w:cs="微软雅黑"/>
                <w:i/>
                <w:iCs/>
                <w:color w:val="000000"/>
                <w:sz w:val="16"/>
                <w:szCs w:val="16"/>
                <w:u w:val="none"/>
              </w:rPr>
            </w:pPr>
          </w:p>
        </w:tc>
      </w:tr>
      <w:tr w14:paraId="04A9E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9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5511B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FD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585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164C">
            <w:pPr>
              <w:rPr>
                <w:rFonts w:hint="eastAsia" w:ascii="宋体" w:hAnsi="宋体" w:eastAsia="宋体" w:cs="宋体"/>
                <w:i w:val="0"/>
                <w:iCs w:val="0"/>
                <w:color w:val="000000"/>
                <w:sz w:val="18"/>
                <w:szCs w:val="18"/>
                <w:u w:val="none"/>
              </w:rPr>
            </w:pPr>
          </w:p>
        </w:tc>
      </w:tr>
      <w:tr w14:paraId="020CD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4D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6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81A65A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项目自评总分达到100分，通过实施，项目达到了预期目标，取得了显著成果。</w:t>
            </w:r>
          </w:p>
        </w:tc>
      </w:tr>
      <w:tr w14:paraId="02F1F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DE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6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5B6C85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6AEB4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82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6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53804D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00CE3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8F60B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项目负责人：王景胜</w:t>
            </w:r>
          </w:p>
        </w:tc>
        <w:tc>
          <w:tcPr>
            <w:tcW w:w="64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CA187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财务负责人：樊小东</w:t>
            </w:r>
          </w:p>
        </w:tc>
      </w:tr>
    </w:tbl>
    <w:p w14:paraId="5F2A2571">
      <w:pPr>
        <w:numPr>
          <w:ilvl w:val="0"/>
          <w:numId w:val="0"/>
        </w:numPr>
        <w:spacing w:line="600" w:lineRule="exact"/>
        <w:jc w:val="both"/>
        <w:outlineLvl w:val="0"/>
        <w:rPr>
          <w:rStyle w:val="25"/>
          <w:rFonts w:hint="eastAsia" w:ascii="黑体" w:hAnsi="黑体" w:eastAsia="黑体"/>
          <w:b w:val="0"/>
        </w:rPr>
      </w:pPr>
    </w:p>
    <w:p w14:paraId="3B57CDDF">
      <w:pPr>
        <w:spacing w:line="572" w:lineRule="exact"/>
        <w:jc w:val="left"/>
        <w:outlineLvl w:val="0"/>
        <w:rPr>
          <w:rFonts w:ascii="仿宋_GB2312" w:hAnsi="仿宋_GB2312" w:eastAsia="仿宋_GB2312" w:cs="仿宋_GB2312"/>
          <w:sz w:val="32"/>
          <w:szCs w:val="32"/>
        </w:rPr>
      </w:pPr>
    </w:p>
    <w:p w14:paraId="3BA26177">
      <w:pPr>
        <w:rPr>
          <w:rFonts w:ascii="宋体" w:hAnsi="宋体" w:cs="宋体"/>
          <w:kern w:val="0"/>
          <w:sz w:val="32"/>
          <w:szCs w:val="32"/>
        </w:rPr>
        <w:sectPr>
          <w:footerReference r:id="rId9" w:type="first"/>
          <w:footerReference r:id="rId8" w:type="default"/>
          <w:pgSz w:w="16838" w:h="11906" w:orient="landscape"/>
          <w:pgMar w:top="1803" w:right="1440" w:bottom="1803" w:left="1440" w:header="851" w:footer="992" w:gutter="0"/>
          <w:cols w:space="0" w:num="1"/>
          <w:titlePg/>
          <w:docGrid w:type="lines" w:linePitch="319" w:charSpace="0"/>
        </w:sectPr>
      </w:pPr>
    </w:p>
    <w:bookmarkEnd w:id="77"/>
    <w:bookmarkEnd w:id="79"/>
    <w:p w14:paraId="378F1307">
      <w:pPr>
        <w:jc w:val="center"/>
        <w:rPr>
          <w:rFonts w:ascii="黑体" w:hAnsi="黑体" w:eastAsia="黑体"/>
          <w:sz w:val="44"/>
          <w:szCs w:val="44"/>
        </w:rPr>
      </w:pPr>
      <w:bookmarkStart w:id="80" w:name="_Toc31790"/>
    </w:p>
    <w:p w14:paraId="0029FFE6">
      <w:pPr>
        <w:jc w:val="center"/>
        <w:rPr>
          <w:rFonts w:ascii="仿宋" w:hAnsi="仿宋" w:eastAsia="仿宋"/>
        </w:rPr>
      </w:pPr>
      <w:r>
        <w:rPr>
          <w:rFonts w:hint="eastAsia" w:ascii="黑体" w:hAnsi="黑体" w:eastAsia="黑体"/>
          <w:sz w:val="44"/>
          <w:szCs w:val="44"/>
        </w:rPr>
        <w:t>第</w:t>
      </w:r>
      <w:r>
        <w:rPr>
          <w:rStyle w:val="25"/>
          <w:rFonts w:hint="eastAsia" w:ascii="黑体" w:hAnsi="黑体" w:eastAsia="黑体"/>
          <w:b w:val="0"/>
        </w:rPr>
        <w:t>五部分 附表</w:t>
      </w:r>
      <w:bookmarkEnd w:id="80"/>
      <w:bookmarkStart w:id="81" w:name="_Toc15396619"/>
    </w:p>
    <w:p w14:paraId="15EAFF16">
      <w:pPr>
        <w:pStyle w:val="3"/>
        <w:rPr>
          <w:rFonts w:ascii="仿宋" w:hAnsi="仿宋" w:eastAsia="仿宋"/>
        </w:rPr>
      </w:pPr>
      <w:bookmarkStart w:id="82" w:name="_Toc21540"/>
      <w:r>
        <w:rPr>
          <w:rFonts w:hint="eastAsia" w:ascii="仿宋" w:hAnsi="仿宋" w:eastAsia="仿宋"/>
          <w:b w:val="0"/>
        </w:rPr>
        <w:t>一、收</w:t>
      </w:r>
      <w:r>
        <w:rPr>
          <w:rStyle w:val="26"/>
          <w:rFonts w:hint="eastAsia" w:ascii="仿宋" w:hAnsi="仿宋" w:eastAsia="仿宋"/>
          <w:b w:val="0"/>
          <w:bCs w:val="0"/>
        </w:rPr>
        <w:t>入支出决算总表</w:t>
      </w:r>
      <w:bookmarkEnd w:id="81"/>
      <w:bookmarkEnd w:id="82"/>
    </w:p>
    <w:p w14:paraId="4560C516">
      <w:pPr>
        <w:pStyle w:val="3"/>
        <w:rPr>
          <w:rFonts w:ascii="仿宋" w:hAnsi="仿宋" w:eastAsia="仿宋"/>
        </w:rPr>
      </w:pPr>
      <w:bookmarkStart w:id="83" w:name="_Toc14740"/>
      <w:bookmarkStart w:id="84" w:name="_Toc15396620"/>
      <w:r>
        <w:rPr>
          <w:rFonts w:hint="eastAsia" w:ascii="仿宋" w:hAnsi="仿宋" w:eastAsia="仿宋"/>
          <w:b w:val="0"/>
        </w:rPr>
        <w:t>二、收</w:t>
      </w:r>
      <w:r>
        <w:rPr>
          <w:rStyle w:val="26"/>
          <w:rFonts w:hint="eastAsia" w:ascii="仿宋" w:hAnsi="仿宋" w:eastAsia="仿宋"/>
          <w:b w:val="0"/>
          <w:bCs w:val="0"/>
        </w:rPr>
        <w:t>入决算表</w:t>
      </w:r>
      <w:bookmarkEnd w:id="83"/>
      <w:bookmarkEnd w:id="84"/>
    </w:p>
    <w:p w14:paraId="054E872D">
      <w:pPr>
        <w:pStyle w:val="3"/>
        <w:rPr>
          <w:rFonts w:ascii="仿宋" w:hAnsi="仿宋" w:eastAsia="仿宋"/>
        </w:rPr>
      </w:pPr>
      <w:bookmarkStart w:id="85" w:name="_Toc15396621"/>
      <w:bookmarkStart w:id="86" w:name="_Toc26490"/>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85"/>
      <w:bookmarkEnd w:id="86"/>
    </w:p>
    <w:p w14:paraId="4BDA59EE">
      <w:pPr>
        <w:pStyle w:val="3"/>
        <w:rPr>
          <w:rFonts w:ascii="仿宋" w:hAnsi="仿宋" w:eastAsia="仿宋"/>
          <w:b w:val="0"/>
        </w:rPr>
      </w:pPr>
      <w:bookmarkStart w:id="87" w:name="_Toc15396622"/>
      <w:bookmarkStart w:id="88" w:name="_Toc4249"/>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87"/>
      <w:bookmarkEnd w:id="88"/>
    </w:p>
    <w:p w14:paraId="06712841">
      <w:pPr>
        <w:pStyle w:val="3"/>
        <w:rPr>
          <w:rStyle w:val="26"/>
          <w:rFonts w:ascii="仿宋" w:hAnsi="仿宋" w:eastAsia="仿宋"/>
          <w:b w:val="0"/>
          <w:bCs w:val="0"/>
        </w:rPr>
      </w:pPr>
      <w:bookmarkStart w:id="89" w:name="_Toc15396623"/>
      <w:bookmarkStart w:id="90" w:name="_Toc21621"/>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89"/>
      <w:bookmarkEnd w:id="90"/>
      <w:bookmarkStart w:id="91" w:name="_Toc15396624"/>
    </w:p>
    <w:p w14:paraId="510056D9">
      <w:pPr>
        <w:pStyle w:val="3"/>
        <w:rPr>
          <w:rFonts w:ascii="仿宋" w:hAnsi="仿宋" w:eastAsia="仿宋"/>
        </w:rPr>
      </w:pPr>
      <w:bookmarkStart w:id="92" w:name="_Toc1061"/>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91"/>
      <w:bookmarkEnd w:id="92"/>
    </w:p>
    <w:p w14:paraId="32A4F594">
      <w:pPr>
        <w:pStyle w:val="3"/>
        <w:rPr>
          <w:rFonts w:ascii="仿宋" w:hAnsi="仿宋" w:eastAsia="仿宋"/>
        </w:rPr>
      </w:pPr>
      <w:bookmarkStart w:id="93" w:name="_Toc15396625"/>
      <w:bookmarkStart w:id="94" w:name="_Toc6268"/>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93"/>
      <w:bookmarkEnd w:id="94"/>
    </w:p>
    <w:p w14:paraId="7F08B83D">
      <w:pPr>
        <w:pStyle w:val="3"/>
        <w:rPr>
          <w:rFonts w:ascii="仿宋" w:hAnsi="仿宋" w:eastAsia="仿宋"/>
        </w:rPr>
      </w:pPr>
      <w:bookmarkStart w:id="95" w:name="_Toc29111"/>
      <w:bookmarkStart w:id="96"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95"/>
      <w:bookmarkEnd w:id="96"/>
    </w:p>
    <w:p w14:paraId="24452AAA">
      <w:pPr>
        <w:pStyle w:val="3"/>
        <w:rPr>
          <w:rFonts w:ascii="仿宋" w:hAnsi="仿宋" w:eastAsia="仿宋"/>
        </w:rPr>
      </w:pPr>
      <w:bookmarkStart w:id="97" w:name="_Toc25077"/>
      <w:bookmarkStart w:id="98"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97"/>
      <w:bookmarkEnd w:id="98"/>
    </w:p>
    <w:p w14:paraId="7508EC61">
      <w:pPr>
        <w:pStyle w:val="3"/>
        <w:rPr>
          <w:rFonts w:ascii="仿宋" w:hAnsi="仿宋" w:eastAsia="仿宋"/>
        </w:rPr>
      </w:pPr>
      <w:bookmarkStart w:id="99" w:name="_Toc15396628"/>
      <w:bookmarkStart w:id="100" w:name="_Toc8538"/>
      <w:r>
        <w:rPr>
          <w:rStyle w:val="26"/>
          <w:rFonts w:hint="eastAsia" w:ascii="仿宋" w:hAnsi="仿宋" w:eastAsia="仿宋"/>
          <w:b w:val="0"/>
          <w:bCs w:val="0"/>
        </w:rPr>
        <w:t>十、</w:t>
      </w:r>
      <w:bookmarkEnd w:id="99"/>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100"/>
    </w:p>
    <w:p w14:paraId="531C186C">
      <w:pPr>
        <w:pStyle w:val="3"/>
        <w:rPr>
          <w:rFonts w:ascii="仿宋" w:hAnsi="仿宋" w:eastAsia="仿宋"/>
        </w:rPr>
      </w:pPr>
      <w:bookmarkStart w:id="101" w:name="_Toc15396629"/>
      <w:bookmarkStart w:id="102" w:name="_Toc26365"/>
      <w:r>
        <w:rPr>
          <w:rStyle w:val="26"/>
          <w:rFonts w:hint="eastAsia" w:ascii="仿宋" w:hAnsi="仿宋" w:eastAsia="仿宋"/>
          <w:b w:val="0"/>
          <w:bCs w:val="0"/>
        </w:rPr>
        <w:t>十一、</w:t>
      </w:r>
      <w:bookmarkEnd w:id="101"/>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102"/>
    </w:p>
    <w:p w14:paraId="5C8CFCA1">
      <w:pPr>
        <w:pStyle w:val="3"/>
        <w:rPr>
          <w:rFonts w:ascii="仿宋" w:hAnsi="仿宋" w:eastAsia="仿宋"/>
        </w:rPr>
      </w:pPr>
      <w:bookmarkStart w:id="103" w:name="_Toc15396630"/>
      <w:bookmarkStart w:id="104" w:name="_Toc11791"/>
      <w:r>
        <w:rPr>
          <w:rStyle w:val="26"/>
          <w:rFonts w:hint="eastAsia" w:ascii="仿宋" w:hAnsi="仿宋" w:eastAsia="仿宋"/>
          <w:b w:val="0"/>
          <w:bCs w:val="0"/>
        </w:rPr>
        <w:t>十二、</w:t>
      </w:r>
      <w:bookmarkEnd w:id="103"/>
      <w:r>
        <w:rPr>
          <w:rStyle w:val="26"/>
          <w:rFonts w:hint="eastAsia" w:ascii="仿宋" w:hAnsi="仿宋" w:eastAsia="仿宋"/>
          <w:b w:val="0"/>
          <w:bCs w:val="0"/>
        </w:rPr>
        <w:t>国有资本经营预算财政拨款支出决算表</w:t>
      </w:r>
      <w:bookmarkEnd w:id="104"/>
    </w:p>
    <w:p w14:paraId="63912AC3">
      <w:pPr>
        <w:pStyle w:val="3"/>
        <w:rPr>
          <w:rFonts w:eastAsia="仿宋"/>
        </w:rPr>
      </w:pPr>
      <w:bookmarkStart w:id="105" w:name="_Toc15396631"/>
      <w:bookmarkStart w:id="106" w:name="_Toc26267"/>
      <w:r>
        <w:rPr>
          <w:rStyle w:val="26"/>
          <w:rFonts w:hint="eastAsia" w:ascii="仿宋" w:hAnsi="仿宋" w:eastAsia="仿宋"/>
          <w:b w:val="0"/>
          <w:bCs w:val="0"/>
        </w:rPr>
        <w:t>十三、</w:t>
      </w:r>
      <w:bookmarkEnd w:id="105"/>
      <w:r>
        <w:rPr>
          <w:rStyle w:val="26"/>
          <w:rFonts w:hint="eastAsia" w:ascii="仿宋" w:hAnsi="仿宋" w:eastAsia="仿宋"/>
          <w:b w:val="0"/>
          <w:bCs w:val="0"/>
        </w:rPr>
        <w:t>财政拨款“三公”经费支出决算表</w:t>
      </w:r>
      <w:bookmarkEnd w:id="106"/>
    </w:p>
    <w:p w14:paraId="0D201880">
      <w:pPr>
        <w:rPr>
          <w:rFonts w:eastAsia="仿宋"/>
        </w:rPr>
      </w:pPr>
    </w:p>
    <w:sectPr>
      <w:pgSz w:w="11906" w:h="16838"/>
      <w:pgMar w:top="1440" w:right="1803" w:bottom="1440" w:left="1803" w:header="851" w:footer="992" w:gutter="0"/>
      <w:cols w:space="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56887">
    <w:pPr>
      <w:pStyle w:val="8"/>
      <w:jc w:val="center"/>
    </w:pPr>
  </w:p>
  <w:p w14:paraId="5E95EB43">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82F1D">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19A1EC">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2619A1EC">
                    <w:pPr>
                      <w:pStyle w:val="8"/>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71E5F">
    <w:pPr>
      <w:pStyle w:val="8"/>
      <w:jc w:val="center"/>
    </w:pPr>
  </w:p>
  <w:p w14:paraId="634D4985">
    <w:pPr>
      <w:pStyle w:val="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8EE0A4">
                          <w:pPr>
                            <w:pStyle w:val="8"/>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558EE0A4">
                    <w:pPr>
                      <w:pStyle w:val="8"/>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DEA1F">
    <w:pPr>
      <w:pStyle w:val="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833FF5">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20833FF5">
                    <w:pPr>
                      <w:pStyle w:val="8"/>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FF8837">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47FF8837">
                    <w:pPr>
                      <w:pStyle w:val="8"/>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CB079">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42C822">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2642C822">
                    <w:pPr>
                      <w:pStyle w:val="8"/>
                    </w:pPr>
                    <w:r>
                      <w:fldChar w:fldCharType="begin"/>
                    </w:r>
                    <w:r>
                      <w:instrText xml:space="preserve"> PAGE  \* MERGEFORMAT </w:instrText>
                    </w:r>
                    <w:r>
                      <w:fldChar w:fldCharType="separate"/>
                    </w:r>
                    <w:r>
                      <w:t>20</w:t>
                    </w:r>
                    <w:r>
                      <w:fldChar w:fldCharType="end"/>
                    </w:r>
                  </w:p>
                </w:txbxContent>
              </v:textbox>
            </v:shape>
          </w:pict>
        </mc:Fallback>
      </mc:AlternateContent>
    </w:r>
  </w:p>
  <w:p w14:paraId="68B58D45">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AD544">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A7EDB9">
                          <w:pPr>
                            <w:pStyle w:val="8"/>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13A7EDB9">
                    <w:pPr>
                      <w:pStyle w:val="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0810A">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E49C5"/>
    <w:multiLevelType w:val="singleLevel"/>
    <w:tmpl w:val="C42E49C5"/>
    <w:lvl w:ilvl="0" w:tentative="0">
      <w:start w:val="1"/>
      <w:numFmt w:val="chineseCounting"/>
      <w:suff w:val="nothing"/>
      <w:lvlText w:val="%1、"/>
      <w:lvlJc w:val="left"/>
      <w:rPr>
        <w:rFonts w:hint="eastAsia"/>
      </w:rPr>
    </w:lvl>
  </w:abstractNum>
  <w:abstractNum w:abstractNumId="1">
    <w:nsid w:val="CCF3B825"/>
    <w:multiLevelType w:val="singleLevel"/>
    <w:tmpl w:val="CCF3B825"/>
    <w:lvl w:ilvl="0" w:tentative="0">
      <w:start w:val="1"/>
      <w:numFmt w:val="decimal"/>
      <w:lvlText w:val="%1."/>
      <w:lvlJc w:val="left"/>
      <w:pPr>
        <w:tabs>
          <w:tab w:val="left" w:pos="312"/>
        </w:tabs>
      </w:p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NjY1MzgxMTkzZTMxM2FjZTgyNWZhNTFhN2UwOGIifQ=="/>
  </w:docVars>
  <w:rsids>
    <w:rsidRoot w:val="00F1361C"/>
    <w:rsid w:val="000222C6"/>
    <w:rsid w:val="0002549F"/>
    <w:rsid w:val="000468DB"/>
    <w:rsid w:val="0006487A"/>
    <w:rsid w:val="00065F8F"/>
    <w:rsid w:val="00070A43"/>
    <w:rsid w:val="000768F2"/>
    <w:rsid w:val="00090B87"/>
    <w:rsid w:val="0009184B"/>
    <w:rsid w:val="00094236"/>
    <w:rsid w:val="0009593C"/>
    <w:rsid w:val="00097322"/>
    <w:rsid w:val="000A6A92"/>
    <w:rsid w:val="000B047F"/>
    <w:rsid w:val="000B5923"/>
    <w:rsid w:val="000B5A48"/>
    <w:rsid w:val="000B6FF3"/>
    <w:rsid w:val="000C3467"/>
    <w:rsid w:val="000C3CA6"/>
    <w:rsid w:val="000D1267"/>
    <w:rsid w:val="000D1D50"/>
    <w:rsid w:val="000D4792"/>
    <w:rsid w:val="000D5782"/>
    <w:rsid w:val="000E6613"/>
    <w:rsid w:val="000E7119"/>
    <w:rsid w:val="000F7962"/>
    <w:rsid w:val="00111F15"/>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5086B"/>
    <w:rsid w:val="00260C38"/>
    <w:rsid w:val="002616C0"/>
    <w:rsid w:val="00265372"/>
    <w:rsid w:val="002662AA"/>
    <w:rsid w:val="00280496"/>
    <w:rsid w:val="00294DC9"/>
    <w:rsid w:val="00295495"/>
    <w:rsid w:val="002A31DE"/>
    <w:rsid w:val="002B2613"/>
    <w:rsid w:val="002D6D05"/>
    <w:rsid w:val="002E01C1"/>
    <w:rsid w:val="002F1818"/>
    <w:rsid w:val="002F567B"/>
    <w:rsid w:val="003004E2"/>
    <w:rsid w:val="003216A9"/>
    <w:rsid w:val="00335A74"/>
    <w:rsid w:val="003423E4"/>
    <w:rsid w:val="003630C0"/>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16F0"/>
    <w:rsid w:val="004223DE"/>
    <w:rsid w:val="00434489"/>
    <w:rsid w:val="00437085"/>
    <w:rsid w:val="00443880"/>
    <w:rsid w:val="004464F4"/>
    <w:rsid w:val="00471401"/>
    <w:rsid w:val="00473F31"/>
    <w:rsid w:val="0048263A"/>
    <w:rsid w:val="00487E5D"/>
    <w:rsid w:val="004A711F"/>
    <w:rsid w:val="004B199D"/>
    <w:rsid w:val="004B3E46"/>
    <w:rsid w:val="004B4690"/>
    <w:rsid w:val="004E0A2D"/>
    <w:rsid w:val="004E206B"/>
    <w:rsid w:val="004E5219"/>
    <w:rsid w:val="004E6DF7"/>
    <w:rsid w:val="004F0FBD"/>
    <w:rsid w:val="004F6E67"/>
    <w:rsid w:val="00505A47"/>
    <w:rsid w:val="00507E1C"/>
    <w:rsid w:val="00512FDA"/>
    <w:rsid w:val="0051700F"/>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13B"/>
    <w:rsid w:val="006325F8"/>
    <w:rsid w:val="00633463"/>
    <w:rsid w:val="00634C9A"/>
    <w:rsid w:val="006440E4"/>
    <w:rsid w:val="0066343B"/>
    <w:rsid w:val="00664777"/>
    <w:rsid w:val="006748A4"/>
    <w:rsid w:val="00681A31"/>
    <w:rsid w:val="00683E73"/>
    <w:rsid w:val="006A3141"/>
    <w:rsid w:val="006A5E34"/>
    <w:rsid w:val="006B2422"/>
    <w:rsid w:val="006B2B9A"/>
    <w:rsid w:val="006C1125"/>
    <w:rsid w:val="006C1937"/>
    <w:rsid w:val="006F020C"/>
    <w:rsid w:val="006F73CB"/>
    <w:rsid w:val="007127B7"/>
    <w:rsid w:val="0071798E"/>
    <w:rsid w:val="00720146"/>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3760"/>
    <w:rsid w:val="00850625"/>
    <w:rsid w:val="00853718"/>
    <w:rsid w:val="00855221"/>
    <w:rsid w:val="00860645"/>
    <w:rsid w:val="00871F71"/>
    <w:rsid w:val="00872FD8"/>
    <w:rsid w:val="00885AF4"/>
    <w:rsid w:val="00893649"/>
    <w:rsid w:val="008939CD"/>
    <w:rsid w:val="008B768C"/>
    <w:rsid w:val="008C4DB1"/>
    <w:rsid w:val="008C4EAF"/>
    <w:rsid w:val="008C5176"/>
    <w:rsid w:val="008C7FD0"/>
    <w:rsid w:val="008E1DE7"/>
    <w:rsid w:val="008E707C"/>
    <w:rsid w:val="00900B08"/>
    <w:rsid w:val="00902155"/>
    <w:rsid w:val="00902FA3"/>
    <w:rsid w:val="00923564"/>
    <w:rsid w:val="0092392E"/>
    <w:rsid w:val="00927227"/>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1768"/>
    <w:rsid w:val="00A331C8"/>
    <w:rsid w:val="00A40A00"/>
    <w:rsid w:val="00A4142F"/>
    <w:rsid w:val="00A422EB"/>
    <w:rsid w:val="00A45BB7"/>
    <w:rsid w:val="00A45D82"/>
    <w:rsid w:val="00A56DF2"/>
    <w:rsid w:val="00A56E6E"/>
    <w:rsid w:val="00A61551"/>
    <w:rsid w:val="00A67AB5"/>
    <w:rsid w:val="00A733B2"/>
    <w:rsid w:val="00A741C2"/>
    <w:rsid w:val="00A91760"/>
    <w:rsid w:val="00A93B00"/>
    <w:rsid w:val="00A93C21"/>
    <w:rsid w:val="00AB64C9"/>
    <w:rsid w:val="00AC3C6A"/>
    <w:rsid w:val="00AD119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B73ED"/>
    <w:rsid w:val="00BC289F"/>
    <w:rsid w:val="00BC2D50"/>
    <w:rsid w:val="00BC5361"/>
    <w:rsid w:val="00BC5460"/>
    <w:rsid w:val="00BC6B50"/>
    <w:rsid w:val="00BD0E25"/>
    <w:rsid w:val="00BF5BD6"/>
    <w:rsid w:val="00C01115"/>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66BBA"/>
    <w:rsid w:val="00D7035F"/>
    <w:rsid w:val="00D7270E"/>
    <w:rsid w:val="00D73275"/>
    <w:rsid w:val="00D91A3D"/>
    <w:rsid w:val="00DA634F"/>
    <w:rsid w:val="00DA65AC"/>
    <w:rsid w:val="00DB1913"/>
    <w:rsid w:val="00DC2C9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06E8"/>
    <w:rsid w:val="00E64269"/>
    <w:rsid w:val="00E82267"/>
    <w:rsid w:val="00E853CE"/>
    <w:rsid w:val="00E867B6"/>
    <w:rsid w:val="00EA010F"/>
    <w:rsid w:val="00EC7E89"/>
    <w:rsid w:val="00ED1B63"/>
    <w:rsid w:val="00ED3C1F"/>
    <w:rsid w:val="00ED4085"/>
    <w:rsid w:val="00ED420E"/>
    <w:rsid w:val="00ED6FBE"/>
    <w:rsid w:val="00EE2F57"/>
    <w:rsid w:val="00EF4C34"/>
    <w:rsid w:val="00EF77C6"/>
    <w:rsid w:val="00F00125"/>
    <w:rsid w:val="00F05438"/>
    <w:rsid w:val="00F1361C"/>
    <w:rsid w:val="00F156F0"/>
    <w:rsid w:val="00F160C7"/>
    <w:rsid w:val="00F2408F"/>
    <w:rsid w:val="00F240E9"/>
    <w:rsid w:val="00F33683"/>
    <w:rsid w:val="00F36D8F"/>
    <w:rsid w:val="00F417B1"/>
    <w:rsid w:val="00F45853"/>
    <w:rsid w:val="00F602DF"/>
    <w:rsid w:val="00F754A1"/>
    <w:rsid w:val="00F81FD9"/>
    <w:rsid w:val="00F841AA"/>
    <w:rsid w:val="00F84A94"/>
    <w:rsid w:val="00F87E96"/>
    <w:rsid w:val="00FA23E8"/>
    <w:rsid w:val="00FD3CC1"/>
    <w:rsid w:val="00FF1E02"/>
    <w:rsid w:val="00FF30B4"/>
    <w:rsid w:val="01254BA9"/>
    <w:rsid w:val="01E50D53"/>
    <w:rsid w:val="01F44A7E"/>
    <w:rsid w:val="02A31045"/>
    <w:rsid w:val="0313035C"/>
    <w:rsid w:val="058C2E9F"/>
    <w:rsid w:val="05F01F2C"/>
    <w:rsid w:val="06424FD7"/>
    <w:rsid w:val="06902E7C"/>
    <w:rsid w:val="06FC2DC7"/>
    <w:rsid w:val="07E35D35"/>
    <w:rsid w:val="08626C5A"/>
    <w:rsid w:val="086A485C"/>
    <w:rsid w:val="09EC6DBC"/>
    <w:rsid w:val="0A2032A3"/>
    <w:rsid w:val="0A7B72CE"/>
    <w:rsid w:val="0B8A37D8"/>
    <w:rsid w:val="0BB87E33"/>
    <w:rsid w:val="0C1214E2"/>
    <w:rsid w:val="0C2032F1"/>
    <w:rsid w:val="0C434FF4"/>
    <w:rsid w:val="0C6E02C3"/>
    <w:rsid w:val="0DC219FF"/>
    <w:rsid w:val="0E0E7F26"/>
    <w:rsid w:val="0ED93E7F"/>
    <w:rsid w:val="0F643988"/>
    <w:rsid w:val="0F7A0D2D"/>
    <w:rsid w:val="0FB029A1"/>
    <w:rsid w:val="0FC85B1E"/>
    <w:rsid w:val="100E362F"/>
    <w:rsid w:val="10923E54"/>
    <w:rsid w:val="10A03C51"/>
    <w:rsid w:val="10AE101B"/>
    <w:rsid w:val="10B139D9"/>
    <w:rsid w:val="10C055FF"/>
    <w:rsid w:val="10F863AD"/>
    <w:rsid w:val="11765FEF"/>
    <w:rsid w:val="118107EC"/>
    <w:rsid w:val="11DD6519"/>
    <w:rsid w:val="120C7C36"/>
    <w:rsid w:val="121A6898"/>
    <w:rsid w:val="12865731"/>
    <w:rsid w:val="12C0114D"/>
    <w:rsid w:val="1358137D"/>
    <w:rsid w:val="136151FC"/>
    <w:rsid w:val="138A52B7"/>
    <w:rsid w:val="13EC25FF"/>
    <w:rsid w:val="146C604B"/>
    <w:rsid w:val="149C1746"/>
    <w:rsid w:val="15163C58"/>
    <w:rsid w:val="15233C15"/>
    <w:rsid w:val="155339E1"/>
    <w:rsid w:val="15D867AD"/>
    <w:rsid w:val="160F7CF5"/>
    <w:rsid w:val="165C4B9F"/>
    <w:rsid w:val="1675334D"/>
    <w:rsid w:val="16BB723D"/>
    <w:rsid w:val="172422A9"/>
    <w:rsid w:val="18015F3F"/>
    <w:rsid w:val="183D6D9C"/>
    <w:rsid w:val="186B3909"/>
    <w:rsid w:val="187B28D1"/>
    <w:rsid w:val="1A9F0C1B"/>
    <w:rsid w:val="1ACB68E1"/>
    <w:rsid w:val="1B0F31C4"/>
    <w:rsid w:val="1BE8440E"/>
    <w:rsid w:val="1C057BD0"/>
    <w:rsid w:val="1CAC44F0"/>
    <w:rsid w:val="1CCC6940"/>
    <w:rsid w:val="1D155CEE"/>
    <w:rsid w:val="1D334A43"/>
    <w:rsid w:val="1DE102A8"/>
    <w:rsid w:val="1DFA6CCA"/>
    <w:rsid w:val="1E2E5180"/>
    <w:rsid w:val="1E3429EF"/>
    <w:rsid w:val="1E391DB3"/>
    <w:rsid w:val="1E403142"/>
    <w:rsid w:val="1EB02031"/>
    <w:rsid w:val="1EE44415"/>
    <w:rsid w:val="1F274302"/>
    <w:rsid w:val="1F494278"/>
    <w:rsid w:val="208D5B83"/>
    <w:rsid w:val="20E53DA9"/>
    <w:rsid w:val="20F57F95"/>
    <w:rsid w:val="21CD2F3E"/>
    <w:rsid w:val="226C35C9"/>
    <w:rsid w:val="23306668"/>
    <w:rsid w:val="23E74179"/>
    <w:rsid w:val="240371BF"/>
    <w:rsid w:val="24BE0FBD"/>
    <w:rsid w:val="24CA1DDF"/>
    <w:rsid w:val="25501A97"/>
    <w:rsid w:val="25C741E6"/>
    <w:rsid w:val="26415CA9"/>
    <w:rsid w:val="27547364"/>
    <w:rsid w:val="275D6B12"/>
    <w:rsid w:val="27842671"/>
    <w:rsid w:val="28534B6C"/>
    <w:rsid w:val="28FB4B09"/>
    <w:rsid w:val="29FD04D3"/>
    <w:rsid w:val="2A187C9C"/>
    <w:rsid w:val="2A844797"/>
    <w:rsid w:val="2ABE7A3E"/>
    <w:rsid w:val="2AF43C3D"/>
    <w:rsid w:val="2B46437D"/>
    <w:rsid w:val="2B620E91"/>
    <w:rsid w:val="2C3826C8"/>
    <w:rsid w:val="2C90798A"/>
    <w:rsid w:val="2D0B0DBF"/>
    <w:rsid w:val="2E1C6B8E"/>
    <w:rsid w:val="2E6D1430"/>
    <w:rsid w:val="2EB21E3A"/>
    <w:rsid w:val="2EFA178C"/>
    <w:rsid w:val="2F0265F1"/>
    <w:rsid w:val="2F8B61E7"/>
    <w:rsid w:val="30135528"/>
    <w:rsid w:val="30182170"/>
    <w:rsid w:val="30517430"/>
    <w:rsid w:val="30B46D73"/>
    <w:rsid w:val="31987E1F"/>
    <w:rsid w:val="319F7F4E"/>
    <w:rsid w:val="32A66287"/>
    <w:rsid w:val="335A484E"/>
    <w:rsid w:val="33765052"/>
    <w:rsid w:val="33BD7F35"/>
    <w:rsid w:val="34155D1B"/>
    <w:rsid w:val="34441786"/>
    <w:rsid w:val="35431A3E"/>
    <w:rsid w:val="36105698"/>
    <w:rsid w:val="36284067"/>
    <w:rsid w:val="362D7FF8"/>
    <w:rsid w:val="36416A43"/>
    <w:rsid w:val="36687282"/>
    <w:rsid w:val="36AF4EB1"/>
    <w:rsid w:val="36C45560"/>
    <w:rsid w:val="37C0035B"/>
    <w:rsid w:val="37D6042A"/>
    <w:rsid w:val="38CF6329"/>
    <w:rsid w:val="391F2042"/>
    <w:rsid w:val="39671A73"/>
    <w:rsid w:val="3996509C"/>
    <w:rsid w:val="39AE70AB"/>
    <w:rsid w:val="39DE6FB4"/>
    <w:rsid w:val="3A640B2C"/>
    <w:rsid w:val="3AF37A62"/>
    <w:rsid w:val="3B4A3072"/>
    <w:rsid w:val="3B702D0A"/>
    <w:rsid w:val="3BA11E27"/>
    <w:rsid w:val="3C0C0783"/>
    <w:rsid w:val="3C237E71"/>
    <w:rsid w:val="3C265C15"/>
    <w:rsid w:val="3C8741E6"/>
    <w:rsid w:val="3C9568F7"/>
    <w:rsid w:val="3E5C76CC"/>
    <w:rsid w:val="3E78202C"/>
    <w:rsid w:val="3F5C7D12"/>
    <w:rsid w:val="3F9F3A96"/>
    <w:rsid w:val="3FE71217"/>
    <w:rsid w:val="406B6A21"/>
    <w:rsid w:val="414C63C0"/>
    <w:rsid w:val="4152219A"/>
    <w:rsid w:val="42666D6B"/>
    <w:rsid w:val="437F1B95"/>
    <w:rsid w:val="43CC52F4"/>
    <w:rsid w:val="452D47A4"/>
    <w:rsid w:val="47B40579"/>
    <w:rsid w:val="490329B9"/>
    <w:rsid w:val="4905782B"/>
    <w:rsid w:val="493C27E9"/>
    <w:rsid w:val="496F39ED"/>
    <w:rsid w:val="49813099"/>
    <w:rsid w:val="49FF41D3"/>
    <w:rsid w:val="4ADD7DE7"/>
    <w:rsid w:val="4B591BA3"/>
    <w:rsid w:val="4B663938"/>
    <w:rsid w:val="4BE068DB"/>
    <w:rsid w:val="4BE56F53"/>
    <w:rsid w:val="4BF6002B"/>
    <w:rsid w:val="4C2D49E9"/>
    <w:rsid w:val="4CFF4044"/>
    <w:rsid w:val="4D472B6E"/>
    <w:rsid w:val="4D697878"/>
    <w:rsid w:val="4EB64BD7"/>
    <w:rsid w:val="4EBB21ED"/>
    <w:rsid w:val="4ECE2238"/>
    <w:rsid w:val="4EF23735"/>
    <w:rsid w:val="4F97381A"/>
    <w:rsid w:val="4FB862CC"/>
    <w:rsid w:val="50A767D4"/>
    <w:rsid w:val="51956D25"/>
    <w:rsid w:val="51D90B0E"/>
    <w:rsid w:val="51DB4B86"/>
    <w:rsid w:val="52181704"/>
    <w:rsid w:val="52271947"/>
    <w:rsid w:val="526811C1"/>
    <w:rsid w:val="532E7431"/>
    <w:rsid w:val="537F53E6"/>
    <w:rsid w:val="538D664F"/>
    <w:rsid w:val="539B083F"/>
    <w:rsid w:val="539B0EFA"/>
    <w:rsid w:val="5426635A"/>
    <w:rsid w:val="55333C3E"/>
    <w:rsid w:val="55501DDF"/>
    <w:rsid w:val="558772CD"/>
    <w:rsid w:val="55AD03B6"/>
    <w:rsid w:val="56293EE0"/>
    <w:rsid w:val="56632351"/>
    <w:rsid w:val="58382B00"/>
    <w:rsid w:val="587972E9"/>
    <w:rsid w:val="587C0C3F"/>
    <w:rsid w:val="58CD149A"/>
    <w:rsid w:val="5B2E1D2D"/>
    <w:rsid w:val="5B372BFB"/>
    <w:rsid w:val="5C346F47"/>
    <w:rsid w:val="5D286DF7"/>
    <w:rsid w:val="5DE62663"/>
    <w:rsid w:val="5F385194"/>
    <w:rsid w:val="5F585836"/>
    <w:rsid w:val="5FAC19D9"/>
    <w:rsid w:val="600E02C3"/>
    <w:rsid w:val="609D1752"/>
    <w:rsid w:val="60DE794E"/>
    <w:rsid w:val="61765B61"/>
    <w:rsid w:val="62AD22AC"/>
    <w:rsid w:val="63E47698"/>
    <w:rsid w:val="64486CB6"/>
    <w:rsid w:val="645C3964"/>
    <w:rsid w:val="64AF4B1D"/>
    <w:rsid w:val="64BE01BC"/>
    <w:rsid w:val="64CA39A1"/>
    <w:rsid w:val="65383CB8"/>
    <w:rsid w:val="653D52B2"/>
    <w:rsid w:val="65425D45"/>
    <w:rsid w:val="65BB267B"/>
    <w:rsid w:val="65DF609E"/>
    <w:rsid w:val="66855163"/>
    <w:rsid w:val="66DF7006"/>
    <w:rsid w:val="66E22CF2"/>
    <w:rsid w:val="66F75934"/>
    <w:rsid w:val="67087745"/>
    <w:rsid w:val="670A5668"/>
    <w:rsid w:val="67486190"/>
    <w:rsid w:val="67D56C28"/>
    <w:rsid w:val="67F4570A"/>
    <w:rsid w:val="682B7F8C"/>
    <w:rsid w:val="683055A2"/>
    <w:rsid w:val="683C5CF5"/>
    <w:rsid w:val="699A0B5E"/>
    <w:rsid w:val="69E2311E"/>
    <w:rsid w:val="6AC82DA9"/>
    <w:rsid w:val="6B3813B8"/>
    <w:rsid w:val="6B401A80"/>
    <w:rsid w:val="6B9D2F4E"/>
    <w:rsid w:val="6BB26425"/>
    <w:rsid w:val="6C4A05C8"/>
    <w:rsid w:val="6C711CE5"/>
    <w:rsid w:val="6C8E6038"/>
    <w:rsid w:val="6CD75DC0"/>
    <w:rsid w:val="6D082649"/>
    <w:rsid w:val="6D0A1A6F"/>
    <w:rsid w:val="6D1C4347"/>
    <w:rsid w:val="6D2B2243"/>
    <w:rsid w:val="6DDE1239"/>
    <w:rsid w:val="6E367A2B"/>
    <w:rsid w:val="6EF8049C"/>
    <w:rsid w:val="6EF90E68"/>
    <w:rsid w:val="6F945ADC"/>
    <w:rsid w:val="70565111"/>
    <w:rsid w:val="70B53887"/>
    <w:rsid w:val="70CE7706"/>
    <w:rsid w:val="71144746"/>
    <w:rsid w:val="713F6856"/>
    <w:rsid w:val="71673DC5"/>
    <w:rsid w:val="722871B4"/>
    <w:rsid w:val="7270316B"/>
    <w:rsid w:val="72734D90"/>
    <w:rsid w:val="732950C8"/>
    <w:rsid w:val="73D402F3"/>
    <w:rsid w:val="74235B7E"/>
    <w:rsid w:val="743E4951"/>
    <w:rsid w:val="744C3764"/>
    <w:rsid w:val="74E122F7"/>
    <w:rsid w:val="756D1BE3"/>
    <w:rsid w:val="75B75ABB"/>
    <w:rsid w:val="763C0C5A"/>
    <w:rsid w:val="76477AE9"/>
    <w:rsid w:val="77550B81"/>
    <w:rsid w:val="787828F7"/>
    <w:rsid w:val="7891051A"/>
    <w:rsid w:val="78C338C8"/>
    <w:rsid w:val="78EF14D3"/>
    <w:rsid w:val="79622833"/>
    <w:rsid w:val="79E7B28D"/>
    <w:rsid w:val="7A21770D"/>
    <w:rsid w:val="7A592736"/>
    <w:rsid w:val="7A5B16D3"/>
    <w:rsid w:val="7AB23BF5"/>
    <w:rsid w:val="7ACE4ED2"/>
    <w:rsid w:val="7ACF29F8"/>
    <w:rsid w:val="7B970167"/>
    <w:rsid w:val="7C606577"/>
    <w:rsid w:val="7C871131"/>
    <w:rsid w:val="7C9F7900"/>
    <w:rsid w:val="7D0E502D"/>
    <w:rsid w:val="7D692C90"/>
    <w:rsid w:val="7DAA5057"/>
    <w:rsid w:val="7E455A34"/>
    <w:rsid w:val="7F5F2FD3"/>
    <w:rsid w:val="7F686F78"/>
    <w:rsid w:val="7F9F20EE"/>
    <w:rsid w:val="7FA93F3D"/>
    <w:rsid w:val="7FBE4DEA"/>
    <w:rsid w:val="7FF94730"/>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3399FF" w:themeColor="hyperlink"/>
      <w:u w:val="single"/>
      <w14:textFill>
        <w14:solidFill>
          <w14:schemeClr w14:val="hlink"/>
        </w14:solidFill>
      </w14:textFill>
    </w:rPr>
  </w:style>
  <w:style w:type="paragraph" w:customStyle="1" w:styleId="16">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3"/>
    <w:link w:val="2"/>
    <w:qFormat/>
    <w:uiPriority w:val="9"/>
    <w:rPr>
      <w:rFonts w:ascii="Times New Roman" w:hAnsi="Times New Roman"/>
      <w:b/>
      <w:bCs/>
      <w:kern w:val="44"/>
      <w:sz w:val="44"/>
      <w:szCs w:val="44"/>
    </w:rPr>
  </w:style>
  <w:style w:type="character" w:customStyle="1" w:styleId="26">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42568D" w:themeColor="accent1" w:themeShade="BF"/>
      <w:kern w:val="0"/>
      <w:sz w:val="28"/>
      <w:szCs w:val="28"/>
    </w:rPr>
  </w:style>
  <w:style w:type="character" w:customStyle="1" w:styleId="28">
    <w:name w:val="批注框文本 Char"/>
    <w:basedOn w:val="13"/>
    <w:link w:val="7"/>
    <w:semiHidden/>
    <w:qFormat/>
    <w:uiPriority w:val="99"/>
    <w:rPr>
      <w:rFonts w:ascii="Times New Roman" w:hAnsi="Times New Roman"/>
      <w:kern w:val="2"/>
      <w:sz w:val="18"/>
      <w:szCs w:val="18"/>
    </w:rPr>
  </w:style>
  <w:style w:type="character" w:customStyle="1" w:styleId="29">
    <w:name w:val="标题 3 Char"/>
    <w:basedOn w:val="13"/>
    <w:link w:val="4"/>
    <w:qFormat/>
    <w:uiPriority w:val="9"/>
    <w:rPr>
      <w:rFonts w:ascii="Times New Roman" w:hAnsi="Times New Roman"/>
      <w:b/>
      <w:bCs/>
      <w:kern w:val="2"/>
      <w:sz w:val="32"/>
      <w:szCs w:val="32"/>
    </w:rPr>
  </w:style>
  <w:style w:type="paragraph" w:customStyle="1" w:styleId="30">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42568D" w:themeColor="accent1" w:themeShade="BF"/>
      <w:kern w:val="0"/>
      <w:sz w:val="28"/>
      <w:szCs w:val="28"/>
    </w:rPr>
  </w:style>
  <w:style w:type="paragraph" w:customStyle="1" w:styleId="31">
    <w:name w:val="WPSOffice手动目录 1"/>
    <w:qFormat/>
    <w:uiPriority w:val="0"/>
    <w:rPr>
      <w:rFonts w:ascii="Calibri" w:hAnsi="Calibri" w:eastAsia="宋体" w:cs="Times New Roman"/>
      <w:lang w:val="en-US" w:eastAsia="zh-CN" w:bidi="ar-SA"/>
    </w:rPr>
  </w:style>
  <w:style w:type="paragraph" w:customStyle="1" w:styleId="32">
    <w:name w:val="WPSOffice手动目录 2"/>
    <w:qFormat/>
    <w:uiPriority w:val="0"/>
    <w:pPr>
      <w:ind w:left="200" w:leftChars="200"/>
    </w:pPr>
    <w:rPr>
      <w:rFonts w:ascii="Calibri" w:hAnsi="Calibri" w:eastAsia="宋体" w:cs="Times New Roman"/>
      <w:lang w:val="en-US" w:eastAsia="zh-CN" w:bidi="ar-SA"/>
    </w:rPr>
  </w:style>
  <w:style w:type="paragraph" w:customStyle="1" w:styleId="33">
    <w:name w:val="WPSOffice手动目录 3"/>
    <w:qFormat/>
    <w:uiPriority w:val="0"/>
    <w:pPr>
      <w:ind w:left="400" w:leftChars="4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Lenovo\Desktop\&#20915;&#31639;&#20844;&#24320;&#26609;&#29366;&#22270;&#12289;&#39292;&#29366;&#22270;&#21442;&#3277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enovo\Desktop\&#20915;&#31639;&#20844;&#24320;&#26609;&#29366;&#22270;&#12289;&#39292;&#29366;&#22270;&#21442;&#3277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Lenovo\Desktop\&#20915;&#31639;&#20844;&#24320;&#26609;&#29366;&#22270;&#12289;&#39292;&#29366;&#22270;&#21442;&#32771;.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20915;&#31639;&#20844;&#24320;&#26609;&#29366;&#22270;&#12289;&#39292;&#29366;&#22270;&#21442;&#3277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Lenovo\Desktop\&#20915;&#31639;&#20844;&#24320;&#26609;&#29366;&#22270;&#12289;&#39292;&#29366;&#22270;&#21442;&#32771;.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Lenovo\Desktop\&#20915;&#31639;&#20844;&#24320;&#26609;&#29366;&#22270;&#12289;&#39292;&#29366;&#22270;&#21442;&#32771;.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Lenovo\Desktop\&#20915;&#31639;&#20844;&#24320;&#26609;&#29366;&#22270;&#12289;&#39292;&#29366;&#22270;&#21442;&#327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99633153731514"/>
          <c:y val="0.0926190476190476"/>
          <c:w val="0.913034506477129"/>
          <c:h val="0.724619047619048"/>
        </c:manualLayout>
      </c:layout>
      <c:barChart>
        <c:barDir val="col"/>
        <c:grouping val="clustered"/>
        <c:varyColors val="0"/>
        <c:ser>
          <c:idx val="0"/>
          <c:order val="0"/>
          <c:tx>
            <c:strRef>
              <c:f>[决算公开柱状图、饼状图参考.xlsx]Sheet1!$A$3</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[决算公开柱状图、饼状图参考.xlsx]Sheet1!$B$2:$C$2</c:f>
              <c:strCache>
                <c:ptCount val="2"/>
                <c:pt idx="0">
                  <c:v>收入（万元）</c:v>
                </c:pt>
                <c:pt idx="1">
                  <c:v>支出（万元）</c:v>
                </c:pt>
              </c:strCache>
            </c:strRef>
          </c:cat>
          <c:val>
            <c:numRef>
              <c:f>[决算公开柱状图、饼状图参考.xlsx]Sheet1!$B$3:$C$3</c:f>
              <c:numCache>
                <c:formatCode>General</c:formatCode>
                <c:ptCount val="2"/>
                <c:pt idx="0">
                  <c:v>316.37</c:v>
                </c:pt>
                <c:pt idx="1">
                  <c:v>316.37</c:v>
                </c:pt>
              </c:numCache>
            </c:numRef>
          </c:val>
        </c:ser>
        <c:ser>
          <c:idx val="1"/>
          <c:order val="1"/>
          <c:tx>
            <c:strRef>
              <c:f>[决算公开柱状图、饼状图参考.xlsx]Sheet1!$A$4</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[决算公开柱状图、饼状图参考.xlsx]Sheet1!$B$2:$C$2</c:f>
              <c:strCache>
                <c:ptCount val="2"/>
                <c:pt idx="0">
                  <c:v>收入（万元）</c:v>
                </c:pt>
                <c:pt idx="1">
                  <c:v>支出（万元）</c:v>
                </c:pt>
              </c:strCache>
            </c:strRef>
          </c:cat>
          <c:val>
            <c:numRef>
              <c:f>[决算公开柱状图、饼状图参考.xlsx]Sheet1!$B$4:$C$4</c:f>
              <c:numCache>
                <c:formatCode>General</c:formatCode>
                <c:ptCount val="2"/>
                <c:pt idx="0">
                  <c:v>1182.79</c:v>
                </c:pt>
                <c:pt idx="1">
                  <c:v>1182.79</c:v>
                </c:pt>
              </c:numCache>
            </c:numRef>
          </c:val>
        </c:ser>
        <c:dLbls>
          <c:showLegendKey val="0"/>
          <c:showVal val="1"/>
          <c:showCatName val="0"/>
          <c:showSerName val="0"/>
          <c:showPercent val="0"/>
          <c:showBubbleSize val="0"/>
        </c:dLbls>
        <c:gapWidth val="219"/>
        <c:overlap val="-27"/>
        <c:axId val="168015360"/>
        <c:axId val="168016896"/>
      </c:barChart>
      <c:catAx>
        <c:axId val="16801536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8016896"/>
        <c:crosses val="autoZero"/>
        <c:auto val="1"/>
        <c:lblAlgn val="ctr"/>
        <c:lblOffset val="100"/>
        <c:noMultiLvlLbl val="0"/>
      </c:catAx>
      <c:valAx>
        <c:axId val="168016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801536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12528cd-2b1b-4698-b346-23bc0aac96a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[决算公开柱状图、饼状图参考.xlsx]Sheet1!$A$25</c:f>
              <c:strCache>
                <c:ptCount val="1"/>
                <c:pt idx="0">
                  <c:v>本年收入（万元）</c:v>
                </c:pt>
              </c:strCache>
            </c:strRef>
          </c:tx>
          <c:spPr>
            <a:ln w="3175">
              <a:solidFill>
                <a:schemeClr val="bg1"/>
              </a:solidFill>
            </a:ln>
          </c:spPr>
          <c:explosion val="0"/>
          <c:dPt>
            <c:idx val="0"/>
            <c:bubble3D val="0"/>
            <c:spPr>
              <a:solidFill>
                <a:schemeClr val="accent1"/>
              </a:solidFill>
              <a:ln w="3175">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[决算公开柱状图、饼状图参考.xlsx]Sheet1!$B$24</c:f>
              <c:strCache>
                <c:ptCount val="1"/>
                <c:pt idx="0">
                  <c:v>一般公共预算财政拨款收入</c:v>
                </c:pt>
              </c:strCache>
            </c:strRef>
          </c:cat>
          <c:val>
            <c:numRef>
              <c:f>[决算公开柱状图、饼状图参考.xlsx]Sheet1!$B$25</c:f>
              <c:numCache>
                <c:formatCode>General</c:formatCode>
                <c:ptCount val="1"/>
                <c:pt idx="0">
                  <c:v>1154.61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efd67083-043a-432e-8837-edfe5caadae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[决算公开柱状图、饼状图参考.xlsx]Sheet1!$A$46</c:f>
              <c:strCache>
                <c:ptCount val="1"/>
                <c:pt idx="0">
                  <c:v>本年支出（万元）</c:v>
                </c:pt>
              </c:strCache>
            </c:strRef>
          </c:tx>
          <c:spPr>
            <a:ln w="3175">
              <a:solidFill>
                <a:schemeClr val="lt1"/>
              </a:solidFill>
            </a:ln>
          </c:spPr>
          <c:explosion val="0"/>
          <c:dPt>
            <c:idx val="0"/>
            <c:bubble3D val="0"/>
            <c:spPr>
              <a:solidFill>
                <a:schemeClr val="accent1"/>
              </a:solidFill>
              <a:ln w="3175">
                <a:solidFill>
                  <a:schemeClr val="lt1"/>
                </a:solidFill>
              </a:ln>
              <a:effectLst/>
            </c:spPr>
          </c:dPt>
          <c:dPt>
            <c:idx val="1"/>
            <c:bubble3D val="0"/>
            <c:spPr>
              <a:solidFill>
                <a:schemeClr val="accent2"/>
              </a:solidFill>
              <a:ln w="3175">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[决算公开柱状图、饼状图参考.xlsx]Sheet1!$B$45:$C$45</c:f>
              <c:strCache>
                <c:ptCount val="2"/>
                <c:pt idx="0">
                  <c:v>基本支出</c:v>
                </c:pt>
                <c:pt idx="1">
                  <c:v>项目支出</c:v>
                </c:pt>
              </c:strCache>
            </c:strRef>
          </c:cat>
          <c:val>
            <c:numRef>
              <c:f>[决算公开柱状图、饼状图参考.xlsx]Sheet1!$B$46:$C$46</c:f>
              <c:numCache>
                <c:formatCode>General</c:formatCode>
                <c:ptCount val="2"/>
                <c:pt idx="0">
                  <c:v>445.09</c:v>
                </c:pt>
                <c:pt idx="1">
                  <c:v>737.71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f5c5a696-ea63-499e-99be-d49e635e3cd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[决算公开柱状图、饼状图参考.xlsx]Sheet1!$A$68</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[决算公开柱状图、饼状图参考.xlsx]Sheet1!$B$67:$C$67</c:f>
              <c:strCache>
                <c:ptCount val="2"/>
                <c:pt idx="0">
                  <c:v>收入总计（万元）</c:v>
                </c:pt>
                <c:pt idx="1">
                  <c:v>支出总计（万元）</c:v>
                </c:pt>
              </c:strCache>
            </c:strRef>
          </c:cat>
          <c:val>
            <c:numRef>
              <c:f>[决算公开柱状图、饼状图参考.xlsx]Sheet1!$B$68:$C$68</c:f>
              <c:numCache>
                <c:formatCode>General</c:formatCode>
                <c:ptCount val="2"/>
                <c:pt idx="0">
                  <c:v>316.37</c:v>
                </c:pt>
                <c:pt idx="1">
                  <c:v>316.37</c:v>
                </c:pt>
              </c:numCache>
            </c:numRef>
          </c:val>
        </c:ser>
        <c:ser>
          <c:idx val="1"/>
          <c:order val="1"/>
          <c:tx>
            <c:strRef>
              <c:f>[决算公开柱状图、饼状图参考.xlsx]Sheet1!$A$69</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[决算公开柱状图、饼状图参考.xlsx]Sheet1!$B$67:$C$67</c:f>
              <c:strCache>
                <c:ptCount val="2"/>
                <c:pt idx="0">
                  <c:v>收入总计（万元）</c:v>
                </c:pt>
                <c:pt idx="1">
                  <c:v>支出总计（万元）</c:v>
                </c:pt>
              </c:strCache>
            </c:strRef>
          </c:cat>
          <c:val>
            <c:numRef>
              <c:f>[决算公开柱状图、饼状图参考.xlsx]Sheet1!$B$69:$C$69</c:f>
              <c:numCache>
                <c:formatCode>General</c:formatCode>
                <c:ptCount val="2"/>
                <c:pt idx="0">
                  <c:v>1182.79</c:v>
                </c:pt>
                <c:pt idx="1">
                  <c:v>1182.79</c:v>
                </c:pt>
              </c:numCache>
            </c:numRef>
          </c:val>
        </c:ser>
        <c:dLbls>
          <c:showLegendKey val="0"/>
          <c:showVal val="1"/>
          <c:showCatName val="0"/>
          <c:showSerName val="0"/>
          <c:showPercent val="0"/>
          <c:showBubbleSize val="0"/>
        </c:dLbls>
        <c:gapWidth val="219"/>
        <c:overlap val="-27"/>
        <c:axId val="174825472"/>
        <c:axId val="174827008"/>
      </c:barChart>
      <c:catAx>
        <c:axId val="1748254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4827008"/>
        <c:crosses val="autoZero"/>
        <c:auto val="1"/>
        <c:lblAlgn val="ctr"/>
        <c:lblOffset val="100"/>
        <c:noMultiLvlLbl val="0"/>
      </c:catAx>
      <c:valAx>
        <c:axId val="174827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48254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eee0a5f-132f-4666-bd03-264a36f7e7e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                                                            </a:t>
            </a:r>
            <a:r>
              <a:t>单位：万元</a:t>
            </a:r>
            <a:endParaRPr altLang="en-US"/>
          </a:p>
        </c:rich>
      </c:tx>
      <c:layout>
        <c:manualLayout>
          <c:xMode val="edge"/>
          <c:yMode val="edge"/>
          <c:x val="0.115876546642569"/>
          <c:y val="0.0285714285714286"/>
        </c:manualLayout>
      </c:layout>
      <c:overlay val="0"/>
      <c:spPr>
        <a:noFill/>
        <a:ln>
          <a:noFill/>
        </a:ln>
        <a:effectLst/>
      </c:spPr>
    </c:title>
    <c:autoTitleDeleted val="0"/>
    <c:plotArea>
      <c:layout/>
      <c:barChart>
        <c:barDir val="col"/>
        <c:grouping val="clustered"/>
        <c:varyColors val="0"/>
        <c:ser>
          <c:idx val="0"/>
          <c:order val="0"/>
          <c:tx>
            <c:strRef>
              <c:f>[决算公开柱状图、饼状图参考.xlsx]Sheet1!$A$90</c:f>
              <c:strCache>
                <c:ptCount val="1"/>
                <c:pt idx="0">
                  <c:v>一般公共预算财政拨款支出（万元）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[决算公开柱状图、饼状图参考.xlsx]Sheet1!$B$89:$C$89</c:f>
              <c:strCache>
                <c:ptCount val="2"/>
                <c:pt idx="0">
                  <c:v>2022年</c:v>
                </c:pt>
                <c:pt idx="1">
                  <c:v>2023年</c:v>
                </c:pt>
              </c:strCache>
            </c:strRef>
          </c:cat>
          <c:val>
            <c:numRef>
              <c:f>[决算公开柱状图、饼状图参考.xlsx]Sheet1!$B$90:$C$90</c:f>
              <c:numCache>
                <c:formatCode>General</c:formatCode>
                <c:ptCount val="2"/>
                <c:pt idx="0">
                  <c:v>316.37</c:v>
                </c:pt>
                <c:pt idx="1">
                  <c:v>1182.79</c:v>
                </c:pt>
              </c:numCache>
            </c:numRef>
          </c:val>
        </c:ser>
        <c:dLbls>
          <c:showLegendKey val="0"/>
          <c:showVal val="1"/>
          <c:showCatName val="0"/>
          <c:showSerName val="0"/>
          <c:showPercent val="0"/>
          <c:showBubbleSize val="0"/>
        </c:dLbls>
        <c:gapWidth val="219"/>
        <c:overlap val="-27"/>
        <c:axId val="174851584"/>
        <c:axId val="174853120"/>
      </c:barChart>
      <c:catAx>
        <c:axId val="1748515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4853120"/>
        <c:crosses val="autoZero"/>
        <c:auto val="1"/>
        <c:lblAlgn val="ctr"/>
        <c:lblOffset val="100"/>
        <c:noMultiLvlLbl val="0"/>
      </c:catAx>
      <c:valAx>
        <c:axId val="174853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4851584"/>
        <c:crosses val="autoZero"/>
        <c:crossBetween val="between"/>
      </c:valAx>
      <c:spPr>
        <a:noFill/>
        <a:ln>
          <a:noFill/>
        </a:ln>
        <a:effectLst/>
      </c:spPr>
    </c:plotArea>
    <c:plotVisOnly val="1"/>
    <c:dispBlanksAs val="gap"/>
    <c:showDLblsOverMax val="0"/>
    <c:extLst>
      <c:ext uri="{0b15fc19-7d7d-44ad-8c2d-2c3a37ce22c3}">
        <chartProps xmlns="https://web.wps.cn/et/2018/main" chartId="{fdaf656d-0e0d-4450-89e0-b2b4a9072bc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31447240372584"/>
          <c:y val="0.0285714285714286"/>
        </c:manualLayout>
      </c:layout>
      <c:overlay val="0"/>
      <c:spPr>
        <a:noFill/>
        <a:ln>
          <a:noFill/>
        </a:ln>
        <a:effectLst/>
      </c:spPr>
      <c:txPr>
        <a:bodyPr rot="0" spcFirstLastPara="0" vertOverflow="ellipsis" vert="horz" wrap="square" anchor="ctr" anchorCtr="1"/>
        <a:lstStyle/>
        <a:p>
          <a:pPr>
            <a:defRPr lang="zh-CN" sz="1600" b="1" i="0" u="none" strike="noStrike" kern="1200" spc="0" normalizeH="0" baseline="0">
              <a:solidFill>
                <a:schemeClr val="dk1">
                  <a:lumMod val="50000"/>
                  <a:lumOff val="50000"/>
                </a:schemeClr>
              </a:solidFill>
              <a:latin typeface="+mj-lt"/>
              <a:ea typeface="+mj-ea"/>
              <a:cs typeface="+mj-cs"/>
            </a:defRPr>
          </a:pPr>
        </a:p>
      </c:txPr>
    </c:title>
    <c:autoTitleDeleted val="0"/>
    <c:plotArea>
      <c:layout/>
      <c:pieChart>
        <c:varyColors val="1"/>
        <c:ser>
          <c:idx val="0"/>
          <c:order val="0"/>
          <c:tx>
            <c:strRef>
              <c:f>[决算公开柱状图、饼状图参考.xlsx]Sheet1!$A$110</c:f>
              <c:strCache>
                <c:ptCount val="1"/>
                <c:pt idx="0">
                  <c:v>一般公共预算财政拨款支出（万元）</c:v>
                </c:pt>
              </c:strCache>
            </c:strRef>
          </c:tx>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Lbls>
            <c:dLbl>
              <c:idx val="2"/>
              <c:layout>
                <c:manualLayout>
                  <c:x val="0.00127108297940318"/>
                  <c:y val="0.040676561343065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[决算公开柱状图、饼状图参考.xlsx]Sheet1!$B$109:$E$109</c:f>
              <c:strCache>
                <c:ptCount val="4"/>
                <c:pt idx="0">
                  <c:v>教育支出</c:v>
                </c:pt>
                <c:pt idx="1">
                  <c:v>社会保障和就业支出</c:v>
                </c:pt>
                <c:pt idx="2">
                  <c:v>卫生健康支出</c:v>
                </c:pt>
                <c:pt idx="3">
                  <c:v>住房保障支出</c:v>
                </c:pt>
              </c:strCache>
            </c:strRef>
          </c:cat>
          <c:val>
            <c:numRef>
              <c:f>[决算公开柱状图、饼状图参考.xlsx]Sheet1!$B$110:$E$110</c:f>
              <c:numCache>
                <c:formatCode>General</c:formatCode>
                <c:ptCount val="4"/>
                <c:pt idx="0">
                  <c:v>1100.77</c:v>
                </c:pt>
                <c:pt idx="1">
                  <c:v>33.22</c:v>
                </c:pt>
                <c:pt idx="2">
                  <c:v>18.3</c:v>
                </c:pt>
                <c:pt idx="3">
                  <c:v>30.51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alpha val="50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f8367e4e-fbd5-4a83-a2bc-141714fb8ff5}"/>
      </c:ext>
    </c:extLst>
  </c:chart>
  <c:spPr>
    <a:pattFill prst="pct80">
      <a:fgClr>
        <a:schemeClr val="lt1"/>
      </a:fgClr>
      <a:bgClr>
        <a:schemeClr val="bg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[决算公开柱状图、饼状图参考.xlsx]Sheet1!$A$131</c:f>
              <c:strCache>
                <c:ptCount val="1"/>
                <c:pt idx="0">
                  <c:v>三公经费支出（万元）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[决算公开柱状图、饼状图参考.xlsx]Sheet1!$B$130:$D$130</c:f>
              <c:strCache>
                <c:ptCount val="3"/>
                <c:pt idx="0">
                  <c:v>公务接待费</c:v>
                </c:pt>
                <c:pt idx="1">
                  <c:v>公务用车购置及运行维护费</c:v>
                </c:pt>
                <c:pt idx="2">
                  <c:v>因公出国（境）费</c:v>
                </c:pt>
              </c:strCache>
            </c:strRef>
          </c:cat>
          <c:val>
            <c:numRef>
              <c:f>[决算公开柱状图、饼状图参考.xlsx]Sheet1!$B$131:$D$131</c:f>
              <c:numCache>
                <c:formatCode>General</c:formatCode>
                <c:ptCount val="3"/>
                <c:pt idx="0">
                  <c:v>0</c:v>
                </c:pt>
                <c:pt idx="1">
                  <c:v>0</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80555555555556"/>
          <c:y val="0.370252989209682"/>
          <c:w val="0.402777777777778"/>
          <c:h val="0.38541994750656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7c84e381-b486-4ff5-aeee-6d6238d2fca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4114</Words>
  <Characters>4634</Characters>
  <Lines>124</Lines>
  <Paragraphs>35</Paragraphs>
  <TotalTime>29</TotalTime>
  <ScaleCrop>false</ScaleCrop>
  <LinksUpToDate>false</LinksUpToDate>
  <CharactersWithSpaces>4752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qingyao_w</cp:lastModifiedBy>
  <cp:lastPrinted>2022-08-06T02:23:00Z</cp:lastPrinted>
  <dcterms:modified xsi:type="dcterms:W3CDTF">2024-10-25T13:10:36Z</dcterms:modified>
  <dc:title>四川省***</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02D816F09BA04D65B7E6D58822A5D628_13</vt:lpwstr>
  </property>
</Properties>
</file>