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5"/>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96475"/>
      <w:bookmarkStart w:id="4" w:name="_Toc1537742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77426"/>
      <w:bookmarkStart w:id="9" w:name="_Toc15378442"/>
      <w:bookmarkStart w:id="10" w:name="_Toc15396598"/>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eastAsia="zh-CN"/>
        </w:rPr>
        <w:t>大竹县安吉乡中心小学</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sdt>
      <w:sdtPr>
        <w:rPr>
          <w:rFonts w:ascii="宋体" w:hAnsi="宋体" w:eastAsia="宋体" w:cs="Times New Roman"/>
          <w:kern w:val="2"/>
          <w:sz w:val="21"/>
          <w:szCs w:val="24"/>
          <w:lang w:val="en-US" w:eastAsia="zh-CN" w:bidi="ar-SA"/>
        </w:rPr>
        <w:id w:val="147481926"/>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_Toc13859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 xml:space="preserve">第一部分 </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bCs w:val="0"/>
              <w:sz w:val="24"/>
              <w:szCs w:val="24"/>
              <w:highlight w:val="none"/>
            </w:rPr>
            <w:t>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ascii="宋体" w:hAnsi="宋体" w:cs="宋体"/>
              <w:bCs w:val="0"/>
              <w:sz w:val="24"/>
              <w:szCs w:val="24"/>
              <w:lang w:eastAsia="zh-CN"/>
            </w:rPr>
            <w:t>主要职责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_Toc31162 </w:instrText>
          </w:r>
          <w:r>
            <w:rPr>
              <w:rFonts w:hint="eastAsia" w:ascii="宋体" w:hAnsi="宋体" w:eastAsia="宋体" w:cs="宋体"/>
              <w:sz w:val="24"/>
              <w:szCs w:val="24"/>
            </w:rPr>
            <w:fldChar w:fldCharType="separate"/>
          </w:r>
          <w:r>
            <w:rPr>
              <w:rFonts w:hint="eastAsia" w:ascii="仿宋_GB2312" w:hAnsi="仿宋_GB2312" w:eastAsia="仿宋_GB2312" w:cs="仿宋_GB2312"/>
              <w:bCs/>
              <w:sz w:val="24"/>
              <w:szCs w:val="24"/>
              <w:highlight w:val="none"/>
            </w:rPr>
            <w:t xml:space="preserve">第二部分 </w:t>
          </w:r>
          <w:r>
            <w:rPr>
              <w:rFonts w:hint="eastAsia" w:ascii="仿宋_GB2312" w:hAnsi="仿宋_GB2312" w:eastAsia="仿宋_GB2312" w:cs="仿宋_GB2312"/>
              <w:bCs/>
              <w:sz w:val="24"/>
              <w:szCs w:val="24"/>
              <w:highlight w:val="none"/>
              <w:lang w:val="en-US" w:eastAsia="zh-CN"/>
            </w:rPr>
            <w:t>2022年度</w:t>
          </w:r>
          <w:r>
            <w:rPr>
              <w:rFonts w:hint="eastAsia" w:ascii="仿宋_GB2312" w:hAnsi="仿宋_GB2312" w:eastAsia="仿宋_GB2312" w:cs="仿宋_GB2312"/>
              <w:bCs/>
              <w:sz w:val="24"/>
              <w:szCs w:val="24"/>
              <w:highlight w:val="none"/>
              <w:lang w:eastAsia="zh-CN"/>
            </w:rPr>
            <w:t>单位</w:t>
          </w:r>
          <w:r>
            <w:rPr>
              <w:rFonts w:hint="eastAsia" w:ascii="仿宋_GB2312" w:hAnsi="仿宋_GB2312" w:eastAsia="仿宋_GB2312" w:cs="仿宋_GB2312"/>
              <w:bCs/>
              <w:sz w:val="24"/>
              <w:szCs w:val="24"/>
              <w:highlight w:val="none"/>
            </w:rPr>
            <w:t>决算情况说明</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_Toc3674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_Toc32249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cs="宋体"/>
              <w:sz w:val="24"/>
              <w:szCs w:val="24"/>
              <w:lang w:val="en-US" w:eastAsia="zh-CN"/>
            </w:rPr>
            <w:t>9</w:t>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_Toc9808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_Toc9808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_Toc10844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cs="宋体"/>
              <w:sz w:val="24"/>
              <w:szCs w:val="24"/>
              <w:lang w:val="en-US" w:eastAsia="zh-CN"/>
            </w:rPr>
            <w:t>1</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_Toc10613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rPr>
            <w:t xml:space="preserve">第三部分 </w:t>
          </w:r>
          <w:r>
            <w:rPr>
              <w:rFonts w:hint="eastAsia" w:ascii="仿宋_GB2312" w:hAnsi="仿宋_GB2312" w:eastAsia="仿宋_GB2312" w:cs="仿宋_GB2312"/>
              <w:sz w:val="24"/>
              <w:szCs w:val="24"/>
              <w:highlight w:val="none"/>
            </w:rPr>
            <w:t>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_Toc25087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_Toc31790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第五部分 附表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_Toc21621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_Toc6268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_Toc29111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_Toc25077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_Toc26267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8</w:t>
          </w:r>
        </w:p>
        <w:p>
          <w:pPr>
            <w:widowControl/>
            <w:adjustRightInd w:val="0"/>
            <w:snapToGrid w:val="0"/>
            <w:spacing w:line="440" w:lineRule="exact"/>
            <w:ind w:firstLine="1155" w:firstLineChars="550"/>
            <w:jc w:val="left"/>
            <w:rPr>
              <w:rFonts w:ascii="宋体" w:hAnsi="宋体" w:eastAsia="宋体" w:cs="Times New Roman"/>
              <w:b/>
              <w:kern w:val="2"/>
              <w:sz w:val="21"/>
              <w:szCs w:val="24"/>
              <w:lang w:val="en-US" w:eastAsia="zh-CN" w:bidi="ar-SA"/>
            </w:rPr>
          </w:pPr>
          <w:r>
            <w:rPr>
              <w:rFonts w:hint="eastAsia" w:ascii="仿宋_GB2312" w:hAnsi="仿宋_GB2312" w:eastAsia="仿宋_GB2312" w:cs="仿宋_GB2312"/>
              <w:szCs w:val="28"/>
            </w:rPr>
            <w:fldChar w:fldCharType="end"/>
          </w:r>
        </w:p>
      </w:sdtContent>
    </w:sdt>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3"/>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安吉乡中心</w:t>
      </w:r>
      <w:r>
        <w:rPr>
          <w:rFonts w:hint="eastAsia" w:ascii="仿宋" w:hAnsi="仿宋" w:eastAsia="仿宋"/>
          <w:bCs/>
          <w:color w:val="auto"/>
          <w:kern w:val="0"/>
          <w:sz w:val="32"/>
          <w:szCs w:val="32"/>
        </w:rPr>
        <w:t>小学是大竹县教育局举办的一所</w:t>
      </w:r>
      <w:r>
        <w:rPr>
          <w:rFonts w:hint="eastAsia" w:ascii="仿宋" w:hAnsi="仿宋" w:eastAsia="仿宋"/>
          <w:bCs/>
          <w:color w:val="auto"/>
          <w:kern w:val="0"/>
          <w:sz w:val="32"/>
          <w:szCs w:val="32"/>
          <w:lang w:val="en-US" w:eastAsia="zh-CN"/>
        </w:rPr>
        <w:t>完九年一贯制学校</w:t>
      </w:r>
      <w:r>
        <w:rPr>
          <w:rFonts w:hint="eastAsia" w:ascii="仿宋" w:hAnsi="仿宋" w:eastAsia="仿宋"/>
          <w:bCs/>
          <w:color w:val="auto"/>
          <w:kern w:val="0"/>
          <w:sz w:val="32"/>
          <w:szCs w:val="32"/>
        </w:rPr>
        <w:t>，属于全额拨款事业单位，工作职能及主要工作是贯彻执行国家教育方针政策，承担本辖区内</w:t>
      </w:r>
      <w:r>
        <w:rPr>
          <w:rFonts w:hint="eastAsia" w:ascii="仿宋" w:hAnsi="仿宋" w:eastAsia="仿宋"/>
          <w:bCs/>
          <w:color w:val="auto"/>
          <w:kern w:val="0"/>
          <w:sz w:val="32"/>
          <w:szCs w:val="32"/>
          <w:lang w:val="en-US" w:eastAsia="zh-CN"/>
        </w:rPr>
        <w:t>小学1-9年级教育教学职责</w:t>
      </w:r>
      <w:r>
        <w:rPr>
          <w:rFonts w:hint="eastAsia" w:ascii="仿宋" w:hAnsi="仿宋" w:eastAsia="仿宋"/>
          <w:bCs/>
          <w:color w:val="auto"/>
          <w:kern w:val="0"/>
          <w:sz w:val="32"/>
          <w:szCs w:val="32"/>
        </w:rPr>
        <w:t>，实施义务教育，促进基础教育发展及学历教育。</w:t>
      </w:r>
    </w:p>
    <w:p>
      <w:pPr>
        <w:pStyle w:val="3"/>
        <w:numPr>
          <w:ilvl w:val="0"/>
          <w:numId w:val="1"/>
        </w:numPr>
        <w:ind w:left="0" w:leftChars="0" w:firstLine="0" w:firstLineChars="0"/>
      </w:pPr>
      <w:r>
        <w:rPr>
          <w:rFonts w:hint="eastAsia" w:ascii="黑体" w:hAnsi="黑体" w:eastAsia="黑体"/>
          <w:b w:val="0"/>
        </w:rPr>
        <w:t>机构设置</w:t>
      </w:r>
    </w:p>
    <w:bookmarkEnd w:id="14"/>
    <w:bookmarkEnd w:id="15"/>
    <w:p>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安吉乡中心</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rPr>
        <w:t>下属二级单位0个，其中行政单位0个，参照公务员法管理的事业单位0个，其他事业单位0个。</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安吉乡中心</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年度部门决算编制范围的二级预算单位包括：</w:t>
      </w:r>
    </w:p>
    <w:p>
      <w:pPr>
        <w:ind w:firstLine="640" w:firstLineChars="200"/>
        <w:rPr>
          <w:rFonts w:ascii="仿宋" w:hAnsi="仿宋" w:eastAsia="仿宋"/>
          <w:kern w:val="0"/>
          <w:sz w:val="32"/>
          <w:szCs w:val="32"/>
        </w:rPr>
      </w:pPr>
      <w:r>
        <w:rPr>
          <w:rFonts w:hint="eastAsia" w:ascii="仿宋" w:hAnsi="仿宋" w:eastAsia="仿宋" w:cs="Times New Roman"/>
          <w:color w:val="000000"/>
          <w:sz w:val="32"/>
          <w:szCs w:val="32"/>
        </w:rPr>
        <w:t>无。</w:t>
      </w:r>
    </w:p>
    <w:p>
      <w:pPr>
        <w:pStyle w:val="2"/>
        <w:ind w:right="440"/>
        <w:jc w:val="cente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1495.07</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405.27</w:t>
      </w:r>
      <w:r>
        <w:rPr>
          <w:rFonts w:hint="eastAsia" w:ascii="仿宋" w:hAnsi="仿宋" w:eastAsia="仿宋"/>
          <w:sz w:val="32"/>
          <w:szCs w:val="32"/>
        </w:rPr>
        <w:t>万元，增长</w:t>
      </w:r>
      <w:r>
        <w:rPr>
          <w:rFonts w:hint="eastAsia" w:ascii="仿宋" w:hAnsi="仿宋" w:eastAsia="仿宋"/>
          <w:sz w:val="32"/>
          <w:szCs w:val="32"/>
          <w:lang w:val="en-US" w:eastAsia="zh-CN"/>
        </w:rPr>
        <w:t>37.19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增加了人员导致收入支出增加</w:t>
      </w:r>
      <w:r>
        <w:rPr>
          <w:rFonts w:hint="eastAsia" w:ascii="仿宋" w:hAnsi="仿宋" w:eastAsia="仿宋"/>
          <w:sz w:val="32"/>
          <w:szCs w:val="32"/>
        </w:rPr>
        <w:t>。</w:t>
      </w:r>
    </w:p>
    <w:p>
      <w:pPr>
        <w:spacing w:line="600" w:lineRule="exact"/>
        <w:ind w:firstLine="420" w:firstLineChars="200"/>
        <w:rPr>
          <w:rFonts w:hint="eastAsia" w:ascii="仿宋" w:hAnsi="仿宋" w:eastAsia="仿宋"/>
          <w:sz w:val="32"/>
          <w:szCs w:val="32"/>
        </w:rPr>
      </w:pPr>
      <w:r>
        <w:rPr>
          <w:rFonts w:hint="eastAsia" w:eastAsia="仿宋_GB2312"/>
          <w:lang w:eastAsia="zh-CN"/>
        </w:rPr>
        <w:drawing>
          <wp:anchor distT="0" distB="0" distL="114300" distR="114300" simplePos="0" relativeHeight="251661312" behindDoc="1" locked="0" layoutInCell="1" allowOverlap="1">
            <wp:simplePos x="0" y="0"/>
            <wp:positionH relativeFrom="column">
              <wp:posOffset>419100</wp:posOffset>
            </wp:positionH>
            <wp:positionV relativeFrom="paragraph">
              <wp:posOffset>133350</wp:posOffset>
            </wp:positionV>
            <wp:extent cx="4429760" cy="2187575"/>
            <wp:effectExtent l="4445" t="4445" r="23495" b="1778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 w:hAnsi="仿宋" w:eastAsia="仿宋"/>
          <w:b/>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1469.5</w:t>
      </w:r>
      <w:r>
        <w:rPr>
          <w:rFonts w:hint="eastAsia" w:ascii="仿宋" w:hAnsi="仿宋" w:eastAsia="仿宋"/>
          <w:sz w:val="32"/>
          <w:szCs w:val="32"/>
        </w:rPr>
        <w:t>万元，其中：一般公共预算财政拨款收入</w:t>
      </w:r>
      <w:r>
        <w:rPr>
          <w:rFonts w:ascii="仿宋" w:hAnsi="仿宋" w:eastAsia="仿宋"/>
          <w:b/>
          <w:sz w:val="32"/>
          <w:szCs w:val="32"/>
        </w:rPr>
        <w:t>1469.5</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b/>
          <w:sz w:val="32"/>
          <w:szCs w:val="32"/>
          <w:lang w:eastAsia="zh-CN"/>
        </w:rPr>
        <w:t>。</w:t>
      </w:r>
    </w:p>
    <w:p>
      <w:pPr>
        <w:spacing w:line="600" w:lineRule="exact"/>
        <w:ind w:firstLine="640" w:firstLineChars="200"/>
        <w:outlineLvl w:val="1"/>
        <w:rPr>
          <w:rFonts w:ascii="仿宋" w:hAnsi="仿宋" w:eastAsia="仿宋"/>
          <w:b/>
          <w:sz w:val="32"/>
          <w:szCs w:val="32"/>
        </w:rPr>
      </w:pPr>
      <w:r>
        <w:rPr>
          <w:rFonts w:hint="eastAsia" w:ascii="仿宋_GB2312" w:eastAsia="仿宋_GB2312"/>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639445</wp:posOffset>
            </wp:positionH>
            <wp:positionV relativeFrom="paragraph">
              <wp:posOffset>709295</wp:posOffset>
            </wp:positionV>
            <wp:extent cx="3879850" cy="2373630"/>
            <wp:effectExtent l="4445" t="4445" r="20955" b="60325"/>
            <wp:wrapNone/>
            <wp:docPr id="4" name="图表 4"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3" w:firstLineChars="200"/>
        <w:outlineLvl w:val="1"/>
        <w:rPr>
          <w:rFonts w:ascii="仿宋" w:hAnsi="仿宋" w:eastAsia="仿宋"/>
          <w:b/>
          <w:sz w:val="32"/>
          <w:szCs w:val="32"/>
        </w:rPr>
      </w:pPr>
    </w:p>
    <w:p>
      <w:pPr>
        <w:spacing w:line="600" w:lineRule="exact"/>
        <w:ind w:firstLine="643" w:firstLineChars="200"/>
        <w:outlineLvl w:val="1"/>
        <w:rPr>
          <w:rFonts w:ascii="仿宋" w:hAnsi="仿宋" w:eastAsia="仿宋"/>
          <w:b/>
          <w:sz w:val="32"/>
          <w:szCs w:val="32"/>
        </w:rPr>
      </w:pPr>
    </w:p>
    <w:p>
      <w:pPr>
        <w:spacing w:line="600" w:lineRule="exact"/>
        <w:ind w:firstLine="643" w:firstLineChars="200"/>
        <w:outlineLvl w:val="1"/>
        <w:rPr>
          <w:rFonts w:ascii="仿宋" w:hAnsi="仿宋" w:eastAsia="仿宋"/>
          <w:b/>
          <w:sz w:val="32"/>
          <w:szCs w:val="32"/>
        </w:rPr>
      </w:pPr>
    </w:p>
    <w:p>
      <w:pPr>
        <w:spacing w:line="600" w:lineRule="exact"/>
        <w:ind w:firstLine="643" w:firstLineChars="200"/>
        <w:outlineLvl w:val="1"/>
        <w:rPr>
          <w:rFonts w:ascii="仿宋" w:hAnsi="仿宋" w:eastAsia="仿宋"/>
          <w:b/>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1495.07</w:t>
      </w:r>
      <w:r>
        <w:rPr>
          <w:rFonts w:hint="eastAsia" w:ascii="仿宋" w:hAnsi="仿宋" w:eastAsia="仿宋"/>
          <w:sz w:val="32"/>
          <w:szCs w:val="32"/>
        </w:rPr>
        <w:t>万元，其中：基本支出</w:t>
      </w:r>
      <w:r>
        <w:rPr>
          <w:rFonts w:ascii="仿宋" w:hAnsi="仿宋" w:eastAsia="仿宋"/>
          <w:b/>
          <w:sz w:val="32"/>
          <w:szCs w:val="32"/>
        </w:rPr>
        <w:t>1406.85</w:t>
      </w:r>
      <w:r>
        <w:rPr>
          <w:rFonts w:hint="eastAsia" w:ascii="仿宋" w:hAnsi="仿宋" w:eastAsia="仿宋"/>
          <w:sz w:val="32"/>
          <w:szCs w:val="32"/>
        </w:rPr>
        <w:t>万元，占</w:t>
      </w:r>
      <w:r>
        <w:rPr>
          <w:rFonts w:ascii="仿宋" w:hAnsi="仿宋" w:eastAsia="仿宋"/>
          <w:b/>
          <w:sz w:val="32"/>
          <w:szCs w:val="32"/>
        </w:rPr>
        <w:t>94.</w:t>
      </w:r>
      <w:r>
        <w:rPr>
          <w:rFonts w:hint="eastAsia" w:ascii="仿宋" w:hAnsi="仿宋" w:eastAsia="仿宋"/>
          <w:b/>
          <w:sz w:val="32"/>
          <w:szCs w:val="32"/>
          <w:lang w:val="en-US" w:eastAsia="zh-CN"/>
        </w:rPr>
        <w:t>10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88.22</w:t>
      </w:r>
      <w:r>
        <w:rPr>
          <w:rFonts w:hint="eastAsia" w:ascii="仿宋" w:hAnsi="仿宋" w:eastAsia="仿宋"/>
          <w:sz w:val="32"/>
          <w:szCs w:val="32"/>
        </w:rPr>
        <w:t>万元，占</w:t>
      </w:r>
      <w:r>
        <w:rPr>
          <w:rFonts w:ascii="仿宋" w:hAnsi="仿宋" w:eastAsia="仿宋"/>
          <w:b/>
          <w:sz w:val="32"/>
          <w:szCs w:val="32"/>
        </w:rPr>
        <w:t>5.9</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hint="eastAsia" w:ascii="仿宋" w:hAnsi="仿宋" w:eastAsia="仿宋"/>
          <w:b/>
          <w:sz w:val="32"/>
          <w:szCs w:val="32"/>
        </w:rPr>
      </w:pPr>
    </w:p>
    <w:p>
      <w:pPr>
        <w:spacing w:line="600" w:lineRule="exact"/>
        <w:ind w:firstLine="420" w:firstLineChars="200"/>
        <w:outlineLvl w:val="1"/>
        <w:rPr>
          <w:rFonts w:hint="eastAsia" w:ascii="仿宋" w:hAnsi="仿宋" w:eastAsia="仿宋"/>
          <w:b/>
          <w:sz w:val="32"/>
          <w:szCs w:val="32"/>
        </w:rPr>
      </w:pPr>
      <w:r>
        <w:rPr>
          <w:rFonts w:hint="eastAsia" w:eastAsia="仿宋_GB2312"/>
          <w:lang w:eastAsia="zh-CN"/>
        </w:rPr>
        <w:drawing>
          <wp:anchor distT="0" distB="0" distL="114300" distR="114300" simplePos="0" relativeHeight="251659264" behindDoc="1" locked="0" layoutInCell="1" allowOverlap="1">
            <wp:simplePos x="0" y="0"/>
            <wp:positionH relativeFrom="column">
              <wp:posOffset>458470</wp:posOffset>
            </wp:positionH>
            <wp:positionV relativeFrom="paragraph">
              <wp:posOffset>4445</wp:posOffset>
            </wp:positionV>
            <wp:extent cx="4611370" cy="2253615"/>
            <wp:effectExtent l="5080" t="4445" r="12700" b="46990"/>
            <wp:wrapNone/>
            <wp:docPr id="3"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3" w:firstLineChars="200"/>
        <w:outlineLvl w:val="1"/>
        <w:rPr>
          <w:rFonts w:hint="eastAsia" w:ascii="仿宋" w:hAnsi="仿宋" w:eastAsia="仿宋"/>
          <w:b/>
          <w:sz w:val="32"/>
          <w:szCs w:val="32"/>
        </w:rPr>
      </w:pPr>
    </w:p>
    <w:p>
      <w:pPr>
        <w:spacing w:line="600" w:lineRule="exact"/>
        <w:ind w:firstLine="643" w:firstLineChars="200"/>
        <w:outlineLvl w:val="1"/>
        <w:rPr>
          <w:rFonts w:hint="eastAsia" w:ascii="仿宋" w:hAnsi="仿宋" w:eastAsia="仿宋"/>
          <w:b/>
          <w:sz w:val="32"/>
          <w:szCs w:val="32"/>
        </w:rPr>
      </w:pPr>
    </w:p>
    <w:p>
      <w:pPr>
        <w:spacing w:line="600" w:lineRule="exact"/>
        <w:ind w:firstLine="643" w:firstLineChars="200"/>
        <w:outlineLvl w:val="1"/>
        <w:rPr>
          <w:rFonts w:hint="eastAsia" w:ascii="仿宋" w:hAnsi="仿宋" w:eastAsia="仿宋"/>
          <w:b/>
          <w:sz w:val="32"/>
          <w:szCs w:val="32"/>
        </w:rPr>
      </w:pPr>
    </w:p>
    <w:p>
      <w:pPr>
        <w:spacing w:line="600" w:lineRule="exact"/>
        <w:ind w:firstLine="640"/>
        <w:rPr>
          <w:rFonts w:ascii="仿宋" w:hAnsi="仿宋" w:eastAsia="仿宋"/>
          <w:sz w:val="32"/>
          <w:szCs w:val="32"/>
          <w:shd w:val="pct10" w:color="auto" w:fill="FFFFFF"/>
        </w:rPr>
      </w:pP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1495.07</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405.27</w:t>
      </w:r>
      <w:r>
        <w:rPr>
          <w:rFonts w:hint="eastAsia" w:ascii="仿宋" w:hAnsi="仿宋" w:eastAsia="仿宋"/>
          <w:sz w:val="32"/>
          <w:szCs w:val="32"/>
        </w:rPr>
        <w:t>万元，增长</w:t>
      </w:r>
      <w:r>
        <w:rPr>
          <w:rFonts w:hint="eastAsia" w:ascii="仿宋" w:hAnsi="仿宋" w:eastAsia="仿宋"/>
          <w:sz w:val="32"/>
          <w:szCs w:val="32"/>
          <w:lang w:val="en-US" w:eastAsia="zh-CN"/>
        </w:rPr>
        <w:t>37.19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增加了人员。</w:t>
      </w:r>
    </w:p>
    <w:p>
      <w:pPr>
        <w:spacing w:line="600" w:lineRule="exact"/>
        <w:rPr>
          <w:rFonts w:ascii="仿宋" w:hAnsi="仿宋" w:eastAsia="仿宋"/>
          <w:sz w:val="32"/>
          <w:szCs w:val="32"/>
        </w:rPr>
      </w:pPr>
      <w:r>
        <w:rPr>
          <w:rFonts w:hint="eastAsia" w:eastAsia="仿宋_GB2312"/>
          <w:lang w:eastAsia="zh-CN"/>
        </w:rPr>
        <w:drawing>
          <wp:anchor distT="0" distB="0" distL="114300" distR="114300" simplePos="0" relativeHeight="251659264" behindDoc="1" locked="0" layoutInCell="1" allowOverlap="1">
            <wp:simplePos x="0" y="0"/>
            <wp:positionH relativeFrom="column">
              <wp:posOffset>433070</wp:posOffset>
            </wp:positionH>
            <wp:positionV relativeFrom="paragraph">
              <wp:posOffset>61595</wp:posOffset>
            </wp:positionV>
            <wp:extent cx="4429760" cy="2187575"/>
            <wp:effectExtent l="4445" t="4445" r="23495" b="1778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1495.07</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405.27</w:t>
      </w:r>
      <w:r>
        <w:rPr>
          <w:rFonts w:hint="eastAsia" w:ascii="仿宋" w:hAnsi="仿宋" w:eastAsia="仿宋"/>
          <w:sz w:val="32"/>
          <w:szCs w:val="32"/>
        </w:rPr>
        <w:t>万元，增长</w:t>
      </w:r>
      <w:r>
        <w:rPr>
          <w:rFonts w:hint="eastAsia" w:ascii="仿宋" w:hAnsi="仿宋" w:eastAsia="仿宋"/>
          <w:sz w:val="32"/>
          <w:szCs w:val="32"/>
          <w:lang w:val="en-US" w:eastAsia="zh-CN"/>
        </w:rPr>
        <w:t>37.19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人员增加。</w:t>
      </w:r>
    </w:p>
    <w:p>
      <w:pPr>
        <w:spacing w:line="600" w:lineRule="exact"/>
        <w:ind w:firstLine="420" w:firstLineChars="200"/>
        <w:rPr>
          <w:rFonts w:ascii="仿宋" w:hAnsi="仿宋" w:eastAsia="仿宋"/>
          <w:sz w:val="32"/>
          <w:szCs w:val="32"/>
        </w:rPr>
      </w:pPr>
      <w:r>
        <w:rPr>
          <w:rFonts w:hint="eastAsia" w:eastAsia="仿宋_GB2312"/>
          <w:lang w:eastAsia="zh-CN"/>
        </w:rPr>
        <w:drawing>
          <wp:anchor distT="0" distB="0" distL="114300" distR="114300" simplePos="0" relativeHeight="251659264" behindDoc="1" locked="0" layoutInCell="1" allowOverlap="1">
            <wp:simplePos x="0" y="0"/>
            <wp:positionH relativeFrom="column">
              <wp:posOffset>299720</wp:posOffset>
            </wp:positionH>
            <wp:positionV relativeFrom="paragraph">
              <wp:posOffset>137795</wp:posOffset>
            </wp:positionV>
            <wp:extent cx="4638040" cy="2188845"/>
            <wp:effectExtent l="4445" t="4445" r="5715" b="1651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1495.07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b/>
          <w:sz w:val="32"/>
          <w:szCs w:val="32"/>
          <w:lang w:eastAsia="zh-CN"/>
        </w:rPr>
        <w:t>（</w:t>
      </w:r>
      <w:r>
        <w:rPr>
          <w:rFonts w:hint="eastAsia" w:ascii="仿宋" w:hAnsi="仿宋" w:eastAsia="仿宋"/>
          <w:b/>
          <w:sz w:val="32"/>
          <w:szCs w:val="32"/>
          <w:lang w:val="en-US" w:eastAsia="zh-CN"/>
        </w:rPr>
        <w:t>205</w:t>
      </w:r>
      <w:r>
        <w:rPr>
          <w:rFonts w:hint="eastAsia" w:ascii="仿宋" w:hAnsi="仿宋" w:eastAsia="仿宋"/>
          <w:b/>
          <w:sz w:val="32"/>
          <w:szCs w:val="32"/>
          <w:lang w:eastAsia="zh-CN"/>
        </w:rPr>
        <w:t>）</w:t>
      </w:r>
      <w:r>
        <w:rPr>
          <w:rFonts w:hint="eastAsia" w:ascii="仿宋" w:hAnsi="仿宋" w:eastAsia="仿宋"/>
          <w:b/>
          <w:sz w:val="32"/>
          <w:szCs w:val="32"/>
          <w:lang w:val="en-US" w:eastAsia="zh-CN"/>
        </w:rPr>
        <w:t>1127.45</w:t>
      </w:r>
      <w:r>
        <w:rPr>
          <w:rFonts w:hint="eastAsia" w:ascii="仿宋" w:hAnsi="仿宋" w:eastAsia="仿宋"/>
          <w:sz w:val="32"/>
          <w:szCs w:val="32"/>
        </w:rPr>
        <w:t>万元，占</w:t>
      </w:r>
      <w:r>
        <w:rPr>
          <w:rFonts w:hint="eastAsia" w:ascii="仿宋" w:hAnsi="仿宋" w:eastAsia="仿宋"/>
          <w:sz w:val="32"/>
          <w:szCs w:val="32"/>
          <w:lang w:val="en-US" w:eastAsia="zh-CN"/>
        </w:rPr>
        <w:t>75.41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208</w:t>
      </w:r>
      <w:r>
        <w:rPr>
          <w:rFonts w:hint="eastAsia" w:ascii="仿宋" w:hAnsi="仿宋" w:eastAsia="仿宋"/>
          <w:b/>
          <w:bCs/>
          <w:sz w:val="32"/>
          <w:szCs w:val="32"/>
          <w:lang w:eastAsia="zh-CN"/>
        </w:rPr>
        <w:t>）</w:t>
      </w:r>
      <w:r>
        <w:rPr>
          <w:rFonts w:hint="eastAsia" w:ascii="仿宋" w:hAnsi="仿宋" w:eastAsia="仿宋"/>
          <w:sz w:val="32"/>
          <w:szCs w:val="32"/>
          <w:lang w:val="en-US" w:eastAsia="zh-CN"/>
        </w:rPr>
        <w:t>221.34</w:t>
      </w:r>
      <w:r>
        <w:rPr>
          <w:rFonts w:hint="eastAsia" w:ascii="仿宋" w:hAnsi="仿宋" w:eastAsia="仿宋"/>
          <w:sz w:val="32"/>
          <w:szCs w:val="32"/>
        </w:rPr>
        <w:t>万元，占</w:t>
      </w:r>
      <w:r>
        <w:rPr>
          <w:rFonts w:hint="eastAsia" w:ascii="仿宋" w:hAnsi="仿宋" w:eastAsia="仿宋"/>
          <w:sz w:val="32"/>
          <w:szCs w:val="32"/>
          <w:lang w:val="en-US" w:eastAsia="zh-CN"/>
        </w:rPr>
        <w:t>14.80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210</w:t>
      </w:r>
      <w:r>
        <w:rPr>
          <w:rFonts w:hint="eastAsia" w:ascii="仿宋" w:hAnsi="仿宋" w:eastAsia="仿宋"/>
          <w:b/>
          <w:bCs/>
          <w:sz w:val="32"/>
          <w:szCs w:val="32"/>
          <w:lang w:eastAsia="zh-CN"/>
        </w:rPr>
        <w:t>）</w:t>
      </w:r>
      <w:r>
        <w:rPr>
          <w:rFonts w:hint="eastAsia" w:ascii="仿宋" w:hAnsi="仿宋" w:eastAsia="仿宋"/>
          <w:sz w:val="32"/>
          <w:szCs w:val="32"/>
          <w:lang w:val="en-US" w:eastAsia="zh-CN"/>
        </w:rPr>
        <w:t>64.91</w:t>
      </w:r>
      <w:r>
        <w:rPr>
          <w:rFonts w:hint="eastAsia" w:ascii="仿宋" w:hAnsi="仿宋" w:eastAsia="仿宋"/>
          <w:sz w:val="32"/>
          <w:szCs w:val="32"/>
        </w:rPr>
        <w:t>万元，占</w:t>
      </w:r>
      <w:r>
        <w:rPr>
          <w:rFonts w:hint="eastAsia" w:ascii="仿宋" w:hAnsi="仿宋" w:eastAsia="仿宋"/>
          <w:sz w:val="32"/>
          <w:szCs w:val="32"/>
          <w:lang w:val="en-US" w:eastAsia="zh-CN"/>
        </w:rPr>
        <w:t>4.34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221</w:t>
      </w:r>
      <w:r>
        <w:rPr>
          <w:rFonts w:hint="eastAsia" w:ascii="仿宋" w:hAnsi="仿宋" w:eastAsia="仿宋"/>
          <w:b/>
          <w:bCs/>
          <w:sz w:val="32"/>
          <w:szCs w:val="32"/>
          <w:lang w:eastAsia="zh-CN"/>
        </w:rPr>
        <w:t>）</w:t>
      </w:r>
      <w:r>
        <w:rPr>
          <w:rFonts w:hint="eastAsia" w:ascii="仿宋" w:hAnsi="仿宋" w:eastAsia="仿宋"/>
          <w:sz w:val="32"/>
          <w:szCs w:val="32"/>
          <w:lang w:val="en-US" w:eastAsia="zh-CN"/>
        </w:rPr>
        <w:t>81.37</w:t>
      </w:r>
      <w:r>
        <w:rPr>
          <w:rFonts w:hint="eastAsia" w:ascii="仿宋" w:hAnsi="仿宋" w:eastAsia="仿宋"/>
          <w:sz w:val="32"/>
          <w:szCs w:val="32"/>
        </w:rPr>
        <w:t>万元，占</w:t>
      </w:r>
      <w:r>
        <w:rPr>
          <w:rFonts w:hint="eastAsia" w:ascii="仿宋" w:hAnsi="仿宋" w:eastAsia="仿宋"/>
          <w:sz w:val="32"/>
          <w:szCs w:val="32"/>
          <w:lang w:val="en-US" w:eastAsia="zh-CN"/>
        </w:rPr>
        <w:t>5.45</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color w:val="FF0000"/>
          <w:sz w:val="32"/>
          <w:szCs w:val="32"/>
          <w:highlight w:val="none"/>
          <w:lang w:eastAsia="zh-CN"/>
        </w:rPr>
        <w:drawing>
          <wp:anchor distT="0" distB="0" distL="114300" distR="114300" simplePos="0" relativeHeight="251659264" behindDoc="1" locked="0" layoutInCell="1" allowOverlap="1">
            <wp:simplePos x="0" y="0"/>
            <wp:positionH relativeFrom="column">
              <wp:posOffset>490220</wp:posOffset>
            </wp:positionH>
            <wp:positionV relativeFrom="paragraph">
              <wp:posOffset>157480</wp:posOffset>
            </wp:positionV>
            <wp:extent cx="4671060" cy="2604135"/>
            <wp:effectExtent l="4445" t="4445" r="10795" b="58420"/>
            <wp:wrapNone/>
            <wp:docPr id="9" name="图表 9"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numPr>
          <w:ilvl w:val="0"/>
          <w:numId w:val="0"/>
        </w:numPr>
        <w:spacing w:line="600" w:lineRule="exact"/>
        <w:ind w:firstLine="964" w:firstLineChars="300"/>
        <w:rPr>
          <w:rStyle w:val="16"/>
          <w:rFonts w:hint="eastAsia" w:ascii="仿宋" w:hAnsi="仿宋" w:eastAsia="仿宋"/>
          <w:b w:val="0"/>
          <w:bCs w:val="0"/>
          <w:color w:val="auto"/>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1495.07</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numPr>
          <w:ilvl w:val="0"/>
          <w:numId w:val="3"/>
        </w:numPr>
        <w:spacing w:line="600" w:lineRule="exact"/>
        <w:ind w:firstLine="640" w:firstLineChars="200"/>
        <w:rPr>
          <w:rStyle w:val="16"/>
          <w:rFonts w:hint="eastAsia" w:ascii="仿宋" w:hAnsi="仿宋" w:eastAsia="仿宋"/>
          <w:bCs/>
          <w:sz w:val="32"/>
          <w:szCs w:val="32"/>
        </w:rPr>
      </w:pPr>
      <w:r>
        <w:rPr>
          <w:rStyle w:val="16"/>
          <w:rFonts w:hint="eastAsia" w:ascii="仿宋" w:hAnsi="仿宋" w:eastAsia="仿宋"/>
          <w:b w:val="0"/>
          <w:bCs w:val="0"/>
          <w:color w:val="auto"/>
          <w:sz w:val="32"/>
          <w:szCs w:val="32"/>
        </w:rPr>
        <w:t>教育（205）</w:t>
      </w:r>
      <w:r>
        <w:rPr>
          <w:rStyle w:val="16"/>
          <w:rFonts w:hint="eastAsia" w:ascii="仿宋" w:hAnsi="仿宋" w:eastAsia="仿宋"/>
          <w:b w:val="0"/>
          <w:bCs w:val="0"/>
          <w:color w:val="auto"/>
          <w:sz w:val="32"/>
          <w:szCs w:val="32"/>
          <w:lang w:eastAsia="zh-CN"/>
        </w:rPr>
        <w:t>普通</w:t>
      </w:r>
      <w:r>
        <w:rPr>
          <w:rStyle w:val="16"/>
          <w:rFonts w:hint="eastAsia" w:ascii="仿宋" w:hAnsi="仿宋" w:eastAsia="仿宋"/>
          <w:b w:val="0"/>
          <w:bCs w:val="0"/>
          <w:color w:val="auto"/>
          <w:sz w:val="32"/>
          <w:szCs w:val="32"/>
        </w:rPr>
        <w:t>教育（02）</w:t>
      </w:r>
      <w:r>
        <w:rPr>
          <w:rStyle w:val="16"/>
          <w:rFonts w:hint="eastAsia" w:ascii="仿宋" w:hAnsi="仿宋" w:eastAsia="仿宋"/>
          <w:b w:val="0"/>
          <w:bCs w:val="0"/>
          <w:color w:val="auto"/>
          <w:sz w:val="32"/>
          <w:szCs w:val="32"/>
          <w:lang w:val="en-US" w:eastAsia="zh-CN"/>
        </w:rPr>
        <w:t>学前</w:t>
      </w:r>
      <w:r>
        <w:rPr>
          <w:rStyle w:val="16"/>
          <w:rFonts w:hint="eastAsia" w:ascii="仿宋" w:hAnsi="仿宋" w:eastAsia="仿宋"/>
          <w:b w:val="0"/>
          <w:bCs w:val="0"/>
          <w:color w:val="auto"/>
          <w:sz w:val="32"/>
          <w:szCs w:val="32"/>
        </w:rPr>
        <w:t>教育（0</w:t>
      </w:r>
      <w:r>
        <w:rPr>
          <w:rStyle w:val="16"/>
          <w:rFonts w:hint="eastAsia" w:ascii="仿宋" w:hAnsi="仿宋" w:eastAsia="仿宋"/>
          <w:b w:val="0"/>
          <w:bCs w:val="0"/>
          <w:color w:val="auto"/>
          <w:sz w:val="32"/>
          <w:szCs w:val="32"/>
          <w:lang w:val="en-US" w:eastAsia="zh-CN"/>
        </w:rPr>
        <w:t>1</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46.81</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pPr>
        <w:numPr>
          <w:ilvl w:val="0"/>
          <w:numId w:val="3"/>
        </w:numPr>
        <w:spacing w:line="600" w:lineRule="exact"/>
        <w:ind w:firstLine="640" w:firstLineChars="200"/>
        <w:rPr>
          <w:rStyle w:val="16"/>
          <w:rFonts w:hint="eastAsia" w:ascii="仿宋" w:hAnsi="仿宋" w:eastAsia="仿宋"/>
          <w:b w:val="0"/>
          <w:bCs w:val="0"/>
          <w:color w:val="auto"/>
          <w:sz w:val="32"/>
          <w:szCs w:val="32"/>
        </w:rPr>
      </w:pPr>
      <w:r>
        <w:rPr>
          <w:rStyle w:val="16"/>
          <w:rFonts w:hint="eastAsia" w:ascii="仿宋" w:hAnsi="仿宋" w:eastAsia="仿宋"/>
          <w:b w:val="0"/>
          <w:bCs w:val="0"/>
          <w:color w:val="auto"/>
          <w:sz w:val="32"/>
          <w:szCs w:val="32"/>
        </w:rPr>
        <w:t>教育（205）</w:t>
      </w:r>
      <w:r>
        <w:rPr>
          <w:rStyle w:val="16"/>
          <w:rFonts w:hint="eastAsia" w:ascii="仿宋" w:hAnsi="仿宋" w:eastAsia="仿宋"/>
          <w:b w:val="0"/>
          <w:bCs w:val="0"/>
          <w:color w:val="auto"/>
          <w:sz w:val="32"/>
          <w:szCs w:val="32"/>
          <w:lang w:eastAsia="zh-CN"/>
        </w:rPr>
        <w:t>普通</w:t>
      </w:r>
      <w:r>
        <w:rPr>
          <w:rStyle w:val="16"/>
          <w:rFonts w:hint="eastAsia" w:ascii="仿宋" w:hAnsi="仿宋" w:eastAsia="仿宋"/>
          <w:b w:val="0"/>
          <w:bCs w:val="0"/>
          <w:color w:val="auto"/>
          <w:sz w:val="32"/>
          <w:szCs w:val="32"/>
        </w:rPr>
        <w:t>教育（02）</w:t>
      </w:r>
      <w:r>
        <w:rPr>
          <w:rStyle w:val="16"/>
          <w:rFonts w:hint="eastAsia" w:ascii="仿宋" w:hAnsi="仿宋" w:eastAsia="仿宋"/>
          <w:b w:val="0"/>
          <w:bCs w:val="0"/>
          <w:color w:val="auto"/>
          <w:sz w:val="32"/>
          <w:szCs w:val="32"/>
          <w:lang w:val="en-US" w:eastAsia="zh-CN"/>
        </w:rPr>
        <w:t>小学</w:t>
      </w:r>
      <w:r>
        <w:rPr>
          <w:rStyle w:val="16"/>
          <w:rFonts w:hint="eastAsia" w:ascii="仿宋" w:hAnsi="仿宋" w:eastAsia="仿宋"/>
          <w:b w:val="0"/>
          <w:bCs w:val="0"/>
          <w:color w:val="auto"/>
          <w:sz w:val="32"/>
          <w:szCs w:val="32"/>
        </w:rPr>
        <w:t>教育（0</w:t>
      </w:r>
      <w:r>
        <w:rPr>
          <w:rStyle w:val="16"/>
          <w:rFonts w:hint="eastAsia" w:ascii="仿宋" w:hAnsi="仿宋" w:eastAsia="仿宋"/>
          <w:b w:val="0"/>
          <w:bCs w:val="0"/>
          <w:color w:val="auto"/>
          <w:sz w:val="32"/>
          <w:szCs w:val="32"/>
          <w:lang w:val="en-US" w:eastAsia="zh-CN"/>
        </w:rPr>
        <w:t>2</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90.48</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pPr>
        <w:numPr>
          <w:ilvl w:val="0"/>
          <w:numId w:val="3"/>
        </w:numPr>
        <w:spacing w:line="600" w:lineRule="exact"/>
        <w:ind w:left="0" w:leftChars="0" w:firstLine="640" w:firstLineChars="200"/>
        <w:rPr>
          <w:rStyle w:val="16"/>
          <w:rFonts w:hint="eastAsia" w:ascii="仿宋" w:hAnsi="仿宋" w:eastAsia="仿宋"/>
          <w:b w:val="0"/>
          <w:bCs w:val="0"/>
          <w:color w:val="auto"/>
          <w:sz w:val="32"/>
          <w:szCs w:val="32"/>
        </w:rPr>
      </w:pPr>
      <w:r>
        <w:rPr>
          <w:rStyle w:val="16"/>
          <w:rFonts w:hint="eastAsia" w:ascii="仿宋" w:hAnsi="仿宋" w:eastAsia="仿宋"/>
          <w:b w:val="0"/>
          <w:bCs w:val="0"/>
          <w:color w:val="auto"/>
          <w:sz w:val="32"/>
          <w:szCs w:val="32"/>
        </w:rPr>
        <w:t>教育（205）</w:t>
      </w:r>
      <w:r>
        <w:rPr>
          <w:rStyle w:val="16"/>
          <w:rFonts w:hint="eastAsia" w:ascii="仿宋" w:hAnsi="仿宋" w:eastAsia="仿宋"/>
          <w:b w:val="0"/>
          <w:bCs w:val="0"/>
          <w:color w:val="auto"/>
          <w:sz w:val="32"/>
          <w:szCs w:val="32"/>
          <w:lang w:eastAsia="zh-CN"/>
        </w:rPr>
        <w:t>普通</w:t>
      </w:r>
      <w:r>
        <w:rPr>
          <w:rStyle w:val="16"/>
          <w:rFonts w:hint="eastAsia" w:ascii="仿宋" w:hAnsi="仿宋" w:eastAsia="仿宋"/>
          <w:b w:val="0"/>
          <w:bCs w:val="0"/>
          <w:color w:val="auto"/>
          <w:sz w:val="32"/>
          <w:szCs w:val="32"/>
        </w:rPr>
        <w:t>教育（02）</w:t>
      </w:r>
      <w:r>
        <w:rPr>
          <w:rStyle w:val="16"/>
          <w:rFonts w:hint="eastAsia" w:ascii="仿宋" w:hAnsi="仿宋" w:eastAsia="仿宋"/>
          <w:b w:val="0"/>
          <w:bCs w:val="0"/>
          <w:color w:val="auto"/>
          <w:sz w:val="32"/>
          <w:szCs w:val="32"/>
          <w:lang w:val="en-US" w:eastAsia="zh-CN"/>
        </w:rPr>
        <w:t>初中教育</w:t>
      </w:r>
      <w:r>
        <w:rPr>
          <w:rStyle w:val="16"/>
          <w:rFonts w:hint="eastAsia" w:ascii="仿宋" w:hAnsi="仿宋" w:eastAsia="仿宋"/>
          <w:b w:val="0"/>
          <w:bCs w:val="0"/>
          <w:color w:val="auto"/>
          <w:sz w:val="32"/>
          <w:szCs w:val="32"/>
        </w:rPr>
        <w:t>（0</w:t>
      </w:r>
      <w:r>
        <w:rPr>
          <w:rStyle w:val="16"/>
          <w:rFonts w:hint="eastAsia" w:ascii="仿宋" w:hAnsi="仿宋" w:eastAsia="仿宋"/>
          <w:b w:val="0"/>
          <w:bCs w:val="0"/>
          <w:color w:val="auto"/>
          <w:sz w:val="32"/>
          <w:szCs w:val="32"/>
          <w:lang w:val="en-US" w:eastAsia="zh-CN"/>
        </w:rPr>
        <w:t>3</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990.16</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pPr>
        <w:numPr>
          <w:ilvl w:val="0"/>
          <w:numId w:val="3"/>
        </w:numPr>
        <w:spacing w:line="600" w:lineRule="exact"/>
        <w:ind w:left="0" w:leftChars="0" w:firstLine="640" w:firstLineChars="200"/>
        <w:rPr>
          <w:rStyle w:val="16"/>
          <w:rFonts w:hint="default"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（05）事业单位</w:t>
      </w:r>
      <w:r>
        <w:rPr>
          <w:rStyle w:val="16"/>
          <w:rFonts w:hint="eastAsia" w:ascii="仿宋" w:hAnsi="仿宋" w:eastAsia="仿宋"/>
          <w:b w:val="0"/>
          <w:bCs w:val="0"/>
          <w:color w:val="auto"/>
          <w:sz w:val="32"/>
          <w:szCs w:val="32"/>
          <w:lang w:eastAsia="zh-CN"/>
        </w:rPr>
        <w:t>离退休</w:t>
      </w:r>
      <w:r>
        <w:rPr>
          <w:rStyle w:val="16"/>
          <w:rFonts w:hint="eastAsia" w:ascii="仿宋" w:hAnsi="仿宋" w:eastAsia="仿宋"/>
          <w:b w:val="0"/>
          <w:bCs w:val="0"/>
          <w:color w:val="auto"/>
          <w:sz w:val="32"/>
          <w:szCs w:val="32"/>
        </w:rPr>
        <w:t>（0</w:t>
      </w:r>
      <w:r>
        <w:rPr>
          <w:rStyle w:val="16"/>
          <w:rFonts w:hint="eastAsia" w:ascii="仿宋" w:hAnsi="仿宋" w:eastAsia="仿宋"/>
          <w:b w:val="0"/>
          <w:bCs w:val="0"/>
          <w:color w:val="auto"/>
          <w:sz w:val="32"/>
          <w:szCs w:val="32"/>
          <w:lang w:val="en-US" w:eastAsia="zh-CN"/>
        </w:rPr>
        <w:t>2</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4.48</w:t>
      </w:r>
      <w:r>
        <w:rPr>
          <w:rStyle w:val="16"/>
          <w:rFonts w:hint="eastAsia" w:ascii="仿宋" w:hAnsi="仿宋" w:eastAsia="仿宋"/>
          <w:b w:val="0"/>
          <w:bCs w:val="0"/>
          <w:color w:val="auto"/>
          <w:sz w:val="32"/>
          <w:szCs w:val="32"/>
        </w:rPr>
        <w:t>万元，完成预算</w:t>
      </w:r>
      <w:r>
        <w:rPr>
          <w:rStyle w:val="16"/>
          <w:rFonts w:hint="eastAsia" w:ascii="仿宋" w:hAnsi="仿宋" w:eastAsia="仿宋"/>
          <w:b w:val="0"/>
          <w:bCs w:val="0"/>
          <w:color w:val="auto"/>
          <w:sz w:val="32"/>
          <w:szCs w:val="32"/>
          <w:lang w:val="en-US" w:eastAsia="zh-CN"/>
        </w:rPr>
        <w:t>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pPr>
        <w:numPr>
          <w:ilvl w:val="0"/>
          <w:numId w:val="3"/>
        </w:numPr>
        <w:spacing w:line="600" w:lineRule="exact"/>
        <w:ind w:left="0" w:leftChars="0" w:firstLine="640" w:firstLineChars="200"/>
        <w:rPr>
          <w:rStyle w:val="16"/>
          <w:rFonts w:hint="default"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（05）机关事业单位基本养老保险缴费支出（05）:支出决算为</w:t>
      </w:r>
      <w:r>
        <w:rPr>
          <w:rStyle w:val="16"/>
          <w:rFonts w:hint="eastAsia" w:ascii="仿宋" w:hAnsi="仿宋" w:eastAsia="仿宋"/>
          <w:b w:val="0"/>
          <w:bCs w:val="0"/>
          <w:color w:val="auto"/>
          <w:sz w:val="32"/>
          <w:szCs w:val="32"/>
          <w:lang w:val="en-US" w:eastAsia="zh-CN"/>
        </w:rPr>
        <w:t>97.38</w:t>
      </w:r>
      <w:r>
        <w:rPr>
          <w:rStyle w:val="16"/>
          <w:rFonts w:hint="eastAsia" w:ascii="仿宋" w:hAnsi="仿宋" w:eastAsia="仿宋"/>
          <w:b w:val="0"/>
          <w:bCs w:val="0"/>
          <w:color w:val="auto"/>
          <w:sz w:val="32"/>
          <w:szCs w:val="32"/>
        </w:rPr>
        <w:t>万元，完成预算</w:t>
      </w:r>
      <w:r>
        <w:rPr>
          <w:rStyle w:val="16"/>
          <w:rFonts w:hint="eastAsia" w:ascii="仿宋" w:hAnsi="仿宋" w:eastAsia="仿宋"/>
          <w:b w:val="0"/>
          <w:bCs w:val="0"/>
          <w:color w:val="auto"/>
          <w:sz w:val="32"/>
          <w:szCs w:val="32"/>
          <w:lang w:val="en-US" w:eastAsia="zh-CN"/>
        </w:rPr>
        <w:t>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lang w:eastAsia="zh-CN"/>
        </w:rPr>
        <w:t>。</w:t>
      </w:r>
    </w:p>
    <w:p>
      <w:pPr>
        <w:numPr>
          <w:ilvl w:val="0"/>
          <w:numId w:val="3"/>
        </w:numPr>
        <w:spacing w:line="600" w:lineRule="exact"/>
        <w:ind w:left="0" w:leftChars="0" w:firstLine="640" w:firstLineChars="200"/>
        <w:rPr>
          <w:rStyle w:val="16"/>
          <w:rFonts w:hint="eastAsia" w:ascii="仿宋" w:hAnsi="仿宋" w:eastAsia="仿宋"/>
          <w:b w:val="0"/>
          <w:bCs w:val="0"/>
          <w:color w:val="auto"/>
          <w:sz w:val="32"/>
          <w:szCs w:val="32"/>
        </w:rPr>
      </w:pP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（05）机关事业单位</w:t>
      </w:r>
      <w:r>
        <w:rPr>
          <w:rStyle w:val="16"/>
          <w:rFonts w:hint="eastAsia" w:ascii="仿宋" w:hAnsi="仿宋" w:eastAsia="仿宋"/>
          <w:b w:val="0"/>
          <w:bCs w:val="0"/>
          <w:color w:val="auto"/>
          <w:sz w:val="32"/>
          <w:szCs w:val="32"/>
          <w:lang w:eastAsia="zh-CN"/>
        </w:rPr>
        <w:t>职业年金</w:t>
      </w:r>
      <w:r>
        <w:rPr>
          <w:rStyle w:val="16"/>
          <w:rFonts w:hint="eastAsia" w:ascii="仿宋" w:hAnsi="仿宋" w:eastAsia="仿宋"/>
          <w:b w:val="0"/>
          <w:bCs w:val="0"/>
          <w:color w:val="auto"/>
          <w:sz w:val="32"/>
          <w:szCs w:val="32"/>
        </w:rPr>
        <w:t>缴费支出（0</w:t>
      </w:r>
      <w:r>
        <w:rPr>
          <w:rStyle w:val="16"/>
          <w:rFonts w:hint="eastAsia" w:ascii="仿宋" w:hAnsi="仿宋" w:eastAsia="仿宋"/>
          <w:b w:val="0"/>
          <w:bCs w:val="0"/>
          <w:color w:val="auto"/>
          <w:sz w:val="32"/>
          <w:szCs w:val="32"/>
          <w:lang w:val="en-US" w:eastAsia="zh-CN"/>
        </w:rPr>
        <w:t>6</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8.6</w:t>
      </w:r>
      <w:r>
        <w:rPr>
          <w:rStyle w:val="16"/>
          <w:rFonts w:hint="eastAsia" w:ascii="仿宋" w:hAnsi="仿宋" w:eastAsia="仿宋"/>
          <w:b w:val="0"/>
          <w:bCs w:val="0"/>
          <w:color w:val="auto"/>
          <w:sz w:val="32"/>
          <w:szCs w:val="32"/>
        </w:rPr>
        <w:t>万元，完成预算</w:t>
      </w:r>
      <w:r>
        <w:rPr>
          <w:rStyle w:val="16"/>
          <w:rFonts w:hint="eastAsia" w:ascii="仿宋" w:hAnsi="仿宋" w:eastAsia="仿宋"/>
          <w:b w:val="0"/>
          <w:bCs w:val="0"/>
          <w:color w:val="auto"/>
          <w:sz w:val="32"/>
          <w:szCs w:val="32"/>
          <w:lang w:val="en-US" w:eastAsia="zh-CN"/>
        </w:rPr>
        <w:t>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pPr>
        <w:pStyle w:val="5"/>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Style w:val="16"/>
          <w:rFonts w:hint="eastAsia"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w:t>
      </w:r>
      <w:r>
        <w:rPr>
          <w:rStyle w:val="16"/>
          <w:rFonts w:hint="eastAsia" w:ascii="仿宋" w:hAnsi="仿宋" w:eastAsia="仿宋"/>
          <w:b w:val="0"/>
          <w:bCs w:val="0"/>
          <w:color w:val="auto"/>
          <w:sz w:val="32"/>
          <w:szCs w:val="32"/>
          <w:lang w:val="en-US" w:eastAsia="zh-CN"/>
        </w:rPr>
        <w:t>其他</w:t>
      </w:r>
      <w:r>
        <w:rPr>
          <w:rStyle w:val="16"/>
          <w:rFonts w:hint="eastAsia" w:ascii="仿宋" w:hAnsi="仿宋" w:eastAsia="仿宋"/>
          <w:b w:val="0"/>
          <w:bCs w:val="0"/>
          <w:color w:val="auto"/>
          <w:sz w:val="32"/>
          <w:szCs w:val="32"/>
        </w:rPr>
        <w:t>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lang w:eastAsia="zh-CN"/>
        </w:rPr>
        <w:t>（</w:t>
      </w:r>
      <w:r>
        <w:rPr>
          <w:rStyle w:val="16"/>
          <w:rFonts w:hint="eastAsia" w:ascii="仿宋" w:hAnsi="仿宋" w:eastAsia="仿宋"/>
          <w:b w:val="0"/>
          <w:bCs w:val="0"/>
          <w:color w:val="auto"/>
          <w:sz w:val="32"/>
          <w:szCs w:val="32"/>
          <w:lang w:val="en-US" w:eastAsia="zh-CN"/>
        </w:rPr>
        <w:t>99</w:t>
      </w:r>
      <w:r>
        <w:rPr>
          <w:rStyle w:val="16"/>
          <w:rFonts w:hint="eastAsia" w:ascii="仿宋" w:hAnsi="仿宋" w:eastAsia="仿宋"/>
          <w:b w:val="0"/>
          <w:bCs w:val="0"/>
          <w:color w:val="auto"/>
          <w:sz w:val="32"/>
          <w:szCs w:val="32"/>
          <w:lang w:eastAsia="zh-CN"/>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79.87万元，完成预算100%。</w:t>
      </w:r>
    </w:p>
    <w:p>
      <w:pPr>
        <w:pStyle w:val="5"/>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Style w:val="16"/>
          <w:rFonts w:hint="eastAsia"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rPr>
        <w:t>社会保障和就业（208）</w:t>
      </w:r>
      <w:r>
        <w:rPr>
          <w:rStyle w:val="16"/>
          <w:rFonts w:hint="eastAsia" w:ascii="仿宋" w:hAnsi="仿宋" w:eastAsia="仿宋"/>
          <w:b w:val="0"/>
          <w:bCs w:val="0"/>
          <w:color w:val="auto"/>
          <w:sz w:val="32"/>
          <w:szCs w:val="32"/>
          <w:lang w:eastAsia="zh-CN"/>
        </w:rPr>
        <w:t>抚恤（</w:t>
      </w:r>
      <w:r>
        <w:rPr>
          <w:rStyle w:val="16"/>
          <w:rFonts w:hint="eastAsia" w:ascii="仿宋" w:hAnsi="仿宋" w:eastAsia="仿宋"/>
          <w:b w:val="0"/>
          <w:bCs w:val="0"/>
          <w:color w:val="auto"/>
          <w:sz w:val="32"/>
          <w:szCs w:val="32"/>
          <w:lang w:val="en-US" w:eastAsia="zh-CN"/>
        </w:rPr>
        <w:t>08）死亡抚恤（01）</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26.33万元，完成预算100%。</w:t>
      </w:r>
    </w:p>
    <w:p>
      <w:pPr>
        <w:pStyle w:val="5"/>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Style w:val="16"/>
          <w:rFonts w:hint="default"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rPr>
        <w:t>社会保障和就业（208）</w:t>
      </w:r>
      <w:r>
        <w:rPr>
          <w:rStyle w:val="16"/>
          <w:rFonts w:hint="eastAsia" w:ascii="仿宋" w:hAnsi="仿宋" w:eastAsia="仿宋"/>
          <w:b w:val="0"/>
          <w:bCs w:val="0"/>
          <w:color w:val="auto"/>
          <w:sz w:val="32"/>
          <w:szCs w:val="32"/>
          <w:lang w:eastAsia="zh-CN"/>
        </w:rPr>
        <w:t>其他社会保障和就业支出（</w:t>
      </w:r>
      <w:r>
        <w:rPr>
          <w:rStyle w:val="16"/>
          <w:rFonts w:hint="eastAsia" w:ascii="仿宋" w:hAnsi="仿宋" w:eastAsia="仿宋"/>
          <w:b w:val="0"/>
          <w:bCs w:val="0"/>
          <w:color w:val="auto"/>
          <w:sz w:val="32"/>
          <w:szCs w:val="32"/>
          <w:lang w:val="en-US" w:eastAsia="zh-CN"/>
        </w:rPr>
        <w:t>99</w:t>
      </w:r>
      <w:r>
        <w:rPr>
          <w:rStyle w:val="16"/>
          <w:rFonts w:hint="eastAsia" w:ascii="仿宋" w:hAnsi="仿宋" w:eastAsia="仿宋"/>
          <w:b w:val="0"/>
          <w:bCs w:val="0"/>
          <w:color w:val="auto"/>
          <w:sz w:val="32"/>
          <w:szCs w:val="32"/>
          <w:lang w:eastAsia="zh-CN"/>
        </w:rPr>
        <w:t>）其他社会保障和就业支出（</w:t>
      </w:r>
      <w:r>
        <w:rPr>
          <w:rStyle w:val="16"/>
          <w:rFonts w:hint="eastAsia" w:ascii="仿宋" w:hAnsi="仿宋" w:eastAsia="仿宋"/>
          <w:b w:val="0"/>
          <w:bCs w:val="0"/>
          <w:color w:val="auto"/>
          <w:sz w:val="32"/>
          <w:szCs w:val="32"/>
          <w:lang w:val="en-US" w:eastAsia="zh-CN"/>
        </w:rPr>
        <w:t>99</w:t>
      </w:r>
      <w:r>
        <w:rPr>
          <w:rStyle w:val="16"/>
          <w:rFonts w:hint="eastAsia" w:ascii="仿宋" w:hAnsi="仿宋" w:eastAsia="仿宋"/>
          <w:b w:val="0"/>
          <w:bCs w:val="0"/>
          <w:color w:val="auto"/>
          <w:sz w:val="32"/>
          <w:szCs w:val="32"/>
          <w:lang w:eastAsia="zh-CN"/>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4.68万元，完成预算100%。</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ascii="仿宋" w:hAnsi="仿宋" w:eastAsia="仿宋"/>
          <w:b w:val="0"/>
          <w:bCs w:val="0"/>
          <w:color w:val="auto"/>
          <w:sz w:val="32"/>
          <w:szCs w:val="32"/>
        </w:rPr>
      </w:pPr>
      <w:r>
        <w:rPr>
          <w:rStyle w:val="16"/>
          <w:rFonts w:hint="eastAsia" w:ascii="仿宋" w:hAnsi="仿宋" w:eastAsia="仿宋"/>
          <w:b w:val="0"/>
          <w:bCs w:val="0"/>
          <w:color w:val="auto"/>
          <w:sz w:val="32"/>
          <w:szCs w:val="32"/>
          <w:lang w:val="en-US" w:eastAsia="zh-CN"/>
        </w:rPr>
        <w:t>10</w:t>
      </w:r>
      <w:r>
        <w:rPr>
          <w:rStyle w:val="16"/>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6"/>
          <w:rFonts w:hint="eastAsia" w:ascii="仿宋" w:hAnsi="仿宋" w:eastAsia="仿宋"/>
          <w:b w:val="0"/>
          <w:bCs w:val="0"/>
          <w:color w:val="auto"/>
          <w:sz w:val="32"/>
          <w:szCs w:val="32"/>
        </w:rPr>
        <w:t>（2</w:t>
      </w:r>
      <w:r>
        <w:rPr>
          <w:rStyle w:val="16"/>
          <w:rFonts w:ascii="仿宋" w:hAnsi="仿宋" w:eastAsia="仿宋"/>
          <w:b w:val="0"/>
          <w:bCs w:val="0"/>
          <w:color w:val="auto"/>
          <w:sz w:val="32"/>
          <w:szCs w:val="32"/>
        </w:rPr>
        <w:t>10</w:t>
      </w:r>
      <w:r>
        <w:rPr>
          <w:rStyle w:val="16"/>
          <w:rFonts w:hint="eastAsia" w:ascii="仿宋" w:hAnsi="仿宋" w:eastAsia="仿宋"/>
          <w:b w:val="0"/>
          <w:bCs w:val="0"/>
          <w:color w:val="auto"/>
          <w:sz w:val="32"/>
          <w:szCs w:val="32"/>
        </w:rPr>
        <w:t>）行政事业单位医疗（1</w:t>
      </w:r>
      <w:r>
        <w:rPr>
          <w:rStyle w:val="16"/>
          <w:rFonts w:ascii="仿宋" w:hAnsi="仿宋" w:eastAsia="仿宋"/>
          <w:b w:val="0"/>
          <w:bCs w:val="0"/>
          <w:color w:val="auto"/>
          <w:sz w:val="32"/>
          <w:szCs w:val="32"/>
        </w:rPr>
        <w:t>1</w:t>
      </w:r>
      <w:r>
        <w:rPr>
          <w:rStyle w:val="16"/>
          <w:rFonts w:hint="eastAsia" w:ascii="仿宋" w:hAnsi="仿宋" w:eastAsia="仿宋"/>
          <w:b w:val="0"/>
          <w:bCs w:val="0"/>
          <w:color w:val="auto"/>
          <w:sz w:val="32"/>
          <w:szCs w:val="32"/>
        </w:rPr>
        <w:t>）事业单位医疗（0</w:t>
      </w:r>
      <w:r>
        <w:rPr>
          <w:rStyle w:val="16"/>
          <w:rFonts w:ascii="仿宋" w:hAnsi="仿宋" w:eastAsia="仿宋"/>
          <w:b w:val="0"/>
          <w:bCs w:val="0"/>
          <w:color w:val="auto"/>
          <w:sz w:val="32"/>
          <w:szCs w:val="32"/>
        </w:rPr>
        <w:t>2</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64.91</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pPr>
        <w:spacing w:line="600" w:lineRule="exact"/>
        <w:ind w:firstLine="640" w:firstLineChars="200"/>
        <w:outlineLvl w:val="2"/>
        <w:rPr>
          <w:rFonts w:ascii="仿宋" w:hAnsi="仿宋" w:eastAsia="仿宋"/>
          <w:b/>
          <w:sz w:val="32"/>
          <w:szCs w:val="32"/>
        </w:rPr>
      </w:pPr>
      <w:r>
        <w:rPr>
          <w:rStyle w:val="16"/>
          <w:rFonts w:hint="eastAsia" w:ascii="仿宋" w:hAnsi="仿宋" w:eastAsia="仿宋"/>
          <w:b w:val="0"/>
          <w:bCs w:val="0"/>
          <w:color w:val="auto"/>
          <w:sz w:val="32"/>
          <w:szCs w:val="40"/>
          <w:lang w:val="en-US" w:eastAsia="zh-CN"/>
        </w:rPr>
        <w:t>7</w:t>
      </w:r>
      <w:r>
        <w:rPr>
          <w:rStyle w:val="16"/>
          <w:rFonts w:ascii="仿宋" w:hAnsi="仿宋" w:eastAsia="仿宋"/>
          <w:b w:val="0"/>
          <w:bCs w:val="0"/>
          <w:color w:val="auto"/>
          <w:sz w:val="32"/>
          <w:szCs w:val="40"/>
        </w:rPr>
        <w:t>.</w:t>
      </w:r>
      <w:r>
        <w:rPr>
          <w:rStyle w:val="16"/>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81.37</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1406.85</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1240.45</w:t>
      </w:r>
      <w:r>
        <w:rPr>
          <w:rFonts w:hint="eastAsia" w:ascii="仿宋" w:hAnsi="仿宋" w:eastAsia="仿宋"/>
          <w:sz w:val="32"/>
          <w:szCs w:val="32"/>
        </w:rPr>
        <w:t>万元，主要包括：基本工资</w:t>
      </w:r>
      <w:r>
        <w:rPr>
          <w:rFonts w:hint="eastAsia" w:ascii="仿宋" w:hAnsi="仿宋" w:eastAsia="仿宋"/>
          <w:sz w:val="32"/>
          <w:szCs w:val="32"/>
          <w:lang w:val="en-US" w:eastAsia="zh-CN"/>
        </w:rPr>
        <w:t>375.66万元</w:t>
      </w:r>
      <w:r>
        <w:rPr>
          <w:rFonts w:hint="eastAsia" w:ascii="仿宋" w:hAnsi="仿宋" w:eastAsia="仿宋"/>
          <w:sz w:val="32"/>
          <w:szCs w:val="32"/>
        </w:rPr>
        <w:t>、津贴补贴</w:t>
      </w:r>
      <w:r>
        <w:rPr>
          <w:rFonts w:hint="eastAsia" w:ascii="仿宋" w:hAnsi="仿宋" w:eastAsia="仿宋"/>
          <w:sz w:val="32"/>
          <w:szCs w:val="32"/>
          <w:lang w:val="en-US" w:eastAsia="zh-CN"/>
        </w:rPr>
        <w:t>56.94万元</w:t>
      </w:r>
      <w:r>
        <w:rPr>
          <w:rFonts w:hint="eastAsia" w:ascii="仿宋" w:hAnsi="仿宋" w:eastAsia="仿宋"/>
          <w:sz w:val="32"/>
          <w:szCs w:val="32"/>
        </w:rPr>
        <w:t>、绩效工资</w:t>
      </w:r>
      <w:r>
        <w:rPr>
          <w:rFonts w:hint="eastAsia" w:ascii="仿宋" w:hAnsi="仿宋" w:eastAsia="仿宋"/>
          <w:sz w:val="32"/>
          <w:szCs w:val="32"/>
          <w:lang w:val="en-US" w:eastAsia="zh-CN"/>
        </w:rPr>
        <w:t>198.07万元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97.38万元</w:t>
      </w:r>
      <w:r>
        <w:rPr>
          <w:rFonts w:hint="eastAsia" w:ascii="仿宋" w:hAnsi="仿宋" w:eastAsia="仿宋"/>
          <w:sz w:val="32"/>
          <w:szCs w:val="32"/>
        </w:rPr>
        <w:t>、职业年金缴费</w:t>
      </w:r>
      <w:r>
        <w:rPr>
          <w:rFonts w:hint="eastAsia" w:ascii="仿宋" w:hAnsi="仿宋" w:eastAsia="仿宋"/>
          <w:sz w:val="32"/>
          <w:szCs w:val="32"/>
          <w:lang w:val="en-US" w:eastAsia="zh-CN"/>
        </w:rPr>
        <w:t>8.6万元</w:t>
      </w:r>
      <w:r>
        <w:rPr>
          <w:rFonts w:hint="eastAsia" w:ascii="仿宋" w:hAnsi="仿宋" w:eastAsia="仿宋"/>
          <w:sz w:val="32"/>
          <w:szCs w:val="32"/>
        </w:rPr>
        <w:t>、</w:t>
      </w:r>
      <w:r>
        <w:rPr>
          <w:rFonts w:hint="eastAsia" w:ascii="仿宋" w:hAnsi="仿宋" w:eastAsia="仿宋"/>
          <w:sz w:val="32"/>
          <w:szCs w:val="32"/>
          <w:lang w:eastAsia="zh-CN"/>
        </w:rPr>
        <w:t>职工基本医疗保险缴费</w:t>
      </w:r>
      <w:r>
        <w:rPr>
          <w:rFonts w:hint="eastAsia" w:ascii="仿宋" w:hAnsi="仿宋" w:eastAsia="仿宋"/>
          <w:sz w:val="32"/>
          <w:szCs w:val="32"/>
          <w:lang w:val="en-US" w:eastAsia="zh-CN"/>
        </w:rPr>
        <w:t>64.91万元</w:t>
      </w:r>
      <w:r>
        <w:rPr>
          <w:rFonts w:hint="eastAsia" w:ascii="仿宋" w:hAnsi="仿宋" w:eastAsia="仿宋"/>
          <w:sz w:val="32"/>
          <w:szCs w:val="32"/>
        </w:rPr>
        <w:t>其他社会保障缴费</w:t>
      </w:r>
      <w:r>
        <w:rPr>
          <w:rFonts w:hint="eastAsia" w:ascii="仿宋" w:hAnsi="仿宋" w:eastAsia="仿宋"/>
          <w:sz w:val="32"/>
          <w:szCs w:val="32"/>
          <w:lang w:val="en-US" w:eastAsia="zh-CN"/>
        </w:rPr>
        <w:t>4.68万元</w:t>
      </w:r>
      <w:r>
        <w:rPr>
          <w:rFonts w:hint="eastAsia" w:ascii="仿宋" w:hAnsi="仿宋" w:eastAsia="仿宋"/>
          <w:sz w:val="32"/>
          <w:szCs w:val="32"/>
        </w:rPr>
        <w:t>、退休费</w:t>
      </w:r>
      <w:r>
        <w:rPr>
          <w:rFonts w:hint="eastAsia" w:ascii="仿宋" w:hAnsi="仿宋" w:eastAsia="仿宋"/>
          <w:sz w:val="32"/>
          <w:szCs w:val="32"/>
          <w:lang w:val="en-US" w:eastAsia="zh-CN"/>
        </w:rPr>
        <w:t>4.48万元</w:t>
      </w:r>
      <w:r>
        <w:rPr>
          <w:rFonts w:hint="eastAsia" w:ascii="仿宋" w:hAnsi="仿宋" w:eastAsia="仿宋"/>
          <w:sz w:val="32"/>
          <w:szCs w:val="32"/>
        </w:rPr>
        <w:t>、抚恤金</w:t>
      </w:r>
      <w:r>
        <w:rPr>
          <w:rFonts w:hint="eastAsia" w:ascii="仿宋" w:hAnsi="仿宋" w:eastAsia="仿宋"/>
          <w:sz w:val="32"/>
          <w:szCs w:val="32"/>
          <w:lang w:val="en-US" w:eastAsia="zh-CN"/>
        </w:rPr>
        <w:t>26.33万元</w:t>
      </w:r>
      <w:r>
        <w:rPr>
          <w:rFonts w:hint="eastAsia" w:ascii="仿宋" w:hAnsi="仿宋" w:eastAsia="仿宋"/>
          <w:sz w:val="32"/>
          <w:szCs w:val="32"/>
        </w:rPr>
        <w:t>、生活补助</w:t>
      </w:r>
      <w:r>
        <w:rPr>
          <w:rFonts w:hint="eastAsia" w:ascii="仿宋" w:hAnsi="仿宋" w:eastAsia="仿宋"/>
          <w:sz w:val="32"/>
          <w:szCs w:val="32"/>
          <w:lang w:val="en-US" w:eastAsia="zh-CN"/>
        </w:rPr>
        <w:t>80.37万元</w:t>
      </w:r>
      <w:r>
        <w:rPr>
          <w:rFonts w:hint="eastAsia" w:ascii="仿宋" w:hAnsi="仿宋" w:eastAsia="仿宋"/>
          <w:sz w:val="32"/>
          <w:szCs w:val="32"/>
        </w:rPr>
        <w:t>、</w:t>
      </w:r>
      <w:r>
        <w:rPr>
          <w:rFonts w:hint="eastAsia" w:ascii="仿宋" w:hAnsi="仿宋" w:eastAsia="仿宋"/>
          <w:sz w:val="32"/>
          <w:szCs w:val="32"/>
          <w:lang w:eastAsia="zh-CN"/>
        </w:rPr>
        <w:t>奖励金</w:t>
      </w:r>
      <w:r>
        <w:rPr>
          <w:rFonts w:hint="eastAsia" w:ascii="仿宋" w:hAnsi="仿宋" w:eastAsia="仿宋"/>
          <w:sz w:val="32"/>
          <w:szCs w:val="32"/>
          <w:lang w:val="en-US" w:eastAsia="zh-CN"/>
        </w:rPr>
        <w:t>241.66元、</w:t>
      </w:r>
      <w:r>
        <w:rPr>
          <w:rFonts w:hint="eastAsia" w:ascii="仿宋" w:hAnsi="仿宋" w:eastAsia="仿宋"/>
          <w:sz w:val="32"/>
          <w:szCs w:val="32"/>
        </w:rPr>
        <w:t>住房公积金</w:t>
      </w:r>
      <w:r>
        <w:rPr>
          <w:rFonts w:hint="eastAsia" w:ascii="仿宋" w:hAnsi="仿宋" w:eastAsia="仿宋"/>
          <w:sz w:val="32"/>
          <w:szCs w:val="32"/>
          <w:lang w:val="en-US" w:eastAsia="zh-CN"/>
        </w:rPr>
        <w:t>81.37万元。</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166.41</w:t>
      </w:r>
      <w:r>
        <w:rPr>
          <w:rFonts w:hint="eastAsia" w:ascii="仿宋" w:hAnsi="仿宋" w:eastAsia="仿宋"/>
          <w:sz w:val="32"/>
          <w:szCs w:val="32"/>
        </w:rPr>
        <w:t>万元，主要包括：办公费</w:t>
      </w:r>
      <w:r>
        <w:rPr>
          <w:rFonts w:hint="eastAsia" w:ascii="仿宋" w:hAnsi="仿宋" w:eastAsia="仿宋"/>
          <w:sz w:val="32"/>
          <w:szCs w:val="32"/>
          <w:lang w:val="en-US" w:eastAsia="zh-CN"/>
        </w:rPr>
        <w:t>88.86万元</w:t>
      </w:r>
      <w:r>
        <w:rPr>
          <w:rFonts w:hint="eastAsia" w:ascii="仿宋" w:hAnsi="仿宋" w:eastAsia="仿宋"/>
          <w:sz w:val="32"/>
          <w:szCs w:val="32"/>
        </w:rPr>
        <w:t>、印刷费</w:t>
      </w:r>
      <w:r>
        <w:rPr>
          <w:rFonts w:hint="eastAsia" w:ascii="仿宋" w:hAnsi="仿宋" w:eastAsia="仿宋"/>
          <w:sz w:val="32"/>
          <w:szCs w:val="32"/>
          <w:lang w:val="en-US" w:eastAsia="zh-CN"/>
        </w:rPr>
        <w:t>0.84万元</w:t>
      </w:r>
      <w:r>
        <w:rPr>
          <w:rFonts w:hint="eastAsia" w:ascii="仿宋" w:hAnsi="仿宋" w:eastAsia="仿宋"/>
          <w:sz w:val="32"/>
          <w:szCs w:val="32"/>
        </w:rPr>
        <w:t>、水费</w:t>
      </w:r>
      <w:r>
        <w:rPr>
          <w:rFonts w:hint="eastAsia" w:ascii="仿宋" w:hAnsi="仿宋" w:eastAsia="仿宋"/>
          <w:sz w:val="32"/>
          <w:szCs w:val="32"/>
          <w:lang w:val="en-US" w:eastAsia="zh-CN"/>
        </w:rPr>
        <w:t>1万元</w:t>
      </w:r>
      <w:r>
        <w:rPr>
          <w:rFonts w:hint="eastAsia" w:ascii="仿宋" w:hAnsi="仿宋" w:eastAsia="仿宋"/>
          <w:sz w:val="32"/>
          <w:szCs w:val="32"/>
        </w:rPr>
        <w:t>、电费</w:t>
      </w:r>
      <w:r>
        <w:rPr>
          <w:rFonts w:hint="eastAsia" w:ascii="仿宋" w:hAnsi="仿宋" w:eastAsia="仿宋"/>
          <w:sz w:val="32"/>
          <w:szCs w:val="32"/>
          <w:lang w:val="en-US" w:eastAsia="zh-CN"/>
        </w:rPr>
        <w:t>4.88万元</w:t>
      </w:r>
      <w:r>
        <w:rPr>
          <w:rFonts w:hint="eastAsia" w:ascii="仿宋" w:hAnsi="仿宋" w:eastAsia="仿宋"/>
          <w:sz w:val="32"/>
          <w:szCs w:val="32"/>
        </w:rPr>
        <w:t>、邮电费</w:t>
      </w:r>
      <w:r>
        <w:rPr>
          <w:rFonts w:hint="eastAsia" w:ascii="仿宋" w:hAnsi="仿宋" w:eastAsia="仿宋"/>
          <w:sz w:val="32"/>
          <w:szCs w:val="32"/>
          <w:lang w:val="en-US" w:eastAsia="zh-CN"/>
        </w:rPr>
        <w:t>5.55万元</w:t>
      </w:r>
      <w:r>
        <w:rPr>
          <w:rFonts w:hint="eastAsia" w:ascii="仿宋" w:hAnsi="仿宋" w:eastAsia="仿宋"/>
          <w:sz w:val="32"/>
          <w:szCs w:val="32"/>
        </w:rPr>
        <w:t>、差旅费</w:t>
      </w:r>
      <w:r>
        <w:rPr>
          <w:rFonts w:hint="eastAsia" w:ascii="仿宋" w:hAnsi="仿宋" w:eastAsia="仿宋"/>
          <w:sz w:val="32"/>
          <w:szCs w:val="32"/>
          <w:lang w:val="en-US" w:eastAsia="zh-CN"/>
        </w:rPr>
        <w:t>4.6万元</w:t>
      </w:r>
      <w:r>
        <w:rPr>
          <w:rFonts w:hint="eastAsia" w:ascii="仿宋" w:hAnsi="仿宋" w:eastAsia="仿宋"/>
          <w:sz w:val="32"/>
          <w:szCs w:val="32"/>
        </w:rPr>
        <w:t>、维修（护）费</w:t>
      </w:r>
      <w:r>
        <w:rPr>
          <w:rFonts w:hint="eastAsia" w:ascii="仿宋" w:hAnsi="仿宋" w:eastAsia="仿宋"/>
          <w:sz w:val="32"/>
          <w:szCs w:val="32"/>
          <w:lang w:val="en-US" w:eastAsia="zh-CN"/>
        </w:rPr>
        <w:t>3.12万元</w:t>
      </w:r>
      <w:r>
        <w:rPr>
          <w:rFonts w:hint="eastAsia" w:ascii="仿宋" w:hAnsi="仿宋" w:eastAsia="仿宋"/>
          <w:sz w:val="32"/>
          <w:szCs w:val="32"/>
        </w:rPr>
        <w:t>、会议费</w:t>
      </w:r>
      <w:r>
        <w:rPr>
          <w:rFonts w:hint="eastAsia" w:ascii="仿宋" w:hAnsi="仿宋" w:eastAsia="仿宋"/>
          <w:sz w:val="32"/>
          <w:szCs w:val="32"/>
          <w:lang w:val="en-US" w:eastAsia="zh-CN"/>
        </w:rPr>
        <w:t>4.44万元</w:t>
      </w:r>
      <w:r>
        <w:rPr>
          <w:rFonts w:hint="eastAsia" w:ascii="仿宋" w:hAnsi="仿宋" w:eastAsia="仿宋"/>
          <w:sz w:val="32"/>
          <w:szCs w:val="32"/>
        </w:rPr>
        <w:t>、培训费</w:t>
      </w:r>
      <w:r>
        <w:rPr>
          <w:rFonts w:hint="eastAsia" w:ascii="仿宋" w:hAnsi="仿宋" w:eastAsia="仿宋"/>
          <w:sz w:val="32"/>
          <w:szCs w:val="32"/>
          <w:lang w:val="en-US" w:eastAsia="zh-CN"/>
        </w:rPr>
        <w:t>0.6万元</w:t>
      </w:r>
      <w:r>
        <w:rPr>
          <w:rFonts w:hint="eastAsia" w:ascii="仿宋" w:hAnsi="仿宋" w:eastAsia="仿宋"/>
          <w:sz w:val="32"/>
          <w:szCs w:val="32"/>
        </w:rPr>
        <w:t>、公务接待费</w:t>
      </w:r>
      <w:r>
        <w:rPr>
          <w:rFonts w:hint="eastAsia" w:ascii="仿宋" w:hAnsi="仿宋" w:eastAsia="仿宋"/>
          <w:sz w:val="32"/>
          <w:szCs w:val="32"/>
          <w:lang w:val="en-US" w:eastAsia="zh-CN"/>
        </w:rPr>
        <w:t>0.43万元</w:t>
      </w:r>
      <w:r>
        <w:rPr>
          <w:rFonts w:hint="eastAsia" w:ascii="仿宋" w:hAnsi="仿宋" w:eastAsia="仿宋"/>
          <w:sz w:val="32"/>
          <w:szCs w:val="32"/>
        </w:rPr>
        <w:t>、劳务费</w:t>
      </w:r>
      <w:r>
        <w:rPr>
          <w:rFonts w:hint="eastAsia" w:ascii="仿宋" w:hAnsi="仿宋" w:eastAsia="仿宋"/>
          <w:sz w:val="32"/>
          <w:szCs w:val="32"/>
          <w:lang w:val="en-US" w:eastAsia="zh-CN"/>
        </w:rPr>
        <w:t>3.49万元</w:t>
      </w:r>
      <w:r>
        <w:rPr>
          <w:rFonts w:hint="eastAsia" w:ascii="仿宋" w:hAnsi="仿宋" w:eastAsia="仿宋"/>
          <w:sz w:val="32"/>
          <w:szCs w:val="32"/>
        </w:rPr>
        <w:t>、工会经费</w:t>
      </w:r>
      <w:r>
        <w:rPr>
          <w:rFonts w:hint="eastAsia" w:ascii="仿宋" w:hAnsi="仿宋" w:eastAsia="仿宋"/>
          <w:sz w:val="32"/>
          <w:szCs w:val="32"/>
          <w:lang w:val="en-US" w:eastAsia="zh-CN"/>
        </w:rPr>
        <w:t>12.61万元</w:t>
      </w:r>
      <w:r>
        <w:rPr>
          <w:rFonts w:hint="eastAsia" w:ascii="仿宋" w:hAnsi="仿宋" w:eastAsia="仿宋"/>
          <w:sz w:val="32"/>
          <w:szCs w:val="32"/>
        </w:rPr>
        <w:t>、福利费</w:t>
      </w:r>
      <w:r>
        <w:rPr>
          <w:rFonts w:hint="eastAsia" w:ascii="仿宋" w:hAnsi="仿宋" w:eastAsia="仿宋"/>
          <w:sz w:val="32"/>
          <w:szCs w:val="32"/>
          <w:lang w:val="en-US" w:eastAsia="zh-CN"/>
        </w:rPr>
        <w:t>22.35万元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13.64万。</w:t>
      </w: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0.43</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0.43</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color w:val="FF0000"/>
          <w:sz w:val="32"/>
          <w:szCs w:val="32"/>
          <w:highlight w:val="none"/>
          <w:lang w:eastAsia="zh-CN"/>
        </w:rPr>
        <w:drawing>
          <wp:anchor distT="0" distB="0" distL="114300" distR="114300" simplePos="0" relativeHeight="251659264" behindDoc="1" locked="0" layoutInCell="1" allowOverlap="1">
            <wp:simplePos x="0" y="0"/>
            <wp:positionH relativeFrom="column">
              <wp:posOffset>658495</wp:posOffset>
            </wp:positionH>
            <wp:positionV relativeFrom="paragraph">
              <wp:posOffset>204470</wp:posOffset>
            </wp:positionV>
            <wp:extent cx="4110355" cy="2747645"/>
            <wp:effectExtent l="4445" t="5080" r="19050" b="47625"/>
            <wp:wrapNone/>
            <wp:docPr id="10" name="图表 10"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color w:val="auto"/>
          <w:sz w:val="32"/>
          <w:szCs w:val="32"/>
          <w:highlight w:val="none"/>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0.43</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0.3</w:t>
      </w:r>
      <w:r>
        <w:rPr>
          <w:rFonts w:hint="eastAsia" w:ascii="仿宋_GB2312" w:eastAsia="仿宋_GB2312"/>
          <w:sz w:val="32"/>
          <w:szCs w:val="32"/>
        </w:rPr>
        <w:t>万元，增长</w:t>
      </w:r>
      <w:r>
        <w:rPr>
          <w:rFonts w:hint="eastAsia" w:ascii="仿宋_GB2312" w:eastAsia="仿宋_GB2312"/>
          <w:sz w:val="32"/>
          <w:szCs w:val="32"/>
          <w:lang w:val="en-US" w:eastAsia="zh-CN"/>
        </w:rPr>
        <w:t>230.77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增加了接待人次和批次</w:t>
      </w:r>
      <w:r>
        <w:rPr>
          <w:rFonts w:hint="eastAsia" w:ascii="仿宋_GB2312" w:eastAsia="仿宋_GB2312"/>
          <w:sz w:val="32"/>
          <w:szCs w:val="32"/>
        </w:rPr>
        <w:t>。其中：</w:t>
      </w:r>
    </w:p>
    <w:p>
      <w:pPr>
        <w:spacing w:line="600" w:lineRule="exact"/>
        <w:ind w:firstLine="640"/>
        <w:rPr>
          <w:rFonts w:hint="eastAsia" w:ascii="仿宋" w:hAnsi="仿宋" w:eastAsia="仿宋" w:cs="仿宋"/>
          <w:color w:val="FF0000"/>
          <w:sz w:val="32"/>
          <w:szCs w:val="32"/>
          <w:highlight w:val="none"/>
        </w:rPr>
      </w:pPr>
      <w:r>
        <w:rPr>
          <w:rFonts w:hint="eastAsia" w:ascii="仿宋" w:hAnsi="仿宋" w:eastAsia="仿宋"/>
          <w:b/>
          <w:sz w:val="32"/>
          <w:szCs w:val="32"/>
        </w:rPr>
        <w:t>国内公务接待支出</w:t>
      </w:r>
      <w:r>
        <w:rPr>
          <w:rFonts w:ascii="仿宋" w:hAnsi="仿宋" w:eastAsia="仿宋"/>
          <w:b/>
          <w:sz w:val="32"/>
          <w:szCs w:val="32"/>
        </w:rPr>
        <w:t>0.43</w:t>
      </w:r>
      <w:r>
        <w:rPr>
          <w:rFonts w:hint="eastAsia" w:ascii="仿宋_GB2312" w:eastAsia="仿宋_GB2312"/>
          <w:sz w:val="32"/>
          <w:szCs w:val="32"/>
        </w:rPr>
        <w:t>万元，</w:t>
      </w:r>
      <w:r>
        <w:rPr>
          <w:rFonts w:hint="eastAsia" w:ascii="仿宋" w:hAnsi="仿宋" w:eastAsia="仿宋" w:cs="仿宋"/>
          <w:color w:val="auto"/>
          <w:sz w:val="32"/>
          <w:szCs w:val="32"/>
          <w:highlight w:val="none"/>
        </w:rPr>
        <w:t>主要用于开展业务活动开支的用餐费。国内公务接待</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批次，</w:t>
      </w:r>
      <w:r>
        <w:rPr>
          <w:rFonts w:hint="eastAsia" w:ascii="仿宋" w:hAnsi="仿宋" w:eastAsia="仿宋" w:cs="仿宋"/>
          <w:color w:val="auto"/>
          <w:sz w:val="32"/>
          <w:szCs w:val="32"/>
          <w:highlight w:val="none"/>
          <w:lang w:val="en-US" w:eastAsia="zh-CN"/>
        </w:rPr>
        <w:t>130</w:t>
      </w:r>
      <w:r>
        <w:rPr>
          <w:rFonts w:hint="eastAsia" w:ascii="仿宋" w:hAnsi="仿宋" w:eastAsia="仿宋" w:cs="仿宋"/>
          <w:color w:val="auto"/>
          <w:sz w:val="32"/>
          <w:szCs w:val="32"/>
          <w:highlight w:val="none"/>
        </w:rPr>
        <w:t>人次（不包括陪同人员），共计支出</w:t>
      </w:r>
      <w:r>
        <w:rPr>
          <w:rFonts w:hint="eastAsia" w:ascii="仿宋" w:hAnsi="仿宋" w:eastAsia="仿宋" w:cs="仿宋"/>
          <w:color w:val="auto"/>
          <w:sz w:val="32"/>
          <w:szCs w:val="32"/>
          <w:highlight w:val="none"/>
          <w:lang w:val="en-US" w:eastAsia="zh-CN"/>
        </w:rPr>
        <w:t>0.43</w:t>
      </w:r>
      <w:r>
        <w:rPr>
          <w:rFonts w:hint="eastAsia" w:ascii="仿宋" w:hAnsi="仿宋" w:eastAsia="仿宋" w:cs="仿宋"/>
          <w:color w:val="auto"/>
          <w:sz w:val="32"/>
          <w:szCs w:val="32"/>
          <w:highlight w:val="none"/>
        </w:rPr>
        <w:t>万元，具体内容包括：</w:t>
      </w:r>
      <w:r>
        <w:rPr>
          <w:rFonts w:hint="eastAsia" w:ascii="仿宋" w:hAnsi="仿宋" w:eastAsia="仿宋" w:cs="仿宋"/>
          <w:sz w:val="32"/>
          <w:szCs w:val="32"/>
        </w:rPr>
        <w:t>市、县各级各类检查、相关开展教育教学接待等方面公务活动开支</w:t>
      </w:r>
      <w:r>
        <w:rPr>
          <w:rFonts w:hint="eastAsia" w:ascii="仿宋" w:hAnsi="仿宋" w:eastAsia="仿宋" w:cs="仿宋"/>
          <w:sz w:val="32"/>
          <w:szCs w:val="32"/>
          <w:lang w:eastAsia="zh-CN"/>
        </w:rPr>
        <w:t>的接待费。</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4"/>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大竹县安吉乡中心小学</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rPr>
        <w:t>我单位为事业单位（学校），执行政府会计制度，无机关运行经费。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大竹县安吉乡中心小学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大竹县安吉乡中心小学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项目开展了预算事前绩效评估，对</w:t>
      </w:r>
      <w:r>
        <w:rPr>
          <w:rFonts w:hint="eastAsia" w:ascii="仿宋_GB2312" w:eastAsia="仿宋_GB2312"/>
          <w:color w:val="auto"/>
          <w:sz w:val="32"/>
          <w:szCs w:val="32"/>
          <w:lang w:val="en-US" w:eastAsia="zh-CN"/>
        </w:rPr>
        <w:t>25</w:t>
      </w:r>
      <w:r>
        <w:rPr>
          <w:rFonts w:hint="eastAsia" w:ascii="仿宋_GB2312" w:eastAsia="仿宋_GB2312"/>
          <w:sz w:val="32"/>
          <w:szCs w:val="32"/>
        </w:rPr>
        <w:t>个项目编制了绩效目标，预算执行过程中，选取</w:t>
      </w:r>
      <w:r>
        <w:rPr>
          <w:rFonts w:hint="eastAsia" w:ascii="仿宋_GB2312" w:eastAsia="仿宋_GB2312"/>
          <w:color w:val="auto"/>
          <w:sz w:val="32"/>
          <w:szCs w:val="32"/>
          <w:lang w:val="en-US" w:eastAsia="zh-CN"/>
        </w:rPr>
        <w:t>25</w:t>
      </w:r>
      <w:r>
        <w:rPr>
          <w:rFonts w:hint="eastAsia" w:ascii="仿宋_GB2312" w:eastAsia="仿宋_GB2312"/>
          <w:sz w:val="32"/>
          <w:szCs w:val="32"/>
        </w:rPr>
        <w:t>个项目开展绩效监控，组织对</w:t>
      </w:r>
      <w:r>
        <w:rPr>
          <w:rFonts w:hint="eastAsia" w:ascii="仿宋_GB2312" w:eastAsia="仿宋_GB2312"/>
          <w:color w:val="auto"/>
          <w:sz w:val="32"/>
          <w:szCs w:val="32"/>
          <w:lang w:val="en-US" w:eastAsia="zh-CN"/>
        </w:rPr>
        <w:t>25</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5"/>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numPr>
          <w:ilvl w:val="0"/>
          <w:numId w:val="0"/>
        </w:numPr>
        <w:spacing w:line="600" w:lineRule="exact"/>
        <w:jc w:val="both"/>
        <w:outlineLvl w:val="0"/>
        <w:rPr>
          <w:rStyle w:val="27"/>
          <w:rFonts w:ascii="黑体" w:hAnsi="黑体" w:eastAsia="黑体"/>
          <w:b w:val="0"/>
        </w:rPr>
      </w:pP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4.结余分配：指事业单位按照事业单位会计制度的规定从非财政补助结余中分配的基金和职工福利基金等。</w:t>
      </w:r>
    </w:p>
    <w:p>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反映各部门执行的学前教育支出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反映各部门执行的小学教育支出。政府各部门对社会组织等举办的小学的资助，如捐赠、补贴等，也在本科目中反映。</w:t>
      </w:r>
    </w:p>
    <w:p>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教育（205）基础教育（02）</w:t>
      </w:r>
      <w:r>
        <w:rPr>
          <w:rFonts w:hint="eastAsia" w:ascii="仿宋_GB2312" w:hAnsi="Calibri" w:eastAsia="仿宋_GB2312" w:cs="仿宋"/>
          <w:color w:val="auto"/>
          <w:kern w:val="0"/>
          <w:sz w:val="32"/>
          <w:szCs w:val="32"/>
          <w:lang w:eastAsia="zh-CN"/>
        </w:rPr>
        <w:t>初中</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3</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反映各部门执行的初中教育支出。政府各部门对社会组织等举办的初中的资助，如捐赠、补贴等，也在本科目中反映。</w:t>
      </w:r>
    </w:p>
    <w:p>
      <w:pPr>
        <w:ind w:firstLine="640" w:firstLineChars="200"/>
        <w:rPr>
          <w:rFonts w:hint="eastAsia" w:ascii="仿宋_GB2312" w:hAnsi="Calibri" w:eastAsia="仿宋_GB2312" w:cs="仿宋"/>
          <w:color w:val="auto"/>
          <w:kern w:val="0"/>
          <w:sz w:val="32"/>
          <w:szCs w:val="32"/>
          <w:lang w:val="en-US" w:eastAsia="zh-CN"/>
        </w:rPr>
      </w:pPr>
    </w:p>
    <w:p>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16</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20</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ascii="仿宋_GB2312" w:hAnsi="Calibri" w:eastAsia="仿宋_GB2312" w:cs="仿宋"/>
          <w:color w:val="auto"/>
          <w:kern w:val="0"/>
          <w:sz w:val="32"/>
          <w:szCs w:val="32"/>
        </w:rPr>
      </w:pPr>
    </w:p>
    <w:p>
      <w:pPr>
        <w:rPr>
          <w:rFonts w:ascii="仿宋" w:hAnsi="仿宋" w:eastAsia="仿宋"/>
          <w:b/>
          <w:sz w:val="32"/>
          <w:szCs w:val="32"/>
        </w:rPr>
      </w:pPr>
    </w:p>
    <w:p>
      <w:pPr>
        <w:spacing w:line="600" w:lineRule="exact"/>
        <w:ind w:firstLine="640"/>
        <w:rPr>
          <w:rFonts w:hint="eastAsia" w:ascii="仿宋_GB2312" w:hAnsi="Calibri" w:eastAsia="仿宋_GB2312" w:cs="仿宋"/>
          <w:color w:val="auto"/>
          <w:kern w:val="0"/>
          <w:sz w:val="32"/>
          <w:szCs w:val="32"/>
          <w:lang w:eastAsia="zh-C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0" w:num="1"/>
          <w:rtlGutter w:val="0"/>
          <w:docGrid w:type="lines" w:linePitch="312" w:charSpace="0"/>
        </w:sectPr>
      </w:pPr>
    </w:p>
    <w:p>
      <w:pPr>
        <w:numPr>
          <w:ilvl w:val="0"/>
          <w:numId w:val="5"/>
        </w:numPr>
        <w:spacing w:line="600" w:lineRule="exact"/>
        <w:ind w:left="0" w:leftChars="0" w:firstLine="660" w:firstLineChars="150"/>
        <w:jc w:val="center"/>
        <w:outlineLvl w:val="0"/>
        <w:rPr>
          <w:rStyle w:val="27"/>
          <w:rFonts w:hint="eastAsia" w:ascii="黑体" w:hAnsi="黑体" w:eastAsia="黑体"/>
          <w:b w:val="0"/>
        </w:rPr>
      </w:pPr>
      <w:bookmarkStart w:id="51" w:name="_Toc15396614"/>
      <w:bookmarkStart w:id="52" w:name="_Toc15377226"/>
      <w:r>
        <w:rPr>
          <w:rStyle w:val="27"/>
          <w:rFonts w:hint="eastAsia" w:ascii="黑体" w:hAnsi="黑体" w:eastAsia="黑体"/>
          <w:b w:val="0"/>
        </w:rPr>
        <w:t>附件</w:t>
      </w:r>
      <w:bookmarkEnd w:id="51"/>
    </w:p>
    <w:tbl>
      <w:tblPr>
        <w:tblStyle w:val="14"/>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990"/>
        <w:gridCol w:w="870"/>
        <w:gridCol w:w="2310"/>
        <w:gridCol w:w="720"/>
        <w:gridCol w:w="630"/>
        <w:gridCol w:w="780"/>
        <w:gridCol w:w="67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7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7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75"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1,158.58</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1,158.58</w:t>
            </w:r>
          </w:p>
        </w:tc>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76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1、保障学生平等权益；2、促进学生全面发展；3、引领教师专业进步；4、提升教育教学水平；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学校建设   </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全面落实党的教育方针以及省、市有关教育的政策和法律、法规、规章，履行中小学校各项教育管理职责，完成教育主管部门和同级政府部门下达的工作目标任务，确保中小学校各项工作的顺利开展；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师队伍建设</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切实加强学校教师队伍建设，制定业务培训计划和教研计划，提高教学水平；不定期进行师德教育，全面提高教师形象；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学生全面发展   </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促进学生德、智、体、美全面健康发展；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班班通、教师办公室空间开通率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参加篮球、足球、田径比赛取得名次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定期开展留守学生亲情交流及课外活动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家校活动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课外实践活动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控制大班额</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每年师培师训学时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每学期师德标兵、优秀班主任、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培训通过率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学生体质健康测试通过率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专项治理“教育四乱”活动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全县教育教学水平测试名次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提高教师的整体素质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维护学生合法权益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提高教师队伍影响力</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教师、学生满意度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bl>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tbl>
      <w:tblPr>
        <w:tblStyle w:val="14"/>
        <w:tblW w:w="8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66"/>
        <w:gridCol w:w="3295"/>
        <w:gridCol w:w="846"/>
        <w:gridCol w:w="2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本年度严格执行相关政策，严格执行离退休人员经费，按时按质足额支付到位</w:t>
            </w:r>
          </w:p>
        </w:tc>
      </w:tr>
    </w:tbl>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sectPr>
          <w:footerReference r:id="rId9" w:type="first"/>
          <w:headerReference r:id="rId7" w:type="default"/>
          <w:footerReference r:id="rId8" w:type="default"/>
          <w:pgSz w:w="11906" w:h="16838"/>
          <w:pgMar w:top="1440" w:right="1800" w:bottom="1440" w:left="1800" w:header="851" w:footer="992" w:gutter="0"/>
          <w:pgNumType w:fmt="decimal" w:start="18"/>
          <w:cols w:space="425" w:num="1"/>
          <w:titlePg/>
          <w:docGrid w:type="lines" w:linePitch="312" w:charSpace="0"/>
        </w:sectPr>
      </w:pPr>
    </w:p>
    <w:tbl>
      <w:tblPr>
        <w:tblStyle w:val="14"/>
        <w:tblW w:w="8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66"/>
        <w:gridCol w:w="961"/>
        <w:gridCol w:w="1206"/>
        <w:gridCol w:w="499"/>
        <w:gridCol w:w="629"/>
        <w:gridCol w:w="846"/>
        <w:gridCol w:w="502"/>
        <w:gridCol w:w="486"/>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57.66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79.87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79.87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57.66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79.87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79.87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本年度离退休人员经费资金及时拨付、支付到位，自评综合得分100分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本年度严格执行相关政策，严格执行遗属人员经费，按时按质足额支付到位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本年度遗属人员经费资金及时拨付、支付到位，自评综合得分100分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本年度严格执行相关政策，严格执行基本养老保险经费，按时按质足额支付到位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114.63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97.38</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114.63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97.38</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本年度基本养老保险经费资金及时拨付、支付到位，自评综合得分100分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本年度严格执行相关政策，严格执行基本医疗保险经费，按时按质足额支付到位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62.19</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62.19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62.19</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62.19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本年度基本医疗保险经费资金及时拨付、支付到位，自评综合得分100分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本年度严格执行相关政策，严格执行补充医疗保险经费，按时按质足额支付到位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本年度补充医疗保险经费资金及时拨付、支付到位，自评综合得分100分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本年度严格执行相关政策，严格执行住房公积金经费，按时按质足额支付到位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93.33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93.33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本年度住房公积金经费资金及时拨付、支付到位，自评综合得分100分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51172421R000000068139-小学教育人员经费（事业）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本年度严格执行相关政策，严格执行小学教育人员经费，按时按质足额支付到位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777.79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734.95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734.95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777.79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734.95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734.95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本年度小学教育人员经费资金及时拨付、支付到位，自评综合得分100分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51172421R000000068140-初中教育人员经费（事业）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本年度严格执行相关政策，严格执行初中教育人员经费，按时按质足额支付到位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81.23</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81.23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81.23</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81.23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本年度初中教育人员经费资金及时拨付、支付到位，自评综合得分100分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51172421Y000000067509-学校生均公用经费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本年度严格执行相关政策，严格执行学生生均公用经费，按时按质足额支付到位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本年度学生生均公用经费资金及时拨付、支付到位，自评综合得分100分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本年度严格执行相关政策，严格执行非定额公用经费，按时按质足额支付到位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本年度非定额公用经费资金及时拨付、支付到位，自评综合得分100分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w:t>
            </w:r>
            <w:r>
              <w:rPr>
                <w:rFonts w:hint="eastAsia" w:ascii="宋体" w:hAnsi="宋体" w:cs="宋体"/>
                <w:i w:val="0"/>
                <w:iCs w:val="0"/>
                <w:color w:val="000000"/>
                <w:kern w:val="0"/>
                <w:sz w:val="18"/>
                <w:szCs w:val="18"/>
                <w:u w:val="none"/>
                <w:lang w:val="en-US" w:eastAsia="zh-CN" w:bidi="ar"/>
              </w:rPr>
              <w:t>此</w:t>
            </w:r>
            <w:r>
              <w:rPr>
                <w:rFonts w:ascii="宋体" w:hAnsi="宋体" w:eastAsia="宋体" w:cs="宋体"/>
                <w:i w:val="0"/>
                <w:iCs w:val="0"/>
                <w:color w:val="000000"/>
                <w:kern w:val="0"/>
                <w:sz w:val="18"/>
                <w:szCs w:val="18"/>
                <w:u w:val="none"/>
                <w:lang w:val="en-US" w:eastAsia="zh-CN" w:bidi="ar"/>
              </w:rPr>
              <w:t>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12.61</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12.61</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工会经费资金及时拨付、支付到位，自评综合得分100分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本年度严格执行相关政策，严格执行福利费经费，按时按质足额支付到位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21.66</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21.66</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本年度福利费经费资金及时拨付、支付到位，自评综合得分100分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本年度严格执行相关政策，严格执行党建经费，按时按质足额支付到位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本年度党建经费资金及时拨付、支付到位，自评综合得分100分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51172421Y000000081906-学前教育公用经费（事业）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本年度严格执行相关政策，严格执行学前教育公用经费，按时按质足额支付到位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本年度学前教育公用经费资金及时拨付、支付到位，自评综合得分100分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51172421Y000000081908-小学教育公用经费（事业）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本年度严格执行相关政策，严格执行小学教育公用经费，按时按质足额支付到位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本年度小学教育公用经费资金及时拨付、支付到位，自评综合得分100分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51172421Y000000081910-初中教育公用经费（事业）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本年度严格执行相关政策，严格执行初中教育公用经费，按时按质足额支付到位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109.39</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109.39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109.39</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109.39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本年度初中教育公用经费资金及时拨付、支付到位，自评综合得分100分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51172422R000005726291-退休人员一次性补贴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本年度严格执行相关政策，严格执行退休人员一次性补贴经费，按时按质足额支付到位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本年度退休人员一次性补贴经费资金及时拨付、支付到位，自评综合得分100分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51172422R000006093521-职业年金（事业）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本年度严格执行相关政策，严格执行职业年金经费，按时按质足额支付到位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本年度职业年金经费资金及时拨付、支付到位，自评综合得分100分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51172422T000005742399-营养餐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按时准确发放</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本年度严格执行相关政策，严格执行营养餐经费，按时按质足额支付到位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本年度营养餐经费资金及时拨付、支付到位，自评综合得分100分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w:t>
            </w:r>
            <w:r>
              <w:rPr>
                <w:rFonts w:hint="eastAsia" w:ascii="宋体" w:hAnsi="宋体" w:cs="宋体"/>
                <w:i w:val="0"/>
                <w:iCs w:val="0"/>
                <w:color w:val="000000"/>
                <w:kern w:val="0"/>
                <w:sz w:val="18"/>
                <w:szCs w:val="18"/>
                <w:u w:val="none"/>
                <w:lang w:val="en-US" w:eastAsia="zh-CN" w:bidi="ar"/>
              </w:rPr>
              <w:t>此</w:t>
            </w:r>
            <w:r>
              <w:rPr>
                <w:rFonts w:ascii="宋体" w:hAnsi="宋体" w:eastAsia="宋体" w:cs="宋体"/>
                <w:i w:val="0"/>
                <w:iCs w:val="0"/>
                <w:color w:val="000000"/>
                <w:kern w:val="0"/>
                <w:sz w:val="18"/>
                <w:szCs w:val="18"/>
                <w:u w:val="none"/>
                <w:lang w:val="en-US" w:eastAsia="zh-CN" w:bidi="ar"/>
              </w:rPr>
              <w:t>资金支出经费，按时按质足额支付到位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130.68</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130.68</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本年度代管资金支出经费资金及时拨付、支付到位，自评综合得分100分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51172423R000007610481-丧葬抚恤费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本年度严格执行相关政策，严格执行丧葬抚恤金经费，按时按质足额支付到位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本年度丧葬抚恤金经费资金及时拨付、支付到位，自评综合得分100分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51172423R000007610789-工伤保险（事业）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w:t>
            </w:r>
            <w:r>
              <w:rPr>
                <w:rFonts w:hint="eastAsia" w:ascii="宋体" w:hAnsi="宋体" w:cs="宋体"/>
                <w:i w:val="0"/>
                <w:iCs w:val="0"/>
                <w:color w:val="000000"/>
                <w:kern w:val="0"/>
                <w:sz w:val="18"/>
                <w:szCs w:val="18"/>
                <w:u w:val="none"/>
                <w:lang w:val="en-US" w:eastAsia="zh-CN" w:bidi="ar"/>
              </w:rPr>
              <w:t>此</w:t>
            </w:r>
            <w:r>
              <w:rPr>
                <w:rFonts w:ascii="宋体" w:hAnsi="宋体" w:eastAsia="宋体" w:cs="宋体"/>
                <w:i w:val="0"/>
                <w:iCs w:val="0"/>
                <w:color w:val="000000"/>
                <w:kern w:val="0"/>
                <w:sz w:val="18"/>
                <w:szCs w:val="18"/>
                <w:u w:val="none"/>
                <w:lang w:val="en-US" w:eastAsia="zh-CN" w:bidi="ar"/>
              </w:rPr>
              <w:t>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本年度此经费资金及时拨付、支付到位，自评综合得分100分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51172423R000007931981-年终绩效考核奖（事业）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本年度严格执行相关政策，严格执行年</w:t>
            </w:r>
            <w:r>
              <w:rPr>
                <w:rFonts w:hint="eastAsia" w:ascii="宋体" w:hAnsi="宋体" w:cs="宋体"/>
                <w:i w:val="0"/>
                <w:iCs w:val="0"/>
                <w:color w:val="000000"/>
                <w:kern w:val="0"/>
                <w:sz w:val="18"/>
                <w:szCs w:val="18"/>
                <w:u w:val="none"/>
                <w:lang w:val="en-US" w:eastAsia="zh-CN" w:bidi="ar"/>
              </w:rPr>
              <w:t>度</w:t>
            </w:r>
            <w:r>
              <w:rPr>
                <w:rFonts w:ascii="宋体" w:hAnsi="宋体" w:eastAsia="宋体" w:cs="宋体"/>
                <w:i w:val="0"/>
                <w:iCs w:val="0"/>
                <w:color w:val="000000"/>
                <w:kern w:val="0"/>
                <w:sz w:val="18"/>
                <w:szCs w:val="18"/>
                <w:u w:val="none"/>
                <w:lang w:val="en-US" w:eastAsia="zh-CN" w:bidi="ar"/>
              </w:rPr>
              <w:t>绩效考核奖经费，按时按质足额支付到位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本年度此经费资金及时拨付、支付到位，自评综合得分100分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51172423T000008005436-校舍维修改造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按质按量完成任务，让师生满意</w:t>
            </w:r>
            <w:r>
              <w:rPr>
                <w:rFonts w:hint="eastAsia" w:ascii="宋体" w:hAnsi="宋体" w:cs="宋体"/>
                <w:i w:val="0"/>
                <w:iCs w:val="0"/>
                <w:color w:val="000000"/>
                <w:kern w:val="0"/>
                <w:sz w:val="18"/>
                <w:szCs w:val="18"/>
                <w:u w:val="none"/>
                <w:lang w:val="en-US" w:eastAsia="zh-CN" w:bidi="ar"/>
              </w:rPr>
              <w:t>。</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本年度严格执行相关政策，严格执行校舍维修改造经费，专款专用，按时按质足额支付到位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维修改造面积</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质量达标率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改善师生环境</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项目持续发挥作用期限</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本年度校舍维修改造经费资金及时拨付、支付到位，自评综合得分100分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1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51172424R000010291706-基础绩效奖（事业）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大竹县安吉乡中心小学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按质按量完成任务，让师生满意</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及时拨付、支付到位，完成率100%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本年度严格执行相关政策，严格执行基础绩效奖经费，专款专用，按时按质足额支付到位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本年度基础绩效奖经费资金及时拨付、支付到位，自评综合得分100分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项目负责人：唐昊</w:t>
            </w:r>
          </w:p>
        </w:tc>
        <w:tc>
          <w:tcPr>
            <w:tcW w:w="3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财务负责人：李映刚</w:t>
            </w:r>
          </w:p>
        </w:tc>
      </w:tr>
    </w:tbl>
    <w:p>
      <w:pPr>
        <w:pStyle w:val="13"/>
        <w:spacing w:line="560" w:lineRule="exact"/>
        <w:ind w:left="0" w:leftChars="0" w:firstLine="640"/>
        <w:rPr>
          <w:sz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spacing w:line="600" w:lineRule="exact"/>
        <w:jc w:val="both"/>
        <w:outlineLvl w:val="0"/>
        <w:rPr>
          <w:rFonts w:hint="eastAsia" w:ascii="黑体" w:hAnsi="黑体" w:eastAsia="黑体"/>
          <w:sz w:val="44"/>
          <w:szCs w:val="44"/>
        </w:rPr>
        <w:sectPr>
          <w:footerReference r:id="rId11" w:type="first"/>
          <w:footerReference r:id="rId10" w:type="default"/>
          <w:pgSz w:w="11906" w:h="16838"/>
          <w:pgMar w:top="1440" w:right="1800" w:bottom="1440" w:left="1800" w:header="851" w:footer="992" w:gutter="0"/>
          <w:pgNumType w:fmt="decimal" w:start="18"/>
          <w:cols w:space="425" w:num="1"/>
          <w:titlePg/>
          <w:docGrid w:type="lines" w:linePitch="312" w:charSpace="0"/>
        </w:sectPr>
      </w:pPr>
      <w:bookmarkStart w:id="67" w:name="_GoBack"/>
      <w:bookmarkEnd w:id="67"/>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3"/>
      <w:bookmarkStart w:id="54" w:name="_Toc15396619"/>
    </w:p>
    <w:p>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3"/>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3"/>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3"/>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3"/>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3"/>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3"/>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3"/>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3"/>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3"/>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3"/>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3"/>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footerReference r:id="rId13" w:type="first"/>
      <w:footerReference r:id="rId12"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r>
                            <w:rPr>
                              <w:rFonts w:hint="eastAsia"/>
                              <w:lang w:val="en-US" w:eastAsia="zh-CN"/>
                            </w:rPr>
                            <w:t>16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eastAsia="宋体"/>
                        <w:lang w:val="en-US" w:eastAsia="zh-CN"/>
                      </w:rPr>
                    </w:pPr>
                    <w:r>
                      <w:rPr>
                        <w:rFonts w:hint="eastAsia"/>
                        <w:lang w:val="en-US" w:eastAsia="zh-CN"/>
                      </w:rPr>
                      <w:t>16</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default" w:eastAsia="宋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r>
                            <w:rPr>
                              <w:rFonts w:hint="eastAsia"/>
                              <w:lang w:val="en-US" w:eastAsia="zh-CN"/>
                            </w:rPr>
                            <w:t>17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eastAsia="宋体"/>
                        <w:lang w:val="en-US" w:eastAsia="zh-CN"/>
                      </w:rPr>
                    </w:pPr>
                    <w:r>
                      <w:rPr>
                        <w:rFonts w:hint="eastAsia"/>
                        <w:lang w:val="en-US" w:eastAsia="zh-CN"/>
                      </w:rPr>
                      <w:t>17</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r>
                            <w:rPr>
                              <w:rFonts w:hint="eastAsia"/>
                              <w:lang w:val="en-US" w:eastAsia="zh-CN"/>
                            </w:rPr>
                            <w:t>16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eastAsia="宋体"/>
                        <w:lang w:val="en-US" w:eastAsia="zh-CN"/>
                      </w:rPr>
                    </w:pPr>
                    <w:r>
                      <w:rPr>
                        <w:rFonts w:hint="eastAsia"/>
                        <w:lang w:val="en-US" w:eastAsia="zh-CN"/>
                      </w:rPr>
                      <w:t>16</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default" w:eastAsia="宋体"/>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19</w:t>
                    </w:r>
                    <w:r>
                      <w:fldChar w:fldCharType="end"/>
                    </w: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r>
                            <w:rPr>
                              <w:rFonts w:hint="eastAsia"/>
                              <w:lang w:val="en-US" w:eastAsia="zh-CN"/>
                            </w:rPr>
                            <w:t>18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eastAsia="宋体"/>
                        <w:lang w:val="en-US" w:eastAsia="zh-CN"/>
                      </w:rPr>
                    </w:pPr>
                    <w:r>
                      <w:rPr>
                        <w:rFonts w:hint="eastAsia"/>
                        <w:lang w:val="en-US" w:eastAsia="zh-CN"/>
                      </w:rPr>
                      <w:t>18</w:t>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posOffset>2668270</wp:posOffset>
              </wp:positionH>
              <wp:positionV relativeFrom="paragraph">
                <wp:posOffset>-10795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r>
                            <w:rPr>
                              <w:rFonts w:hint="eastAsia"/>
                              <w:lang w:val="en-US" w:eastAsia="zh-CN"/>
                            </w:rPr>
                            <w:t>48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1pt;margin-top:-0.85pt;height:144pt;width:144pt;mso-position-horizontal-relative:margin;mso-wrap-style:none;z-index:251663360;mso-width-relative:page;mso-height-relative:page;" filled="f" stroked="f" coordsize="21600,21600" o:gfxdata="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Z/XdcAAAAK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pPr>
                      <w:pStyle w:val="9"/>
                      <w:rPr>
                        <w:rFonts w:hint="default" w:eastAsia="宋体"/>
                        <w:lang w:val="en-US" w:eastAsia="zh-CN"/>
                      </w:rPr>
                    </w:pPr>
                    <w:r>
                      <w:rPr>
                        <w:rFonts w:hint="eastAsia"/>
                        <w:lang w:val="en-US" w:eastAsia="zh-CN"/>
                      </w:rPr>
                      <w:t>48</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6F082FB6"/>
    <w:multiLevelType w:val="singleLevel"/>
    <w:tmpl w:val="6F082FB6"/>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ZDgxNmM2NmE2ODYwMjNhMGEwMGRlZDA5ZDViNj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2624F"/>
    <w:rsid w:val="03DC2831"/>
    <w:rsid w:val="05C466EF"/>
    <w:rsid w:val="081B5E94"/>
    <w:rsid w:val="0A2032A3"/>
    <w:rsid w:val="0AF93AA3"/>
    <w:rsid w:val="0B8A37D8"/>
    <w:rsid w:val="0BCE439B"/>
    <w:rsid w:val="0CB45D31"/>
    <w:rsid w:val="0D4344D9"/>
    <w:rsid w:val="0E553401"/>
    <w:rsid w:val="0F5FFB2F"/>
    <w:rsid w:val="0FFFCF60"/>
    <w:rsid w:val="10C055FF"/>
    <w:rsid w:val="118107EC"/>
    <w:rsid w:val="11DD6519"/>
    <w:rsid w:val="141F6F91"/>
    <w:rsid w:val="14C97647"/>
    <w:rsid w:val="158A2A77"/>
    <w:rsid w:val="16057189"/>
    <w:rsid w:val="16BB723D"/>
    <w:rsid w:val="171D5453"/>
    <w:rsid w:val="178C1BCF"/>
    <w:rsid w:val="18015F3F"/>
    <w:rsid w:val="1BE8440E"/>
    <w:rsid w:val="1D155CEE"/>
    <w:rsid w:val="1EE82024"/>
    <w:rsid w:val="1FDBBF84"/>
    <w:rsid w:val="1FE86B53"/>
    <w:rsid w:val="20F57F95"/>
    <w:rsid w:val="240371BF"/>
    <w:rsid w:val="24150BCD"/>
    <w:rsid w:val="256B5724"/>
    <w:rsid w:val="25711CC6"/>
    <w:rsid w:val="25C741E6"/>
    <w:rsid w:val="26A56A41"/>
    <w:rsid w:val="276F80C0"/>
    <w:rsid w:val="27842671"/>
    <w:rsid w:val="28410B22"/>
    <w:rsid w:val="29FD04D3"/>
    <w:rsid w:val="2ABE7A3E"/>
    <w:rsid w:val="2AFF09B6"/>
    <w:rsid w:val="2B4563EF"/>
    <w:rsid w:val="2CA234A8"/>
    <w:rsid w:val="2D061D64"/>
    <w:rsid w:val="2D3A1090"/>
    <w:rsid w:val="2EF43E97"/>
    <w:rsid w:val="2EFA178C"/>
    <w:rsid w:val="2EFDF86C"/>
    <w:rsid w:val="2F9D17E1"/>
    <w:rsid w:val="301D31C7"/>
    <w:rsid w:val="307279A7"/>
    <w:rsid w:val="30B46D73"/>
    <w:rsid w:val="30C66E03"/>
    <w:rsid w:val="319F7F4E"/>
    <w:rsid w:val="32FF012B"/>
    <w:rsid w:val="354632DC"/>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50100ED"/>
    <w:rsid w:val="46892035"/>
    <w:rsid w:val="48BF60AB"/>
    <w:rsid w:val="493C27E9"/>
    <w:rsid w:val="496F39ED"/>
    <w:rsid w:val="49FF41D3"/>
    <w:rsid w:val="4A1F3645"/>
    <w:rsid w:val="4BE068DB"/>
    <w:rsid w:val="4BEF5869"/>
    <w:rsid w:val="4BF6002B"/>
    <w:rsid w:val="4BFFC6BE"/>
    <w:rsid w:val="4ECE2238"/>
    <w:rsid w:val="51840FBC"/>
    <w:rsid w:val="51DB4B86"/>
    <w:rsid w:val="51F64DB0"/>
    <w:rsid w:val="55244006"/>
    <w:rsid w:val="55333C3E"/>
    <w:rsid w:val="5591537C"/>
    <w:rsid w:val="57C54E5D"/>
    <w:rsid w:val="58A614EA"/>
    <w:rsid w:val="5F67802D"/>
    <w:rsid w:val="5F7B732E"/>
    <w:rsid w:val="5F7DC4F2"/>
    <w:rsid w:val="5FB36814"/>
    <w:rsid w:val="5FBB8E56"/>
    <w:rsid w:val="5FFB5535"/>
    <w:rsid w:val="60E40B9C"/>
    <w:rsid w:val="64CA39A1"/>
    <w:rsid w:val="668D2BB2"/>
    <w:rsid w:val="67034C03"/>
    <w:rsid w:val="69630ADE"/>
    <w:rsid w:val="69BD5F13"/>
    <w:rsid w:val="69F8773E"/>
    <w:rsid w:val="69FB0B4B"/>
    <w:rsid w:val="6BFFE1FB"/>
    <w:rsid w:val="6C20659F"/>
    <w:rsid w:val="6C4A05C8"/>
    <w:rsid w:val="6CEF5444"/>
    <w:rsid w:val="6D3B1A89"/>
    <w:rsid w:val="6DB7D8A3"/>
    <w:rsid w:val="6EC78701"/>
    <w:rsid w:val="6F7A5481"/>
    <w:rsid w:val="6FBF59FA"/>
    <w:rsid w:val="6FFE07A9"/>
    <w:rsid w:val="71BF4EC2"/>
    <w:rsid w:val="72603939"/>
    <w:rsid w:val="72734D90"/>
    <w:rsid w:val="73171FD4"/>
    <w:rsid w:val="733F1DCA"/>
    <w:rsid w:val="73E75B71"/>
    <w:rsid w:val="7412278C"/>
    <w:rsid w:val="75DDCDA9"/>
    <w:rsid w:val="75FF44B1"/>
    <w:rsid w:val="77670518"/>
    <w:rsid w:val="777FA627"/>
    <w:rsid w:val="77DF1B5F"/>
    <w:rsid w:val="77EF2D9D"/>
    <w:rsid w:val="79E7B28D"/>
    <w:rsid w:val="7ACFF0C2"/>
    <w:rsid w:val="7ADA1B7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3.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4.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a:t>
            </a:r>
          </a:p>
        </c:rich>
      </c:tx>
      <c:layout/>
      <c:overlay val="0"/>
      <c:spPr>
        <a:noFill/>
        <a:ln>
          <a:noFill/>
        </a:ln>
        <a:effectLst/>
      </c:spPr>
    </c:title>
    <c:autoTitleDeleted val="0"/>
    <c:plotArea>
      <c:layout>
        <c:manualLayout>
          <c:layoutTarget val="inner"/>
          <c:xMode val="edge"/>
          <c:yMode val="edge"/>
          <c:x val="0.0250860091743119"/>
          <c:y val="0.343976777939042"/>
          <c:w val="0.936926605504587"/>
          <c:h val="0.506937590711176"/>
        </c:manualLayout>
      </c:layout>
      <c:barChart>
        <c:barDir val="col"/>
        <c:grouping val="clustered"/>
        <c:varyColors val="0"/>
        <c:ser>
          <c:idx val="0"/>
          <c:order val="0"/>
          <c:tx>
            <c:strRef>
              <c:f>Sheet1!$B$1</c:f>
              <c:strCache>
                <c:ptCount val="1"/>
                <c:pt idx="0">
                  <c:v>收入（万元）</c:v>
                </c:pt>
              </c:strCache>
            </c:strRef>
          </c:tx>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invertIfNegative val="0"/>
          <c:dLbls>
            <c:dLbl>
              <c:idx val="0"/>
              <c:layout>
                <c:manualLayout>
                  <c:x val="-0.015051605504587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93520642201835"/>
                  <c:y val="0.008708272859216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35000"/>
                          <a:lumOff val="65000"/>
                        </a:schemeClr>
                      </a:solidFill>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1089.8</c:v>
                </c:pt>
                <c:pt idx="1">
                  <c:v>1495.07</c:v>
                </c:pt>
              </c:numCache>
            </c:numRef>
          </c:val>
        </c:ser>
        <c:ser>
          <c:idx val="1"/>
          <c:order val="1"/>
          <c:tx>
            <c:strRef>
              <c:f>Sheet1!$C$1</c:f>
              <c:strCache>
                <c:ptCount val="1"/>
                <c:pt idx="0">
                  <c:v>支出（万元）</c:v>
                </c:pt>
              </c:strCache>
            </c:strRef>
          </c:tx>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invertIfNegative val="0"/>
          <c:dLbls>
            <c:dLbl>
              <c:idx val="0"/>
              <c:layout>
                <c:manualLayout>
                  <c:x val="0.017201834862385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802752293578"/>
                  <c:y val="0.008708272859216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35000"/>
                          <a:lumOff val="65000"/>
                        </a:schemeClr>
                      </a:solidFill>
                    </a:ln>
                    <a:effectLst/>
                  </c:spPr>
                </c15:leaderLines>
              </c:ext>
            </c:extLst>
          </c:dLbls>
          <c:cat>
            <c:strRef>
              <c:f>Sheet1!$A$2:$A$3</c:f>
              <c:strCache>
                <c:ptCount val="2"/>
                <c:pt idx="0">
                  <c:v>2022年度</c:v>
                </c:pt>
                <c:pt idx="1">
                  <c:v>2023年度</c:v>
                </c:pt>
              </c:strCache>
            </c:strRef>
          </c:cat>
          <c:val>
            <c:numRef>
              <c:f>Sheet1!$C$2:$C$3</c:f>
              <c:numCache>
                <c:formatCode>General</c:formatCode>
                <c:ptCount val="2"/>
                <c:pt idx="0">
                  <c:v>1089.8</c:v>
                </c:pt>
                <c:pt idx="1">
                  <c:v>1495.07</c:v>
                </c:pt>
              </c:numCache>
            </c:numRef>
          </c:val>
        </c:ser>
        <c:dLbls>
          <c:showLegendKey val="0"/>
          <c:showVal val="1"/>
          <c:showCatName val="0"/>
          <c:showSerName val="0"/>
          <c:showPercent val="0"/>
          <c:showBubbleSize val="0"/>
        </c:dLbls>
        <c:gapWidth val="500"/>
        <c:overlap val="-50"/>
        <c:axId val="606608247"/>
        <c:axId val="106823350"/>
      </c:barChart>
      <c:catAx>
        <c:axId val="606608247"/>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06823350"/>
        <c:crosses val="autoZero"/>
        <c:auto val="1"/>
        <c:lblAlgn val="ctr"/>
        <c:lblOffset val="100"/>
        <c:noMultiLvlLbl val="0"/>
      </c:catAx>
      <c:valAx>
        <c:axId val="106823350"/>
        <c:scaling>
          <c:orientation val="minMax"/>
        </c:scaling>
        <c:delete val="1"/>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606608247"/>
        <c:crosses val="autoZero"/>
        <c:crossBetween val="between"/>
      </c:valAx>
      <c:spPr>
        <a:noFill/>
        <a:ln>
          <a:noFill/>
        </a:ln>
        <a:effectLst/>
      </c:spPr>
    </c:plotArea>
    <c:legend>
      <c:legendPos val="t"/>
      <c:layout>
        <c:manualLayout>
          <c:xMode val="edge"/>
          <c:yMode val="edge"/>
          <c:x val="0.231651376146789"/>
          <c:y val="0.1834542815674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2023</a:t>
            </a:r>
            <a:r>
              <a:rPr altLang="en-US"/>
              <a:t>年收入决算</a:t>
            </a:r>
            <a:endParaRPr lang="en-US" altLang="zh-CN"/>
          </a:p>
        </c:rich>
      </c:tx>
      <c:layout>
        <c:manualLayout>
          <c:xMode val="edge"/>
          <c:yMode val="edge"/>
          <c:x val="0.299672667757774"/>
          <c:y val="0.0280898876404494"/>
        </c:manualLayout>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收入决算结构图</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manualLayout>
          <c:xMode val="edge"/>
          <c:yMode val="edge"/>
          <c:x val="0.137743793260573"/>
          <c:y val="0.159316212442503"/>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2023</a:t>
            </a:r>
            <a:r>
              <a:rPr altLang="en-US"/>
              <a:t>年支出决算</a:t>
            </a:r>
            <a:endParaRPr lang="en-US" altLang="zh-CN"/>
          </a:p>
        </c:rich>
      </c:tx>
      <c:layout>
        <c:manualLayout>
          <c:xMode val="edge"/>
          <c:yMode val="edge"/>
          <c:x val="0.344946295786285"/>
          <c:y val="0.0211327134404057"/>
        </c:manualLayout>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支出决算结构图</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Lbls>
            <c:dLbl>
              <c:idx val="1"/>
              <c:layout/>
              <c:dLblPos val="ctr"/>
              <c:showLegendKey val="0"/>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0.941</c:v>
                </c:pt>
                <c:pt idx="1">
                  <c:v>0.059</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manualLayout>
          <c:xMode val="edge"/>
          <c:yMode val="edge"/>
          <c:x val="0.366496832828422"/>
          <c:y val="0.15497323189630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财政拨款收入（万元）</c:v>
                </c:pt>
              </c:strCache>
            </c:strRef>
          </c:tx>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invertIfNegative val="0"/>
          <c:dLbls>
            <c:dLbl>
              <c:idx val="0"/>
              <c:layout>
                <c:manualLayout>
                  <c:x val="-0.017201834862385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15022935779817"/>
                  <c:y val="-0.004354136429608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35000"/>
                          <a:lumOff val="65000"/>
                        </a:schemeClr>
                      </a:solidFill>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1089.8</c:v>
                </c:pt>
                <c:pt idx="1">
                  <c:v>1495.07</c:v>
                </c:pt>
              </c:numCache>
            </c:numRef>
          </c:val>
        </c:ser>
        <c:ser>
          <c:idx val="1"/>
          <c:order val="1"/>
          <c:tx>
            <c:strRef>
              <c:f>Sheet1!$C$1</c:f>
              <c:strCache>
                <c:ptCount val="1"/>
                <c:pt idx="0">
                  <c:v>财政拨款支出（万元）</c:v>
                </c:pt>
              </c:strCache>
            </c:strRef>
          </c:tx>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invertIfNegative val="0"/>
          <c:dLbls>
            <c:dLbl>
              <c:idx val="0"/>
              <c:layout>
                <c:manualLayout>
                  <c:x val="0.02580275229357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01032110091743"/>
                  <c:y val="-0.008708272859216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35000"/>
                          <a:lumOff val="65000"/>
                        </a:schemeClr>
                      </a:solidFill>
                    </a:ln>
                    <a:effectLst/>
                  </c:spPr>
                </c15:leaderLines>
              </c:ext>
            </c:extLst>
          </c:dLbls>
          <c:cat>
            <c:strRef>
              <c:f>Sheet1!$A$2:$A$3</c:f>
              <c:strCache>
                <c:ptCount val="2"/>
                <c:pt idx="0">
                  <c:v>2022年度</c:v>
                </c:pt>
                <c:pt idx="1">
                  <c:v>2023年度</c:v>
                </c:pt>
              </c:strCache>
            </c:strRef>
          </c:cat>
          <c:val>
            <c:numRef>
              <c:f>Sheet1!$C$2:$C$3</c:f>
              <c:numCache>
                <c:formatCode>General</c:formatCode>
                <c:ptCount val="2"/>
                <c:pt idx="0">
                  <c:v>1089.8</c:v>
                </c:pt>
                <c:pt idx="1">
                  <c:v>1495.07</c:v>
                </c:pt>
              </c:numCache>
            </c:numRef>
          </c:val>
        </c:ser>
        <c:dLbls>
          <c:showLegendKey val="0"/>
          <c:showVal val="1"/>
          <c:showCatName val="0"/>
          <c:showSerName val="0"/>
          <c:showPercent val="0"/>
          <c:showBubbleSize val="0"/>
        </c:dLbls>
        <c:gapWidth val="500"/>
        <c:overlap val="-50"/>
        <c:axId val="606608247"/>
        <c:axId val="106823350"/>
      </c:barChart>
      <c:catAx>
        <c:axId val="606608247"/>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06823350"/>
        <c:crosses val="autoZero"/>
        <c:auto val="1"/>
        <c:lblAlgn val="ctr"/>
        <c:lblOffset val="100"/>
        <c:noMultiLvlLbl val="0"/>
      </c:catAx>
      <c:valAx>
        <c:axId val="106823350"/>
        <c:scaling>
          <c:orientation val="minMax"/>
        </c:scaling>
        <c:delete val="1"/>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606608247"/>
        <c:crosses val="autoZero"/>
        <c:crossBetween val="between"/>
      </c:valAx>
      <c:spPr>
        <a:noFill/>
        <a:ln>
          <a:noFill/>
        </a:ln>
        <a:effectLst/>
      </c:spPr>
    </c:plotArea>
    <c:legend>
      <c:legendPos val="t"/>
      <c:layout>
        <c:manualLayout>
          <c:xMode val="edge"/>
          <c:yMode val="edge"/>
          <c:x val="0.231651376146789"/>
          <c:y val="0.1834542815674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一般公共预算财政拨款支出决算变动情况（万元）
</c:v>
                </c:pt>
              </c:strCache>
            </c:strRef>
          </c:tx>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35000"/>
                          <a:lumOff val="65000"/>
                        </a:schemeClr>
                      </a:solidFill>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1089.8</c:v>
                </c:pt>
                <c:pt idx="1">
                  <c:v>1495.07</c:v>
                </c:pt>
              </c:numCache>
            </c:numRef>
          </c:val>
        </c:ser>
        <c:dLbls>
          <c:showLegendKey val="0"/>
          <c:showVal val="1"/>
          <c:showCatName val="0"/>
          <c:showSerName val="0"/>
          <c:showPercent val="0"/>
          <c:showBubbleSize val="0"/>
        </c:dLbls>
        <c:gapWidth val="500"/>
        <c:overlap val="-50"/>
        <c:axId val="606608247"/>
        <c:axId val="106823350"/>
      </c:barChart>
      <c:catAx>
        <c:axId val="606608247"/>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06823350"/>
        <c:crosses val="autoZero"/>
        <c:auto val="1"/>
        <c:lblAlgn val="ctr"/>
        <c:lblOffset val="100"/>
        <c:noMultiLvlLbl val="0"/>
      </c:catAx>
      <c:valAx>
        <c:axId val="106823350"/>
        <c:scaling>
          <c:orientation val="minMax"/>
        </c:scaling>
        <c:delete val="1"/>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60660824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a:t>
            </a:r>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一般公共预算财政拨款支出决算结构一般公共预算财政拨款支出决算结构</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教育支出（205）</c:v>
                </c:pt>
                <c:pt idx="1">
                  <c:v>社会保障和就业（208）支出</c:v>
                </c:pt>
                <c:pt idx="2">
                  <c:v>卫生健康支出（210）</c:v>
                </c:pt>
                <c:pt idx="3">
                  <c:v>住房保障（221）支出</c:v>
                </c:pt>
              </c:strCache>
            </c:strRef>
          </c:cat>
          <c:val>
            <c:numRef>
              <c:f>Sheet1!$B$2:$B$5</c:f>
              <c:numCache>
                <c:formatCode>0.00%</c:formatCode>
                <c:ptCount val="4"/>
                <c:pt idx="0">
                  <c:v>0.7541</c:v>
                </c:pt>
                <c:pt idx="1">
                  <c:v>0.148</c:v>
                </c:pt>
                <c:pt idx="2">
                  <c:v>0.0434</c:v>
                </c:pt>
                <c:pt idx="3">
                  <c:v>0.0545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manualLayout>
          <c:xMode val="edge"/>
          <c:yMode val="edge"/>
          <c:x val="0.070515408424169"/>
          <c:y val="0.150921658986175"/>
          <c:w val="0.9245054501413"/>
          <c:h val="0.14700460829493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a:t>
            </a:r>
            <a:r>
              <a:t>三公</a:t>
            </a:r>
            <a:r>
              <a:rPr lang="en-US" altLang="zh-CN"/>
              <a:t>”</a:t>
            </a:r>
            <a:r>
              <a:rPr altLang="en-US"/>
              <a:t>经费财政拨款支出</a:t>
            </a:r>
            <a:endParaRPr lang="en-US" altLang="zh-CN"/>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一般公共预算财政拨款支出决算结构一般公共预算财政拨款支出决算结构</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因公出国（境）费支出决算</c:v>
                </c:pt>
                <c:pt idx="1">
                  <c:v>公务用车购置及运行费支出决算</c:v>
                </c:pt>
                <c:pt idx="2">
                  <c:v>公务接待费支出决算</c:v>
                </c:pt>
              </c:strCache>
            </c:strRef>
          </c:cat>
          <c:val>
            <c:numRef>
              <c:f>Sheet1!$B$2:$B$4</c:f>
              <c:numCache>
                <c:formatCode>0.00%</c:formatCode>
                <c:ptCount val="3"/>
                <c:pt idx="0">
                  <c:v>0</c:v>
                </c:pt>
                <c:pt idx="1">
                  <c:v>0</c:v>
                </c:pt>
                <c:pt idx="2">
                  <c:v>1</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8">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4620000" scaled="0"/>
        </a:gra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8">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4620000" scaled="0"/>
        </a:gra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8">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4620000" scaled="0"/>
        </a:gra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48</Pages>
  <Words>4635</Words>
  <Characters>5243</Characters>
  <Lines>54</Lines>
  <Paragraphs>15</Paragraphs>
  <TotalTime>30</TotalTime>
  <ScaleCrop>false</ScaleCrop>
  <LinksUpToDate>false</LinksUpToDate>
  <CharactersWithSpaces>5358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2024-10-26T07:10:56Z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07BCB1C81AF94E7F98C6DE83B21CACF2_13</vt:lpwstr>
  </property>
</Properties>
</file>