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475"/>
      <w:bookmarkStart w:id="3" w:name="_Toc15396597"/>
      <w:bookmarkStart w:id="4" w:name="_Toc15377425"/>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ind w:left="2160" w:hanging="2160" w:hangingChars="300"/>
        <w:jc w:val="center"/>
        <w:outlineLvl w:val="0"/>
        <w:rPr>
          <w:rFonts w:hint="eastAsia" w:ascii="方正小标宋简体" w:hAnsi="方正小标宋简体" w:eastAsia="方正小标宋简体" w:cs="方正小标宋简体"/>
          <w:sz w:val="72"/>
          <w:szCs w:val="72"/>
          <w:lang w:eastAsia="zh-CN"/>
        </w:rPr>
      </w:pPr>
      <w:bookmarkStart w:id="6" w:name="_Toc15396598"/>
      <w:bookmarkStart w:id="7" w:name="_Toc15396476"/>
      <w:bookmarkStart w:id="8" w:name="_Toc15378442"/>
      <w:bookmarkStart w:id="9" w:name="_Toc15377426"/>
      <w:bookmarkStart w:id="10" w:name="_Toc15377194"/>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eastAsia="zh-CN"/>
        </w:rPr>
        <w:t>大竹县文星镇</w:t>
      </w:r>
    </w:p>
    <w:p>
      <w:pPr>
        <w:adjustRightInd w:val="0"/>
        <w:snapToGrid w:val="0"/>
        <w:spacing w:line="360" w:lineRule="auto"/>
        <w:ind w:left="2160" w:hanging="2160" w:hangingChars="300"/>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人民政府</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3"/>
        <w:adjustRightInd w:val="0"/>
        <w:snapToGrid w:val="0"/>
        <w:spacing w:line="440" w:lineRule="exact"/>
        <w:jc w:val="left"/>
        <w:rPr>
          <w:sz w:val="24"/>
        </w:rPr>
      </w:pPr>
      <w:r>
        <w:rPr>
          <w:rFonts w:hint="eastAsia"/>
          <w:sz w:val="24"/>
        </w:rPr>
        <w:t>一、主要职责</w:t>
      </w:r>
    </w:p>
    <w:p>
      <w:pPr>
        <w:pStyle w:val="13"/>
        <w:adjustRightInd w:val="0"/>
        <w:snapToGrid w:val="0"/>
        <w:spacing w:line="440" w:lineRule="exact"/>
        <w:jc w:val="left"/>
      </w:pPr>
      <w:r>
        <w:rPr>
          <w:rFonts w:hint="eastAsia"/>
          <w:sz w:val="24"/>
        </w:rPr>
        <w:t>二、机构设置</w:t>
      </w:r>
    </w:p>
    <w:p>
      <w:pPr>
        <w:pStyle w:val="12"/>
        <w:adjustRightInd w:val="0"/>
        <w:snapToGrid w:val="0"/>
        <w:spacing w:before="0" w:line="440" w:lineRule="exact"/>
        <w:jc w:val="left"/>
        <w:rPr>
          <w:sz w:val="24"/>
          <w:szCs w:val="24"/>
        </w:rPr>
      </w:pPr>
      <w:r>
        <w:rPr>
          <w:rFonts w:hint="eastAsia"/>
          <w:sz w:val="24"/>
        </w:rPr>
        <w:t>第二部分 2023年度单位决算情况说明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3"/>
        <w:adjustRightInd w:val="0"/>
        <w:snapToGrid w:val="0"/>
        <w:spacing w:line="440" w:lineRule="exact"/>
        <w:jc w:val="left"/>
        <w:rPr>
          <w:sz w:val="24"/>
        </w:rPr>
      </w:pPr>
      <w:r>
        <w:rPr>
          <w:rFonts w:hint="eastAsia"/>
          <w:sz w:val="24"/>
        </w:rPr>
        <w:t>九、国有资本经营预算支出决算情况说明</w:t>
      </w:r>
    </w:p>
    <w:p>
      <w:pPr>
        <w:pStyle w:val="13"/>
        <w:adjustRightInd w:val="0"/>
        <w:snapToGrid w:val="0"/>
        <w:spacing w:line="440" w:lineRule="exact"/>
        <w:jc w:val="left"/>
        <w:rPr>
          <w:sz w:val="24"/>
        </w:rPr>
      </w:pPr>
      <w:r>
        <w:rPr>
          <w:rFonts w:hint="eastAsia"/>
          <w:sz w:val="24"/>
        </w:rPr>
        <w:t>十、其他重要事项的情况说明</w:t>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9"/>
          <w:rFonts w:ascii="黑体" w:hAnsi="黑体" w:eastAsia="黑体"/>
          <w:b w:val="0"/>
          <w:bCs w:val="0"/>
        </w:rPr>
      </w:pPr>
      <w:bookmarkStart w:id="14" w:name="_Toc15377197"/>
      <w:bookmarkStart w:id="15" w:name="_Toc15396600"/>
      <w:r>
        <w:rPr>
          <w:rStyle w:val="29"/>
          <w:rFonts w:hint="eastAsia" w:ascii="黑体" w:hAnsi="黑体" w:eastAsia="黑体"/>
          <w:b w:val="0"/>
          <w:bCs w:val="0"/>
        </w:rPr>
        <w:t>主要职责</w:t>
      </w:r>
    </w:p>
    <w:p>
      <w:pPr>
        <w:pStyle w:val="4"/>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pPr>
      <w:r>
        <w:rPr>
          <w:rFonts w:hint="eastAsia" w:ascii="仿宋" w:hAnsi="仿宋" w:eastAsia="仿宋" w:cs="仿宋"/>
          <w:b w:val="0"/>
          <w:bCs w:val="0"/>
          <w:kern w:val="2"/>
          <w:sz w:val="32"/>
          <w:szCs w:val="32"/>
          <w:highlight w:val="none"/>
          <w:lang w:val="en-US" w:eastAsia="zh-CN" w:bidi="ar-SA"/>
        </w:rPr>
        <w:t>文星镇人民政府的主要职能是：贯彻党的路线、方针、政策，执行本级党代会、人民代表大会的决议和各级党委、政府决策和命令，承担促进经济发展、加强社会管理、搞好公共服务、维护社会稳定和巩固基层政权等职能，推动物质文明、政治文明、精神文明协调发展。</w:t>
      </w:r>
    </w:p>
    <w:p>
      <w:pPr>
        <w:pStyle w:val="4"/>
        <w:rPr>
          <w:rFonts w:ascii="黑体" w:hAnsi="黑体" w:eastAsia="黑体"/>
          <w:b w:val="0"/>
        </w:rPr>
      </w:pPr>
      <w:r>
        <w:rPr>
          <w:rFonts w:hint="eastAsia" w:ascii="黑体" w:hAnsi="黑体" w:eastAsia="黑体"/>
          <w:b w:val="0"/>
        </w:rPr>
        <w:t>二、机构设置</w:t>
      </w:r>
    </w:p>
    <w:bookmarkEnd w:id="14"/>
    <w:bookmarkEnd w:id="15"/>
    <w:p>
      <w:pPr>
        <w:ind w:firstLine="800" w:firstLineChars="250"/>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大竹县文星镇人民政府下属二级预算单位3个，其他事业单位3个。</w:t>
      </w:r>
    </w:p>
    <w:p>
      <w:pPr>
        <w:pStyle w:val="6"/>
        <w:adjustRightInd w:val="0"/>
        <w:snapToGrid w:val="0"/>
        <w:spacing w:before="93" w:line="600" w:lineRule="exact"/>
        <w:ind w:firstLine="672" w:firstLineChars="210"/>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纳入大竹县文星镇人民政府2023年度部门决算编制范围的二级预算单位包括：</w:t>
      </w:r>
    </w:p>
    <w:p>
      <w:pPr>
        <w:pStyle w:val="6"/>
        <w:numPr>
          <w:ilvl w:val="0"/>
          <w:numId w:val="2"/>
        </w:numPr>
        <w:adjustRightInd w:val="0"/>
        <w:snapToGrid w:val="0"/>
        <w:spacing w:before="93" w:line="600" w:lineRule="exact"/>
        <w:outlineLvl w:val="2"/>
        <w:rPr>
          <w:rFonts w:ascii="仿宋" w:hAnsi="仿宋" w:eastAsia="仿宋"/>
          <w:sz w:val="32"/>
          <w:szCs w:val="32"/>
          <w:highlight w:val="none"/>
        </w:rPr>
      </w:pPr>
      <w:r>
        <w:rPr>
          <w:rFonts w:hint="eastAsia" w:ascii="仿宋" w:hAnsi="仿宋" w:eastAsia="仿宋"/>
          <w:sz w:val="32"/>
          <w:szCs w:val="32"/>
          <w:highlight w:val="none"/>
          <w:lang w:eastAsia="zh-CN"/>
        </w:rPr>
        <w:t>大竹县文星镇农业技术推广站</w:t>
      </w:r>
    </w:p>
    <w:p>
      <w:pPr>
        <w:pStyle w:val="6"/>
        <w:numPr>
          <w:ilvl w:val="0"/>
          <w:numId w:val="2"/>
        </w:numPr>
        <w:adjustRightInd w:val="0"/>
        <w:snapToGrid w:val="0"/>
        <w:spacing w:before="93" w:line="600" w:lineRule="exact"/>
        <w:outlineLvl w:val="2"/>
        <w:rPr>
          <w:rFonts w:ascii="仿宋" w:hAnsi="仿宋" w:eastAsia="仿宋"/>
          <w:sz w:val="32"/>
          <w:szCs w:val="32"/>
          <w:highlight w:val="none"/>
        </w:rPr>
      </w:pPr>
      <w:r>
        <w:rPr>
          <w:rFonts w:hint="eastAsia" w:ascii="仿宋" w:hAnsi="仿宋" w:eastAsia="仿宋"/>
          <w:sz w:val="32"/>
          <w:szCs w:val="32"/>
          <w:highlight w:val="none"/>
          <w:lang w:eastAsia="zh-CN"/>
        </w:rPr>
        <w:t>大竹县文星镇社会服务事务中心</w:t>
      </w:r>
    </w:p>
    <w:p>
      <w:pPr>
        <w:pStyle w:val="6"/>
        <w:numPr>
          <w:ilvl w:val="0"/>
          <w:numId w:val="2"/>
        </w:numPr>
        <w:adjustRightInd w:val="0"/>
        <w:snapToGrid w:val="0"/>
        <w:spacing w:before="93" w:line="600" w:lineRule="exact"/>
        <w:outlineLvl w:val="2"/>
        <w:rPr>
          <w:rFonts w:ascii="仿宋" w:hAnsi="仿宋" w:eastAsia="仿宋"/>
          <w:sz w:val="32"/>
          <w:szCs w:val="32"/>
          <w:highlight w:val="none"/>
        </w:rPr>
      </w:pPr>
      <w:r>
        <w:rPr>
          <w:rFonts w:hint="eastAsia" w:ascii="仿宋" w:hAnsi="仿宋" w:eastAsia="仿宋"/>
          <w:sz w:val="32"/>
          <w:szCs w:val="32"/>
          <w:highlight w:val="none"/>
          <w:lang w:eastAsia="zh-CN"/>
        </w:rPr>
        <w:t>大竹县文星镇便民服务中心</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p>
      <w:pPr>
        <w:pStyle w:val="27"/>
        <w:numPr>
          <w:ilvl w:val="0"/>
          <w:numId w:val="3"/>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2023年度收入为2619.96万元，与2022年度相比，收入增加945.98万元，增长56.51%，主要变动原因是2023年项目较多、支出</w:t>
      </w:r>
      <w:r>
        <w:rPr>
          <w:rFonts w:hint="eastAsia" w:ascii="仿宋" w:hAnsi="仿宋" w:eastAsia="仿宋"/>
          <w:sz w:val="32"/>
          <w:szCs w:val="32"/>
          <w:lang w:eastAsia="zh-CN"/>
        </w:rPr>
        <w:t>总</w:t>
      </w:r>
      <w:r>
        <w:rPr>
          <w:rFonts w:hint="eastAsia" w:ascii="仿宋" w:hAnsi="仿宋" w:eastAsia="仿宋"/>
          <w:sz w:val="32"/>
          <w:szCs w:val="32"/>
        </w:rPr>
        <w:t>额较大。2023年度支出2677.4万元，与2022年度相比，支出增加113.61万元，增长4.43%，主要变动原因是2023年项目支出增加。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highlight w:val="none"/>
          <w:lang w:eastAsia="zh-CN"/>
        </w:rPr>
        <w:drawing>
          <wp:anchor distT="0" distB="0" distL="114300" distR="114300" simplePos="0" relativeHeight="251659264" behindDoc="0" locked="0" layoutInCell="1" allowOverlap="1">
            <wp:simplePos x="0" y="0"/>
            <wp:positionH relativeFrom="column">
              <wp:posOffset>290830</wp:posOffset>
            </wp:positionH>
            <wp:positionV relativeFrom="paragraph">
              <wp:posOffset>121920</wp:posOffset>
            </wp:positionV>
            <wp:extent cx="4370705" cy="2113915"/>
            <wp:effectExtent l="5080" t="5080" r="5715"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7"/>
        <w:numPr>
          <w:ilvl w:val="0"/>
          <w:numId w:val="3"/>
        </w:numPr>
        <w:spacing w:line="600" w:lineRule="exact"/>
        <w:ind w:firstLine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b/>
          <w:sz w:val="32"/>
          <w:szCs w:val="32"/>
        </w:rPr>
      </w:pPr>
      <w:r>
        <w:rPr>
          <w:rFonts w:hint="eastAsia" w:ascii="仿宋" w:hAnsi="仿宋" w:eastAsia="仿宋"/>
          <w:sz w:val="32"/>
          <w:szCs w:val="32"/>
        </w:rPr>
        <w:t>2023年度本年收入合计2616.96万元，其中：一般公共预算财政拨款收入2240.07万元，占85.5%；政府性基金预算财政拨款收入379.89万元，占14.5%。</w:t>
      </w: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740410</wp:posOffset>
            </wp:positionH>
            <wp:positionV relativeFrom="paragraph">
              <wp:posOffset>-407035</wp:posOffset>
            </wp:positionV>
            <wp:extent cx="4275455" cy="2701925"/>
            <wp:effectExtent l="4445" t="5080" r="6350" b="1714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lang w:val="en-US" w:eastAsia="zh-CN"/>
        </w:rPr>
        <w:t xml:space="preserve">  </w:t>
      </w: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27"/>
        <w:numPr>
          <w:ilvl w:val="0"/>
          <w:numId w:val="3"/>
        </w:numPr>
        <w:spacing w:line="600" w:lineRule="exact"/>
        <w:ind w:firstLineChars="0"/>
        <w:outlineLvl w:val="1"/>
        <w:rPr>
          <w:rStyle w:val="29"/>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b/>
          <w:sz w:val="32"/>
          <w:szCs w:val="32"/>
        </w:rPr>
      </w:pPr>
      <w:r>
        <w:rPr>
          <w:rFonts w:hint="eastAsia" w:ascii="仿宋" w:hAnsi="仿宋" w:eastAsia="仿宋"/>
          <w:sz w:val="32"/>
          <w:szCs w:val="32"/>
        </w:rPr>
        <w:t>2023年度本年支出合计2677.4万元，其中：基本支出1448.4万元，占54.1%；项目支出1229万元，占45.9%。</w:t>
      </w: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600" w:lineRule="exact"/>
        <w:ind w:firstLine="640"/>
        <w:rPr>
          <w:rFonts w:ascii="仿宋" w:hAnsi="仿宋" w:eastAsia="仿宋"/>
          <w:sz w:val="32"/>
          <w:szCs w:val="32"/>
        </w:rPr>
      </w:pPr>
      <w:r>
        <w:rPr>
          <w:rFonts w:hint="eastAsia" w:ascii="仿宋" w:hAnsi="仿宋" w:eastAsia="仿宋"/>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1000125</wp:posOffset>
            </wp:positionH>
            <wp:positionV relativeFrom="paragraph">
              <wp:posOffset>154305</wp:posOffset>
            </wp:positionV>
            <wp:extent cx="3416300" cy="1983105"/>
            <wp:effectExtent l="5080" t="4445" r="7620" b="1270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9"/>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b/>
          <w:sz w:val="32"/>
          <w:szCs w:val="32"/>
        </w:rPr>
      </w:pPr>
      <w:r>
        <w:rPr>
          <w:rFonts w:hint="eastAsia" w:ascii="仿宋" w:hAnsi="仿宋" w:eastAsia="仿宋"/>
          <w:sz w:val="32"/>
          <w:szCs w:val="32"/>
        </w:rPr>
        <w:t>2023年度财政拨款收入2616.96万元。与2022年度相比，收入增加945.98万元，增长56.51%，主要变动原因是2023年项目较多、支出</w:t>
      </w:r>
      <w:r>
        <w:rPr>
          <w:rFonts w:hint="eastAsia" w:ascii="仿宋" w:hAnsi="仿宋" w:eastAsia="仿宋"/>
          <w:sz w:val="32"/>
          <w:szCs w:val="32"/>
          <w:lang w:eastAsia="zh-CN"/>
        </w:rPr>
        <w:t>总</w:t>
      </w:r>
      <w:r>
        <w:rPr>
          <w:rFonts w:hint="eastAsia" w:ascii="仿宋" w:hAnsi="仿宋" w:eastAsia="仿宋"/>
          <w:sz w:val="32"/>
          <w:szCs w:val="32"/>
        </w:rPr>
        <w:t>额较大。2023年度财政拨款支出2677.4万元，与2022年度相比，支出增加113.61万元，增长4.43%，主要变动原因是2023年项目支出增加。</w:t>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rPr>
          <w:rFonts w:ascii="仿宋" w:hAnsi="仿宋" w:eastAsia="仿宋"/>
          <w:sz w:val="32"/>
          <w:szCs w:val="32"/>
        </w:rPr>
      </w:pPr>
      <w:r>
        <w:rPr>
          <w:rFonts w:hint="eastAsia" w:ascii="仿宋" w:hAnsi="仿宋" w:eastAsia="仿宋"/>
          <w:sz w:val="32"/>
          <w:szCs w:val="32"/>
          <w:highlight w:val="none"/>
          <w:lang w:eastAsia="zh-CN"/>
        </w:rPr>
        <w:drawing>
          <wp:anchor distT="0" distB="0" distL="114300" distR="114300" simplePos="0" relativeHeight="251662336" behindDoc="0" locked="0" layoutInCell="1" allowOverlap="1">
            <wp:simplePos x="0" y="0"/>
            <wp:positionH relativeFrom="column">
              <wp:posOffset>358775</wp:posOffset>
            </wp:positionH>
            <wp:positionV relativeFrom="paragraph">
              <wp:posOffset>267970</wp:posOffset>
            </wp:positionV>
            <wp:extent cx="4370705" cy="2346960"/>
            <wp:effectExtent l="4445" t="5080" r="6350" b="1016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highlight w:val="none"/>
          <w:lang w:val="en-US" w:eastAsia="zh-CN"/>
        </w:rPr>
        <w:t xml:space="preserve">   </w:t>
      </w: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9"/>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2297.51万元，占本年支出合计的85.81%。与2022年度相比，一般公共预算财政拨款支出增减少230.39万元，下降9.11%。主要变动原因是本年政府性基金拨款项目支出增加，一般公共预算财政拨款支出比重下降。</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3360" behindDoc="0" locked="0" layoutInCell="1" allowOverlap="1">
            <wp:simplePos x="0" y="0"/>
            <wp:positionH relativeFrom="column">
              <wp:posOffset>212090</wp:posOffset>
            </wp:positionH>
            <wp:positionV relativeFrom="paragraph">
              <wp:posOffset>186690</wp:posOffset>
            </wp:positionV>
            <wp:extent cx="5166360" cy="2435225"/>
            <wp:effectExtent l="5080" t="4445" r="10160" b="1778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hint="eastAsia" w:eastAsia="仿宋"/>
          <w:sz w:val="32"/>
          <w:szCs w:val="32"/>
          <w:lang w:val="en-US" w:eastAsia="zh-CN"/>
        </w:rPr>
        <w:t>2297.51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612.06</w:t>
      </w:r>
      <w:r>
        <w:rPr>
          <w:rFonts w:hint="eastAsia" w:ascii="仿宋" w:hAnsi="仿宋" w:eastAsia="仿宋"/>
          <w:sz w:val="32"/>
          <w:szCs w:val="32"/>
        </w:rPr>
        <w:t>万元，占</w:t>
      </w:r>
      <w:r>
        <w:rPr>
          <w:rFonts w:hint="eastAsia" w:ascii="仿宋" w:hAnsi="仿宋" w:eastAsia="仿宋"/>
          <w:sz w:val="32"/>
          <w:szCs w:val="32"/>
          <w:lang w:val="en-US" w:eastAsia="zh-CN"/>
        </w:rPr>
        <w:t>26.64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val="0"/>
          <w:bCs w:val="0"/>
          <w:sz w:val="32"/>
          <w:szCs w:val="32"/>
          <w:lang w:val="en-US" w:eastAsia="zh-CN"/>
        </w:rPr>
        <w:t>84.07</w:t>
      </w:r>
      <w:r>
        <w:rPr>
          <w:rFonts w:hint="eastAsia" w:ascii="仿宋" w:hAnsi="仿宋" w:eastAsia="仿宋"/>
          <w:b w:val="0"/>
          <w:bCs w:val="0"/>
          <w:sz w:val="32"/>
          <w:szCs w:val="32"/>
        </w:rPr>
        <w:t>万元</w:t>
      </w:r>
      <w:r>
        <w:rPr>
          <w:rFonts w:hint="eastAsia" w:ascii="仿宋" w:hAnsi="仿宋" w:eastAsia="仿宋"/>
          <w:b/>
          <w:bCs/>
          <w:sz w:val="32"/>
          <w:szCs w:val="32"/>
        </w:rPr>
        <w:t>，占</w:t>
      </w:r>
      <w:r>
        <w:rPr>
          <w:rFonts w:hint="eastAsia" w:ascii="仿宋" w:hAnsi="仿宋" w:eastAsia="仿宋"/>
          <w:b/>
          <w:bCs/>
          <w:sz w:val="32"/>
          <w:szCs w:val="32"/>
          <w:lang w:val="en-US" w:eastAsia="zh-CN"/>
        </w:rPr>
        <w:t>3.66</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134.06</w:t>
      </w:r>
      <w:r>
        <w:rPr>
          <w:rFonts w:hint="eastAsia" w:ascii="仿宋" w:hAnsi="仿宋" w:eastAsia="仿宋"/>
          <w:sz w:val="32"/>
          <w:szCs w:val="32"/>
        </w:rPr>
        <w:t>万元，占</w:t>
      </w:r>
      <w:r>
        <w:rPr>
          <w:rFonts w:hint="eastAsia" w:ascii="仿宋" w:hAnsi="仿宋" w:eastAsia="仿宋"/>
          <w:sz w:val="32"/>
          <w:szCs w:val="32"/>
          <w:lang w:val="en-US" w:eastAsia="zh-CN"/>
        </w:rPr>
        <w:t>5.83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67.82</w:t>
      </w:r>
      <w:r>
        <w:rPr>
          <w:rFonts w:hint="eastAsia" w:ascii="仿宋" w:hAnsi="仿宋" w:eastAsia="仿宋"/>
          <w:sz w:val="32"/>
          <w:szCs w:val="32"/>
        </w:rPr>
        <w:t>万元，占</w:t>
      </w:r>
      <w:r>
        <w:rPr>
          <w:rFonts w:hint="eastAsia" w:ascii="仿宋" w:hAnsi="仿宋" w:eastAsia="仿宋"/>
          <w:sz w:val="32"/>
          <w:szCs w:val="32"/>
          <w:lang w:val="en-US" w:eastAsia="zh-CN"/>
        </w:rPr>
        <w:t>2.95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城乡社区支出</w:t>
      </w:r>
      <w:r>
        <w:rPr>
          <w:rFonts w:hint="eastAsia" w:ascii="仿宋" w:hAnsi="仿宋" w:eastAsia="仿宋"/>
          <w:sz w:val="32"/>
          <w:szCs w:val="32"/>
          <w:lang w:val="en-US" w:eastAsia="zh-CN"/>
        </w:rPr>
        <w:t>100.39</w:t>
      </w:r>
      <w:r>
        <w:rPr>
          <w:rFonts w:hint="eastAsia" w:ascii="仿宋" w:hAnsi="仿宋" w:eastAsia="仿宋"/>
          <w:sz w:val="32"/>
          <w:szCs w:val="32"/>
        </w:rPr>
        <w:t>万元，占支出比重</w:t>
      </w:r>
      <w:r>
        <w:rPr>
          <w:rFonts w:hint="eastAsia" w:ascii="仿宋" w:hAnsi="仿宋" w:eastAsia="仿宋"/>
          <w:sz w:val="32"/>
          <w:szCs w:val="32"/>
          <w:lang w:val="en-US" w:eastAsia="zh-CN"/>
        </w:rPr>
        <w:t>4.37</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rPr>
        <w:t>1173.56万元，占支出比重</w:t>
      </w:r>
      <w:r>
        <w:rPr>
          <w:rFonts w:hint="eastAsia" w:ascii="仿宋" w:hAnsi="仿宋" w:eastAsia="仿宋"/>
          <w:sz w:val="32"/>
          <w:szCs w:val="32"/>
          <w:lang w:val="en-US" w:eastAsia="zh-CN"/>
        </w:rPr>
        <w:t>51.08</w:t>
      </w:r>
      <w:r>
        <w:rPr>
          <w:rFonts w:hint="eastAsia" w:ascii="仿宋" w:hAnsi="仿宋" w:eastAsia="仿宋"/>
          <w:sz w:val="32"/>
          <w:szCs w:val="32"/>
        </w:rPr>
        <w:t>%；</w:t>
      </w:r>
      <w:r>
        <w:rPr>
          <w:rFonts w:hint="eastAsia" w:ascii="仿宋" w:hAnsi="仿宋" w:eastAsia="仿宋"/>
          <w:b/>
          <w:bCs/>
          <w:sz w:val="32"/>
          <w:szCs w:val="32"/>
        </w:rPr>
        <w:t>交通运输支出</w:t>
      </w:r>
      <w:r>
        <w:rPr>
          <w:rFonts w:hint="eastAsia" w:ascii="仿宋" w:hAnsi="仿宋" w:eastAsia="仿宋"/>
          <w:sz w:val="32"/>
          <w:szCs w:val="32"/>
        </w:rPr>
        <w:t>53.7万元，占支出比重</w:t>
      </w:r>
      <w:r>
        <w:rPr>
          <w:rFonts w:hint="eastAsia" w:ascii="仿宋" w:hAnsi="仿宋" w:eastAsia="仿宋"/>
          <w:sz w:val="32"/>
          <w:szCs w:val="32"/>
          <w:lang w:val="en-US" w:eastAsia="zh-CN"/>
        </w:rPr>
        <w:t>2.33</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71.85</w:t>
      </w:r>
      <w:r>
        <w:rPr>
          <w:rFonts w:hint="eastAsia" w:ascii="仿宋" w:hAnsi="仿宋" w:eastAsia="仿宋"/>
          <w:sz w:val="32"/>
          <w:szCs w:val="32"/>
        </w:rPr>
        <w:t>万元，占</w:t>
      </w:r>
      <w:r>
        <w:rPr>
          <w:rFonts w:hint="eastAsia" w:ascii="仿宋" w:hAnsi="仿宋" w:eastAsia="仿宋"/>
          <w:sz w:val="32"/>
          <w:szCs w:val="32"/>
          <w:lang w:val="en-US" w:eastAsia="zh-CN"/>
        </w:rPr>
        <w:t>3.13</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pPr>
        <w:spacing w:line="600" w:lineRule="exact"/>
        <w:ind w:firstLine="640"/>
        <w:rPr>
          <w:rFonts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4384" behindDoc="0" locked="0" layoutInCell="1" allowOverlap="1">
            <wp:simplePos x="0" y="0"/>
            <wp:positionH relativeFrom="column">
              <wp:posOffset>246380</wp:posOffset>
            </wp:positionH>
            <wp:positionV relativeFrom="paragraph">
              <wp:posOffset>181610</wp:posOffset>
            </wp:positionV>
            <wp:extent cx="4145915" cy="2790825"/>
            <wp:effectExtent l="4445" t="5080" r="21590" b="444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2297.51</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highlight w:val="none"/>
        </w:rPr>
      </w:pPr>
      <w:r>
        <w:rPr>
          <w:rStyle w:val="17"/>
          <w:rFonts w:ascii="仿宋" w:hAnsi="仿宋" w:eastAsia="仿宋"/>
          <w:bCs/>
          <w:sz w:val="32"/>
          <w:szCs w:val="32"/>
          <w:highlight w:val="none"/>
        </w:rPr>
        <w:t>1.</w:t>
      </w:r>
      <w:r>
        <w:rPr>
          <w:rStyle w:val="17"/>
          <w:rFonts w:hint="eastAsia" w:ascii="仿宋" w:hAnsi="仿宋" w:eastAsia="仿宋"/>
          <w:bCs/>
          <w:sz w:val="32"/>
          <w:szCs w:val="32"/>
          <w:highlight w:val="none"/>
        </w:rPr>
        <w:t>一般公共服务（类）政府办公厅（室）及相关机构事务（款）行政运行（项）</w:t>
      </w:r>
      <w:r>
        <w:rPr>
          <w:rStyle w:val="17"/>
          <w:rFonts w:ascii="仿宋" w:hAnsi="仿宋" w:eastAsia="仿宋"/>
          <w:bCs/>
          <w:sz w:val="32"/>
          <w:szCs w:val="32"/>
          <w:highlight w:val="none"/>
        </w:rPr>
        <w:t>:</w:t>
      </w:r>
      <w:r>
        <w:rPr>
          <w:rStyle w:val="17"/>
          <w:rFonts w:ascii="仿宋" w:hAnsi="仿宋" w:eastAsia="仿宋"/>
          <w:b w:val="0"/>
          <w:bCs/>
          <w:sz w:val="32"/>
          <w:szCs w:val="32"/>
          <w:highlight w:val="none"/>
        </w:rPr>
        <w:t xml:space="preserve"> </w:t>
      </w:r>
      <w:r>
        <w:rPr>
          <w:rStyle w:val="17"/>
          <w:rFonts w:hint="eastAsia" w:ascii="仿宋" w:hAnsi="仿宋" w:eastAsia="仿宋"/>
          <w:b w:val="0"/>
          <w:bCs/>
          <w:sz w:val="32"/>
          <w:szCs w:val="32"/>
          <w:highlight w:val="none"/>
        </w:rPr>
        <w:t>支出决算为</w:t>
      </w:r>
      <w:r>
        <w:rPr>
          <w:rStyle w:val="17"/>
          <w:rFonts w:hint="eastAsia" w:ascii="仿宋" w:hAnsi="仿宋" w:eastAsia="仿宋"/>
          <w:b w:val="0"/>
          <w:bCs/>
          <w:sz w:val="32"/>
          <w:szCs w:val="32"/>
          <w:highlight w:val="none"/>
          <w:lang w:val="en-US" w:eastAsia="zh-CN"/>
        </w:rPr>
        <w:t>474.74</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p>
    <w:p>
      <w:pPr>
        <w:spacing w:line="600" w:lineRule="exact"/>
        <w:ind w:firstLine="643" w:firstLineChars="200"/>
        <w:rPr>
          <w:rStyle w:val="17"/>
          <w:rFonts w:hint="eastAsia" w:ascii="仿宋" w:hAnsi="仿宋" w:eastAsia="仿宋"/>
          <w:bCs/>
          <w:sz w:val="32"/>
          <w:szCs w:val="32"/>
          <w:highlight w:val="none"/>
        </w:rPr>
      </w:pPr>
      <w:r>
        <w:rPr>
          <w:rStyle w:val="17"/>
          <w:rFonts w:hint="eastAsia" w:ascii="仿宋" w:hAnsi="仿宋" w:eastAsia="仿宋"/>
          <w:bCs/>
          <w:sz w:val="32"/>
          <w:szCs w:val="32"/>
          <w:highlight w:val="none"/>
        </w:rPr>
        <w:t>2.一般公共服务（类）政府办公厅（室）及相关机构事务（款）</w:t>
      </w:r>
      <w:r>
        <w:rPr>
          <w:rStyle w:val="17"/>
          <w:rFonts w:hint="eastAsia" w:ascii="仿宋" w:hAnsi="仿宋" w:eastAsia="仿宋"/>
          <w:bCs/>
          <w:sz w:val="32"/>
          <w:szCs w:val="32"/>
          <w:highlight w:val="none"/>
          <w:lang w:eastAsia="zh-CN"/>
        </w:rPr>
        <w:t>信访事务</w:t>
      </w:r>
      <w:r>
        <w:rPr>
          <w:rStyle w:val="17"/>
          <w:rFonts w:hint="eastAsia" w:ascii="仿宋" w:hAnsi="仿宋" w:eastAsia="仿宋"/>
          <w:bCs/>
          <w:sz w:val="32"/>
          <w:szCs w:val="32"/>
          <w:highlight w:val="none"/>
        </w:rPr>
        <w:t>（项）:</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15</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3.一般公共服务（类）政府办公厅（室）及相关机构事务（款）其他政府办公厅（室）及相关机构事务（项）:</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78.29</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4.一般公共服务（类）财政事务（款）事业运行（项）:</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26.03</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5.一般公共服务（类）纪检监察事务（款）其他纪检监察事务（项）:</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10</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Cs/>
          <w:sz w:val="32"/>
          <w:szCs w:val="32"/>
          <w:highlight w:val="none"/>
        </w:rPr>
      </w:pPr>
      <w:r>
        <w:rPr>
          <w:rStyle w:val="17"/>
          <w:rFonts w:hint="eastAsia" w:ascii="仿宋" w:hAnsi="仿宋" w:eastAsia="仿宋"/>
          <w:bCs/>
          <w:sz w:val="32"/>
          <w:szCs w:val="32"/>
          <w:highlight w:val="none"/>
          <w:lang w:val="en-US" w:eastAsia="zh-CN"/>
        </w:rPr>
        <w:t>6</w:t>
      </w:r>
      <w:r>
        <w:rPr>
          <w:rStyle w:val="17"/>
          <w:rFonts w:hint="eastAsia" w:ascii="仿宋" w:hAnsi="仿宋" w:eastAsia="仿宋"/>
          <w:bCs/>
          <w:sz w:val="32"/>
          <w:szCs w:val="32"/>
          <w:highlight w:val="none"/>
        </w:rPr>
        <w:t>.一般公共服务（类）</w:t>
      </w:r>
      <w:r>
        <w:rPr>
          <w:rStyle w:val="17"/>
          <w:rFonts w:hint="eastAsia" w:ascii="仿宋" w:hAnsi="仿宋" w:eastAsia="仿宋"/>
          <w:bCs/>
          <w:sz w:val="32"/>
          <w:szCs w:val="32"/>
          <w:highlight w:val="none"/>
          <w:lang w:eastAsia="zh-CN"/>
        </w:rPr>
        <w:t>其他一般公共服务</w:t>
      </w:r>
      <w:r>
        <w:rPr>
          <w:rStyle w:val="17"/>
          <w:rFonts w:hint="eastAsia" w:ascii="仿宋" w:hAnsi="仿宋" w:eastAsia="仿宋"/>
          <w:bCs/>
          <w:sz w:val="32"/>
          <w:szCs w:val="32"/>
          <w:highlight w:val="none"/>
        </w:rPr>
        <w:t>（款）</w:t>
      </w:r>
      <w:r>
        <w:rPr>
          <w:rStyle w:val="17"/>
          <w:rFonts w:hint="eastAsia" w:ascii="仿宋" w:hAnsi="仿宋" w:eastAsia="仿宋"/>
          <w:bCs/>
          <w:sz w:val="32"/>
          <w:szCs w:val="32"/>
          <w:highlight w:val="none"/>
          <w:lang w:eastAsia="zh-CN"/>
        </w:rPr>
        <w:t>其他一般公共服务</w:t>
      </w:r>
      <w:r>
        <w:rPr>
          <w:rStyle w:val="17"/>
          <w:rFonts w:hint="eastAsia" w:ascii="仿宋" w:hAnsi="仿宋" w:eastAsia="仿宋"/>
          <w:bCs/>
          <w:sz w:val="32"/>
          <w:szCs w:val="32"/>
          <w:highlight w:val="none"/>
        </w:rPr>
        <w:t>（项）:</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8</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lang w:val="en-US" w:eastAsia="zh-CN"/>
        </w:rPr>
        <w:t>7</w:t>
      </w:r>
      <w:r>
        <w:rPr>
          <w:rStyle w:val="17"/>
          <w:rFonts w:hint="eastAsia" w:ascii="仿宋" w:hAnsi="仿宋" w:eastAsia="仿宋"/>
          <w:bCs/>
          <w:sz w:val="32"/>
          <w:szCs w:val="32"/>
          <w:highlight w:val="none"/>
        </w:rPr>
        <w:t>.文化旅游体育与传媒（类）文化和旅游（款）群众文化（项）:</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61.47</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lang w:val="en-US" w:eastAsia="zh-CN"/>
        </w:rPr>
        <w:t>8</w:t>
      </w:r>
      <w:r>
        <w:rPr>
          <w:rStyle w:val="17"/>
          <w:rFonts w:hint="eastAsia" w:ascii="仿宋" w:hAnsi="仿宋" w:eastAsia="仿宋"/>
          <w:bCs/>
          <w:sz w:val="32"/>
          <w:szCs w:val="32"/>
          <w:highlight w:val="none"/>
        </w:rPr>
        <w:t>.文化旅游体育与传媒（类）文化和旅游（款）其他文化和旅游（项）:</w:t>
      </w:r>
      <w:r>
        <w:rPr>
          <w:rStyle w:val="17"/>
          <w:rFonts w:hint="eastAsia" w:ascii="仿宋" w:hAnsi="仿宋" w:eastAsia="仿宋"/>
          <w:b w:val="0"/>
          <w:bCs w:val="0"/>
          <w:sz w:val="32"/>
          <w:szCs w:val="32"/>
          <w:highlight w:val="none"/>
        </w:rPr>
        <w:t>支出决算为5万元，完成预算100%。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lang w:val="en-US" w:eastAsia="zh-CN"/>
        </w:rPr>
        <w:t>9</w:t>
      </w:r>
      <w:r>
        <w:rPr>
          <w:rStyle w:val="17"/>
          <w:rFonts w:hint="eastAsia" w:ascii="仿宋" w:hAnsi="仿宋" w:eastAsia="仿宋"/>
          <w:bCs/>
          <w:sz w:val="32"/>
          <w:szCs w:val="32"/>
          <w:highlight w:val="none"/>
        </w:rPr>
        <w:t>.文化旅游体育与传媒（类）</w:t>
      </w:r>
      <w:r>
        <w:rPr>
          <w:rStyle w:val="17"/>
          <w:rFonts w:hint="eastAsia" w:ascii="仿宋" w:hAnsi="仿宋" w:eastAsia="仿宋"/>
          <w:bCs/>
          <w:sz w:val="32"/>
          <w:szCs w:val="32"/>
          <w:highlight w:val="none"/>
          <w:lang w:eastAsia="zh-CN"/>
        </w:rPr>
        <w:t>其他</w:t>
      </w:r>
      <w:r>
        <w:rPr>
          <w:rStyle w:val="17"/>
          <w:rFonts w:hint="eastAsia" w:ascii="仿宋" w:hAnsi="仿宋" w:eastAsia="仿宋"/>
          <w:bCs/>
          <w:sz w:val="32"/>
          <w:szCs w:val="32"/>
          <w:highlight w:val="none"/>
        </w:rPr>
        <w:t>文化旅游</w:t>
      </w:r>
      <w:r>
        <w:rPr>
          <w:rStyle w:val="17"/>
          <w:rFonts w:hint="eastAsia" w:ascii="仿宋" w:hAnsi="仿宋" w:eastAsia="仿宋"/>
          <w:bCs/>
          <w:sz w:val="32"/>
          <w:szCs w:val="32"/>
          <w:highlight w:val="none"/>
          <w:lang w:eastAsia="zh-CN"/>
        </w:rPr>
        <w:t>体育与传媒</w:t>
      </w:r>
      <w:r>
        <w:rPr>
          <w:rStyle w:val="17"/>
          <w:rFonts w:hint="eastAsia" w:ascii="仿宋" w:hAnsi="仿宋" w:eastAsia="仿宋"/>
          <w:bCs/>
          <w:sz w:val="32"/>
          <w:szCs w:val="32"/>
          <w:highlight w:val="none"/>
        </w:rPr>
        <w:t>（款）其他文化旅游体育与传媒（项）:</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17.6</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1</w:t>
      </w:r>
      <w:r>
        <w:rPr>
          <w:rStyle w:val="17"/>
          <w:rFonts w:hint="eastAsia" w:ascii="仿宋" w:hAnsi="仿宋" w:eastAsia="仿宋"/>
          <w:bCs/>
          <w:sz w:val="32"/>
          <w:szCs w:val="32"/>
          <w:highlight w:val="none"/>
          <w:lang w:val="en-US" w:eastAsia="zh-CN"/>
        </w:rPr>
        <w:t>0</w:t>
      </w:r>
      <w:r>
        <w:rPr>
          <w:rStyle w:val="17"/>
          <w:rFonts w:hint="eastAsia" w:ascii="仿宋" w:hAnsi="仿宋" w:eastAsia="仿宋"/>
          <w:bCs/>
          <w:sz w:val="32"/>
          <w:szCs w:val="32"/>
          <w:highlight w:val="none"/>
        </w:rPr>
        <w:t>.社会保障和就业（类）行政事业单位养老（款）行政单位离退休（项）:</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4.45</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1</w:t>
      </w:r>
      <w:r>
        <w:rPr>
          <w:rStyle w:val="17"/>
          <w:rFonts w:hint="eastAsia" w:ascii="仿宋" w:hAnsi="仿宋" w:eastAsia="仿宋"/>
          <w:bCs/>
          <w:sz w:val="32"/>
          <w:szCs w:val="32"/>
          <w:highlight w:val="none"/>
          <w:lang w:val="en-US" w:eastAsia="zh-CN"/>
        </w:rPr>
        <w:t>1</w:t>
      </w:r>
      <w:r>
        <w:rPr>
          <w:rStyle w:val="17"/>
          <w:rFonts w:hint="eastAsia" w:ascii="仿宋" w:hAnsi="仿宋" w:eastAsia="仿宋"/>
          <w:bCs/>
          <w:sz w:val="32"/>
          <w:szCs w:val="32"/>
          <w:highlight w:val="none"/>
        </w:rPr>
        <w:t>.社会保障和就业（类）行政事业单位养老（款）机关事业单位基本养老保险缴费（项）:</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19.44</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1</w:t>
      </w:r>
      <w:r>
        <w:rPr>
          <w:rStyle w:val="17"/>
          <w:rFonts w:hint="eastAsia" w:ascii="仿宋" w:hAnsi="仿宋" w:eastAsia="仿宋"/>
          <w:bCs/>
          <w:sz w:val="32"/>
          <w:szCs w:val="32"/>
          <w:highlight w:val="none"/>
          <w:lang w:val="en-US" w:eastAsia="zh-CN"/>
        </w:rPr>
        <w:t>2</w:t>
      </w:r>
      <w:r>
        <w:rPr>
          <w:rStyle w:val="17"/>
          <w:rFonts w:hint="eastAsia" w:ascii="仿宋" w:hAnsi="仿宋" w:eastAsia="仿宋"/>
          <w:bCs/>
          <w:sz w:val="32"/>
          <w:szCs w:val="32"/>
          <w:highlight w:val="none"/>
        </w:rPr>
        <w:t>.社会保障和就业（类）行政事业单位养老（款）机关事业单位职业年金缴费（项）:</w:t>
      </w:r>
      <w:r>
        <w:rPr>
          <w:rStyle w:val="17"/>
          <w:rFonts w:hint="eastAsia" w:ascii="仿宋" w:hAnsi="仿宋" w:eastAsia="仿宋"/>
          <w:b w:val="0"/>
          <w:bCs w:val="0"/>
          <w:sz w:val="32"/>
          <w:szCs w:val="32"/>
          <w:highlight w:val="none"/>
        </w:rPr>
        <w:t>支出决算为10.</w:t>
      </w:r>
      <w:r>
        <w:rPr>
          <w:rStyle w:val="17"/>
          <w:rFonts w:hint="eastAsia" w:ascii="仿宋" w:hAnsi="仿宋" w:eastAsia="仿宋"/>
          <w:b w:val="0"/>
          <w:bCs w:val="0"/>
          <w:sz w:val="32"/>
          <w:szCs w:val="32"/>
          <w:highlight w:val="none"/>
          <w:lang w:val="en-US" w:eastAsia="zh-CN"/>
        </w:rPr>
        <w:t>9</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1</w:t>
      </w:r>
      <w:r>
        <w:rPr>
          <w:rStyle w:val="17"/>
          <w:rFonts w:hint="eastAsia" w:ascii="仿宋" w:hAnsi="仿宋" w:eastAsia="仿宋"/>
          <w:bCs/>
          <w:sz w:val="32"/>
          <w:szCs w:val="32"/>
          <w:highlight w:val="none"/>
          <w:lang w:val="en-US" w:eastAsia="zh-CN"/>
        </w:rPr>
        <w:t>3</w:t>
      </w:r>
      <w:r>
        <w:rPr>
          <w:rStyle w:val="17"/>
          <w:rFonts w:hint="eastAsia" w:ascii="仿宋" w:hAnsi="仿宋" w:eastAsia="仿宋"/>
          <w:bCs/>
          <w:sz w:val="32"/>
          <w:szCs w:val="32"/>
          <w:highlight w:val="none"/>
        </w:rPr>
        <w:t>.社会保障和就业（类）</w:t>
      </w:r>
      <w:r>
        <w:rPr>
          <w:rStyle w:val="17"/>
          <w:rFonts w:hint="eastAsia" w:ascii="仿宋" w:hAnsi="仿宋" w:eastAsia="仿宋"/>
          <w:bCs/>
          <w:sz w:val="32"/>
          <w:szCs w:val="32"/>
          <w:highlight w:val="none"/>
          <w:lang w:eastAsia="zh-CN"/>
        </w:rPr>
        <w:t>就业补助</w:t>
      </w:r>
      <w:r>
        <w:rPr>
          <w:rStyle w:val="17"/>
          <w:rFonts w:hint="eastAsia" w:ascii="仿宋" w:hAnsi="仿宋" w:eastAsia="仿宋"/>
          <w:bCs/>
          <w:sz w:val="32"/>
          <w:szCs w:val="32"/>
          <w:highlight w:val="none"/>
        </w:rPr>
        <w:t>（款）</w:t>
      </w:r>
      <w:r>
        <w:rPr>
          <w:rStyle w:val="17"/>
          <w:rFonts w:hint="eastAsia" w:ascii="仿宋" w:hAnsi="仿宋" w:eastAsia="仿宋"/>
          <w:bCs/>
          <w:sz w:val="32"/>
          <w:szCs w:val="32"/>
          <w:highlight w:val="none"/>
          <w:lang w:eastAsia="zh-CN"/>
        </w:rPr>
        <w:t>公益岗位补贴</w:t>
      </w:r>
      <w:r>
        <w:rPr>
          <w:rStyle w:val="17"/>
          <w:rFonts w:hint="eastAsia" w:ascii="仿宋" w:hAnsi="仿宋" w:eastAsia="仿宋"/>
          <w:bCs/>
          <w:sz w:val="32"/>
          <w:szCs w:val="32"/>
          <w:highlight w:val="none"/>
        </w:rPr>
        <w:t>（项）:</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27.61</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Cs/>
          <w:sz w:val="32"/>
          <w:szCs w:val="32"/>
          <w:highlight w:val="none"/>
        </w:rPr>
      </w:pPr>
      <w:r>
        <w:rPr>
          <w:rStyle w:val="17"/>
          <w:rFonts w:hint="eastAsia" w:ascii="仿宋" w:hAnsi="仿宋" w:eastAsia="仿宋"/>
          <w:bCs/>
          <w:sz w:val="32"/>
          <w:szCs w:val="32"/>
          <w:highlight w:val="none"/>
        </w:rPr>
        <w:t>1</w:t>
      </w:r>
      <w:r>
        <w:rPr>
          <w:rStyle w:val="17"/>
          <w:rFonts w:hint="eastAsia" w:ascii="仿宋" w:hAnsi="仿宋" w:eastAsia="仿宋"/>
          <w:bCs/>
          <w:sz w:val="32"/>
          <w:szCs w:val="32"/>
          <w:highlight w:val="none"/>
          <w:lang w:val="en-US" w:eastAsia="zh-CN"/>
        </w:rPr>
        <w:t>4</w:t>
      </w:r>
      <w:r>
        <w:rPr>
          <w:rStyle w:val="17"/>
          <w:rFonts w:hint="eastAsia" w:ascii="仿宋" w:hAnsi="仿宋" w:eastAsia="仿宋"/>
          <w:bCs/>
          <w:sz w:val="32"/>
          <w:szCs w:val="32"/>
          <w:highlight w:val="none"/>
        </w:rPr>
        <w:t>.社会保障和就业（类）抚恤（款）死亡抚恤（项）:</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66.54</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1</w:t>
      </w:r>
      <w:r>
        <w:rPr>
          <w:rStyle w:val="17"/>
          <w:rFonts w:hint="eastAsia" w:ascii="仿宋" w:hAnsi="仿宋" w:eastAsia="仿宋"/>
          <w:bCs/>
          <w:sz w:val="32"/>
          <w:szCs w:val="32"/>
          <w:highlight w:val="none"/>
          <w:lang w:val="en-US" w:eastAsia="zh-CN"/>
        </w:rPr>
        <w:t>5</w:t>
      </w:r>
      <w:r>
        <w:rPr>
          <w:rStyle w:val="17"/>
          <w:rFonts w:hint="eastAsia" w:ascii="仿宋" w:hAnsi="仿宋" w:eastAsia="仿宋"/>
          <w:bCs/>
          <w:sz w:val="32"/>
          <w:szCs w:val="32"/>
          <w:highlight w:val="none"/>
        </w:rPr>
        <w:t>.社会保障和就业（类）</w:t>
      </w:r>
      <w:r>
        <w:rPr>
          <w:rStyle w:val="17"/>
          <w:rFonts w:hint="eastAsia" w:ascii="仿宋" w:hAnsi="仿宋" w:eastAsia="仿宋"/>
          <w:bCs/>
          <w:sz w:val="32"/>
          <w:szCs w:val="32"/>
          <w:highlight w:val="none"/>
          <w:lang w:eastAsia="zh-CN"/>
        </w:rPr>
        <w:t>其他</w:t>
      </w:r>
      <w:r>
        <w:rPr>
          <w:rStyle w:val="17"/>
          <w:rFonts w:hint="eastAsia" w:ascii="仿宋" w:hAnsi="仿宋" w:eastAsia="仿宋"/>
          <w:bCs/>
          <w:sz w:val="32"/>
          <w:szCs w:val="32"/>
          <w:highlight w:val="none"/>
        </w:rPr>
        <w:t>社会保障和就业（款）</w:t>
      </w:r>
      <w:r>
        <w:rPr>
          <w:rStyle w:val="17"/>
          <w:rFonts w:hint="eastAsia" w:ascii="仿宋" w:hAnsi="仿宋" w:eastAsia="仿宋"/>
          <w:bCs/>
          <w:sz w:val="32"/>
          <w:szCs w:val="32"/>
          <w:highlight w:val="none"/>
          <w:lang w:eastAsia="zh-CN"/>
        </w:rPr>
        <w:t>其他</w:t>
      </w:r>
      <w:r>
        <w:rPr>
          <w:rStyle w:val="17"/>
          <w:rFonts w:hint="eastAsia" w:ascii="仿宋" w:hAnsi="仿宋" w:eastAsia="仿宋"/>
          <w:bCs/>
          <w:sz w:val="32"/>
          <w:szCs w:val="32"/>
          <w:highlight w:val="none"/>
        </w:rPr>
        <w:t>社会保障和就业（项）:</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5.12</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16.卫生健康（类）计划生育事务（款）计划生育机构（项）:</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52.87</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17.卫生健康（类）行政事业单位医疗（款）行政单位医疗（项）:</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6.01</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18.卫生健康（类）行政事业单位医疗（款）事业单位医疗（项）:</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3.31</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19.卫生健康（类）行政事业单位医疗（款）公务员医疗补助（项）:</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5.63</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Cs/>
          <w:sz w:val="32"/>
          <w:szCs w:val="32"/>
          <w:highlight w:val="none"/>
        </w:rPr>
      </w:pPr>
      <w:r>
        <w:rPr>
          <w:rStyle w:val="17"/>
          <w:rFonts w:hint="eastAsia" w:ascii="仿宋" w:hAnsi="仿宋" w:eastAsia="仿宋"/>
          <w:bCs/>
          <w:sz w:val="32"/>
          <w:szCs w:val="32"/>
          <w:highlight w:val="none"/>
        </w:rPr>
        <w:t>2</w:t>
      </w:r>
      <w:r>
        <w:rPr>
          <w:rStyle w:val="17"/>
          <w:rFonts w:hint="eastAsia" w:ascii="仿宋" w:hAnsi="仿宋" w:eastAsia="仿宋"/>
          <w:bCs/>
          <w:sz w:val="32"/>
          <w:szCs w:val="32"/>
          <w:highlight w:val="none"/>
          <w:lang w:val="en-US" w:eastAsia="zh-CN"/>
        </w:rPr>
        <w:t>0</w:t>
      </w:r>
      <w:r>
        <w:rPr>
          <w:rStyle w:val="17"/>
          <w:rFonts w:hint="eastAsia" w:ascii="仿宋" w:hAnsi="仿宋" w:eastAsia="仿宋"/>
          <w:bCs/>
          <w:sz w:val="32"/>
          <w:szCs w:val="32"/>
          <w:highlight w:val="none"/>
        </w:rPr>
        <w:t xml:space="preserve">.城乡社区（类）城乡社区环境卫生（款）城乡社区环境卫生（项）: </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92.89</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Cs/>
          <w:sz w:val="32"/>
          <w:szCs w:val="32"/>
          <w:highlight w:val="none"/>
        </w:rPr>
      </w:pPr>
      <w:r>
        <w:rPr>
          <w:rStyle w:val="17"/>
          <w:rFonts w:hint="eastAsia" w:ascii="仿宋" w:hAnsi="仿宋" w:eastAsia="仿宋"/>
          <w:bCs/>
          <w:sz w:val="32"/>
          <w:szCs w:val="32"/>
          <w:highlight w:val="none"/>
        </w:rPr>
        <w:t>2</w:t>
      </w:r>
      <w:r>
        <w:rPr>
          <w:rStyle w:val="17"/>
          <w:rFonts w:hint="eastAsia" w:ascii="仿宋" w:hAnsi="仿宋" w:eastAsia="仿宋"/>
          <w:bCs/>
          <w:sz w:val="32"/>
          <w:szCs w:val="32"/>
          <w:highlight w:val="none"/>
          <w:lang w:val="en-US" w:eastAsia="zh-CN"/>
        </w:rPr>
        <w:t>1</w:t>
      </w:r>
      <w:r>
        <w:rPr>
          <w:rStyle w:val="17"/>
          <w:rFonts w:hint="eastAsia" w:ascii="仿宋" w:hAnsi="仿宋" w:eastAsia="仿宋"/>
          <w:bCs/>
          <w:sz w:val="32"/>
          <w:szCs w:val="32"/>
          <w:highlight w:val="none"/>
        </w:rPr>
        <w:t xml:space="preserve">.城乡社区（类）其他城乡社区（款）其他城乡社区（项）: </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7.5</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2</w:t>
      </w:r>
      <w:r>
        <w:rPr>
          <w:rStyle w:val="17"/>
          <w:rFonts w:hint="eastAsia" w:ascii="仿宋" w:hAnsi="仿宋" w:eastAsia="仿宋"/>
          <w:bCs/>
          <w:sz w:val="32"/>
          <w:szCs w:val="32"/>
          <w:highlight w:val="none"/>
          <w:lang w:val="en-US" w:eastAsia="zh-CN"/>
        </w:rPr>
        <w:t>2</w:t>
      </w:r>
      <w:r>
        <w:rPr>
          <w:rStyle w:val="17"/>
          <w:rFonts w:hint="eastAsia" w:ascii="仿宋" w:hAnsi="仿宋" w:eastAsia="仿宋"/>
          <w:bCs/>
          <w:sz w:val="32"/>
          <w:szCs w:val="32"/>
          <w:highlight w:val="none"/>
        </w:rPr>
        <w:t>.农林水（类）农业农村（款）事业运行（项）:</w:t>
      </w:r>
      <w:r>
        <w:rPr>
          <w:rStyle w:val="17"/>
          <w:rFonts w:hint="eastAsia" w:ascii="仿宋" w:hAnsi="仿宋" w:eastAsia="仿宋"/>
          <w:b w:val="0"/>
          <w:bCs w:val="0"/>
          <w:sz w:val="32"/>
          <w:szCs w:val="32"/>
          <w:highlight w:val="none"/>
        </w:rPr>
        <w:t xml:space="preserve"> 支出决算为</w:t>
      </w:r>
      <w:r>
        <w:rPr>
          <w:rStyle w:val="17"/>
          <w:rFonts w:hint="eastAsia" w:ascii="仿宋" w:hAnsi="仿宋" w:eastAsia="仿宋"/>
          <w:b w:val="0"/>
          <w:bCs w:val="0"/>
          <w:sz w:val="32"/>
          <w:szCs w:val="32"/>
          <w:highlight w:val="none"/>
          <w:lang w:val="en-US" w:eastAsia="zh-CN"/>
        </w:rPr>
        <w:t>228.06</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2</w:t>
      </w:r>
      <w:r>
        <w:rPr>
          <w:rStyle w:val="17"/>
          <w:rFonts w:hint="eastAsia" w:ascii="仿宋" w:hAnsi="仿宋" w:eastAsia="仿宋"/>
          <w:bCs/>
          <w:sz w:val="32"/>
          <w:szCs w:val="32"/>
          <w:highlight w:val="none"/>
          <w:lang w:val="en-US" w:eastAsia="zh-CN"/>
        </w:rPr>
        <w:t>3</w:t>
      </w:r>
      <w:r>
        <w:rPr>
          <w:rStyle w:val="17"/>
          <w:rFonts w:hint="eastAsia" w:ascii="仿宋" w:hAnsi="仿宋" w:eastAsia="仿宋"/>
          <w:bCs/>
          <w:sz w:val="32"/>
          <w:szCs w:val="32"/>
          <w:highlight w:val="none"/>
        </w:rPr>
        <w:t>.农林水（类）农业农村（款）</w:t>
      </w:r>
      <w:r>
        <w:rPr>
          <w:rStyle w:val="17"/>
          <w:rFonts w:hint="eastAsia" w:ascii="仿宋" w:hAnsi="仿宋" w:eastAsia="仿宋"/>
          <w:bCs/>
          <w:sz w:val="32"/>
          <w:szCs w:val="32"/>
          <w:highlight w:val="none"/>
          <w:lang w:eastAsia="zh-CN"/>
        </w:rPr>
        <w:t>病虫害控制</w:t>
      </w:r>
      <w:r>
        <w:rPr>
          <w:rStyle w:val="17"/>
          <w:rFonts w:hint="eastAsia" w:ascii="仿宋" w:hAnsi="仿宋" w:eastAsia="仿宋"/>
          <w:bCs/>
          <w:sz w:val="32"/>
          <w:szCs w:val="32"/>
          <w:highlight w:val="none"/>
        </w:rPr>
        <w:t xml:space="preserve">（项）: </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0.8</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 xml:space="preserve">24.农林水（类）农业农村（款）农村道路建设（项）: </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7</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Cs/>
          <w:sz w:val="32"/>
          <w:szCs w:val="32"/>
          <w:highlight w:val="none"/>
        </w:rPr>
      </w:pPr>
      <w:r>
        <w:rPr>
          <w:rStyle w:val="17"/>
          <w:rFonts w:hint="eastAsia" w:ascii="仿宋" w:hAnsi="仿宋" w:eastAsia="仿宋"/>
          <w:bCs/>
          <w:sz w:val="32"/>
          <w:szCs w:val="32"/>
          <w:highlight w:val="none"/>
        </w:rPr>
        <w:t xml:space="preserve">25.农林水（类）农业农村（款）其他农业农村（项）: </w:t>
      </w:r>
      <w:r>
        <w:rPr>
          <w:rStyle w:val="17"/>
          <w:rFonts w:hint="eastAsia" w:ascii="仿宋" w:hAnsi="仿宋" w:eastAsia="仿宋"/>
          <w:b w:val="0"/>
          <w:bCs w:val="0"/>
          <w:color w:val="auto"/>
          <w:sz w:val="32"/>
          <w:szCs w:val="32"/>
          <w:highlight w:val="none"/>
        </w:rPr>
        <w:t>支出决算为</w:t>
      </w:r>
      <w:r>
        <w:rPr>
          <w:rStyle w:val="17"/>
          <w:rFonts w:hint="eastAsia" w:ascii="仿宋" w:hAnsi="仿宋" w:eastAsia="仿宋"/>
          <w:b w:val="0"/>
          <w:bCs w:val="0"/>
          <w:color w:val="auto"/>
          <w:sz w:val="32"/>
          <w:szCs w:val="32"/>
          <w:highlight w:val="none"/>
          <w:lang w:val="en-US" w:eastAsia="zh-CN"/>
        </w:rPr>
        <w:t>112.34</w:t>
      </w:r>
      <w:r>
        <w:rPr>
          <w:rStyle w:val="17"/>
          <w:rFonts w:hint="eastAsia" w:ascii="仿宋" w:hAnsi="仿宋" w:eastAsia="仿宋"/>
          <w:b w:val="0"/>
          <w:bCs w:val="0"/>
          <w:color w:val="auto"/>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2</w:t>
      </w:r>
      <w:r>
        <w:rPr>
          <w:rStyle w:val="17"/>
          <w:rFonts w:hint="eastAsia" w:ascii="仿宋" w:hAnsi="仿宋" w:eastAsia="仿宋"/>
          <w:bCs/>
          <w:sz w:val="32"/>
          <w:szCs w:val="32"/>
          <w:highlight w:val="none"/>
          <w:lang w:val="en-US" w:eastAsia="zh-CN"/>
        </w:rPr>
        <w:t>6</w:t>
      </w:r>
      <w:r>
        <w:rPr>
          <w:rStyle w:val="17"/>
          <w:rFonts w:hint="eastAsia" w:ascii="仿宋" w:hAnsi="仿宋" w:eastAsia="仿宋"/>
          <w:bCs/>
          <w:sz w:val="32"/>
          <w:szCs w:val="32"/>
          <w:highlight w:val="none"/>
        </w:rPr>
        <w:t xml:space="preserve">.农林水（类）巩固脱贫衔接乡村振兴（款）其他巩固脱贫衔接乡村振兴（项）: </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319</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2</w:t>
      </w:r>
      <w:r>
        <w:rPr>
          <w:rStyle w:val="17"/>
          <w:rFonts w:hint="eastAsia" w:ascii="仿宋" w:hAnsi="仿宋" w:eastAsia="仿宋"/>
          <w:bCs/>
          <w:sz w:val="32"/>
          <w:szCs w:val="32"/>
          <w:highlight w:val="none"/>
          <w:lang w:val="en-US" w:eastAsia="zh-CN"/>
        </w:rPr>
        <w:t>7</w:t>
      </w:r>
      <w:r>
        <w:rPr>
          <w:rStyle w:val="17"/>
          <w:rFonts w:hint="eastAsia" w:ascii="仿宋" w:hAnsi="仿宋" w:eastAsia="仿宋"/>
          <w:bCs/>
          <w:sz w:val="32"/>
          <w:szCs w:val="32"/>
          <w:highlight w:val="none"/>
        </w:rPr>
        <w:t xml:space="preserve">.农林水（类）农村综合改革（款）对村级公益事业建设的补助（项）: </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131</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 w:val="0"/>
          <w:bCs w:val="0"/>
          <w:sz w:val="32"/>
          <w:szCs w:val="32"/>
          <w:highlight w:val="none"/>
        </w:rPr>
      </w:pPr>
      <w:r>
        <w:rPr>
          <w:rStyle w:val="17"/>
          <w:rFonts w:hint="eastAsia" w:ascii="仿宋" w:hAnsi="仿宋" w:eastAsia="仿宋"/>
          <w:bCs/>
          <w:sz w:val="32"/>
          <w:szCs w:val="32"/>
          <w:highlight w:val="none"/>
        </w:rPr>
        <w:t>2</w:t>
      </w:r>
      <w:r>
        <w:rPr>
          <w:rStyle w:val="17"/>
          <w:rFonts w:hint="eastAsia" w:ascii="仿宋" w:hAnsi="仿宋" w:eastAsia="仿宋"/>
          <w:bCs/>
          <w:sz w:val="32"/>
          <w:szCs w:val="32"/>
          <w:highlight w:val="none"/>
          <w:lang w:val="en-US" w:eastAsia="zh-CN"/>
        </w:rPr>
        <w:t>8</w:t>
      </w:r>
      <w:r>
        <w:rPr>
          <w:rStyle w:val="17"/>
          <w:rFonts w:hint="eastAsia" w:ascii="仿宋" w:hAnsi="仿宋" w:eastAsia="仿宋"/>
          <w:bCs/>
          <w:sz w:val="32"/>
          <w:szCs w:val="32"/>
          <w:highlight w:val="none"/>
        </w:rPr>
        <w:t xml:space="preserve">.农林水（类）农村综合改革（款）对村民委员会和村党支部的补助（项）: </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360.36</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Cs/>
          <w:sz w:val="32"/>
          <w:szCs w:val="32"/>
          <w:highlight w:val="none"/>
        </w:rPr>
      </w:pPr>
      <w:r>
        <w:rPr>
          <w:rStyle w:val="17"/>
          <w:rFonts w:hint="eastAsia" w:ascii="仿宋" w:hAnsi="仿宋" w:eastAsia="仿宋"/>
          <w:bCs/>
          <w:sz w:val="32"/>
          <w:szCs w:val="32"/>
          <w:highlight w:val="none"/>
          <w:lang w:val="en-US" w:eastAsia="zh-CN"/>
        </w:rPr>
        <w:t>29</w:t>
      </w:r>
      <w:r>
        <w:rPr>
          <w:rStyle w:val="17"/>
          <w:rFonts w:hint="eastAsia" w:ascii="仿宋" w:hAnsi="仿宋" w:eastAsia="仿宋"/>
          <w:bCs/>
          <w:sz w:val="32"/>
          <w:szCs w:val="32"/>
          <w:highlight w:val="none"/>
        </w:rPr>
        <w:t>.农林水（类）农村综合改革（款）农村综合改革示范试点补助（项）:</w:t>
      </w:r>
      <w:r>
        <w:rPr>
          <w:rStyle w:val="17"/>
          <w:rFonts w:hint="eastAsia" w:ascii="仿宋" w:hAnsi="仿宋" w:eastAsia="仿宋"/>
          <w:b w:val="0"/>
          <w:bCs w:val="0"/>
          <w:sz w:val="32"/>
          <w:szCs w:val="32"/>
          <w:highlight w:val="none"/>
        </w:rPr>
        <w:t xml:space="preserve"> 支出决算为</w:t>
      </w:r>
      <w:r>
        <w:rPr>
          <w:rStyle w:val="17"/>
          <w:rFonts w:hint="eastAsia" w:ascii="仿宋" w:hAnsi="仿宋" w:eastAsia="仿宋"/>
          <w:b w:val="0"/>
          <w:bCs w:val="0"/>
          <w:sz w:val="32"/>
          <w:szCs w:val="32"/>
          <w:highlight w:val="none"/>
          <w:lang w:val="en-US" w:eastAsia="zh-CN"/>
        </w:rPr>
        <w:t>15</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hint="eastAsia" w:ascii="仿宋" w:hAnsi="仿宋" w:eastAsia="仿宋"/>
          <w:bCs/>
          <w:sz w:val="32"/>
          <w:szCs w:val="32"/>
          <w:highlight w:val="none"/>
        </w:rPr>
      </w:pPr>
      <w:r>
        <w:rPr>
          <w:rStyle w:val="17"/>
          <w:rFonts w:hint="eastAsia" w:ascii="仿宋" w:hAnsi="仿宋" w:eastAsia="仿宋"/>
          <w:bCs/>
          <w:sz w:val="32"/>
          <w:szCs w:val="32"/>
          <w:highlight w:val="none"/>
        </w:rPr>
        <w:t>3</w:t>
      </w:r>
      <w:r>
        <w:rPr>
          <w:rStyle w:val="17"/>
          <w:rFonts w:hint="eastAsia" w:ascii="仿宋" w:hAnsi="仿宋" w:eastAsia="仿宋"/>
          <w:bCs/>
          <w:sz w:val="32"/>
          <w:szCs w:val="32"/>
          <w:highlight w:val="none"/>
          <w:lang w:val="en-US" w:eastAsia="zh-CN"/>
        </w:rPr>
        <w:t>0</w:t>
      </w:r>
      <w:r>
        <w:rPr>
          <w:rStyle w:val="17"/>
          <w:rFonts w:hint="eastAsia" w:ascii="仿宋" w:hAnsi="仿宋" w:eastAsia="仿宋"/>
          <w:bCs/>
          <w:sz w:val="32"/>
          <w:szCs w:val="32"/>
          <w:highlight w:val="none"/>
        </w:rPr>
        <w:t>.交通运输（类）公路水路运输（款）公路</w:t>
      </w:r>
      <w:r>
        <w:rPr>
          <w:rStyle w:val="17"/>
          <w:rFonts w:hint="eastAsia" w:ascii="仿宋" w:hAnsi="仿宋" w:eastAsia="仿宋"/>
          <w:bCs/>
          <w:sz w:val="32"/>
          <w:szCs w:val="32"/>
          <w:highlight w:val="none"/>
          <w:lang w:eastAsia="zh-CN"/>
        </w:rPr>
        <w:t>养护</w:t>
      </w:r>
      <w:r>
        <w:rPr>
          <w:rStyle w:val="17"/>
          <w:rFonts w:hint="eastAsia" w:ascii="仿宋" w:hAnsi="仿宋" w:eastAsia="仿宋"/>
          <w:bCs/>
          <w:sz w:val="32"/>
          <w:szCs w:val="32"/>
          <w:highlight w:val="none"/>
        </w:rPr>
        <w:t xml:space="preserve">（项）: </w:t>
      </w:r>
      <w:r>
        <w:rPr>
          <w:rStyle w:val="17"/>
          <w:rFonts w:hint="eastAsia" w:ascii="仿宋" w:hAnsi="仿宋" w:eastAsia="仿宋"/>
          <w:b w:val="0"/>
          <w:bCs w:val="0"/>
          <w:color w:val="auto"/>
          <w:sz w:val="32"/>
          <w:szCs w:val="32"/>
          <w:highlight w:val="none"/>
        </w:rPr>
        <w:t>支出决算为</w:t>
      </w:r>
      <w:r>
        <w:rPr>
          <w:rStyle w:val="17"/>
          <w:rFonts w:hint="eastAsia" w:ascii="仿宋" w:hAnsi="仿宋" w:eastAsia="仿宋"/>
          <w:b w:val="0"/>
          <w:bCs w:val="0"/>
          <w:color w:val="auto"/>
          <w:sz w:val="32"/>
          <w:szCs w:val="32"/>
          <w:highlight w:val="none"/>
          <w:lang w:val="en-US" w:eastAsia="zh-CN"/>
        </w:rPr>
        <w:t>23.26</w:t>
      </w:r>
      <w:r>
        <w:rPr>
          <w:rStyle w:val="17"/>
          <w:rFonts w:hint="eastAsia" w:ascii="仿宋" w:hAnsi="仿宋" w:eastAsia="仿宋"/>
          <w:b w:val="0"/>
          <w:bCs w:val="0"/>
          <w:color w:val="auto"/>
          <w:sz w:val="32"/>
          <w:szCs w:val="32"/>
          <w:highlight w:val="none"/>
        </w:rPr>
        <w:t>万元，完成预算100%。</w:t>
      </w:r>
    </w:p>
    <w:p>
      <w:pPr>
        <w:spacing w:line="600" w:lineRule="exact"/>
        <w:ind w:firstLine="643" w:firstLineChars="200"/>
        <w:rPr>
          <w:rStyle w:val="17"/>
          <w:rFonts w:hint="eastAsia" w:ascii="仿宋" w:hAnsi="仿宋" w:eastAsia="仿宋"/>
          <w:bCs/>
          <w:sz w:val="32"/>
          <w:szCs w:val="32"/>
          <w:highlight w:val="none"/>
        </w:rPr>
      </w:pPr>
      <w:r>
        <w:rPr>
          <w:rStyle w:val="17"/>
          <w:rFonts w:hint="eastAsia" w:ascii="仿宋" w:hAnsi="仿宋" w:eastAsia="仿宋"/>
          <w:bCs/>
          <w:sz w:val="32"/>
          <w:szCs w:val="32"/>
          <w:highlight w:val="none"/>
        </w:rPr>
        <w:t>3</w:t>
      </w:r>
      <w:r>
        <w:rPr>
          <w:rStyle w:val="17"/>
          <w:rFonts w:hint="eastAsia" w:ascii="仿宋" w:hAnsi="仿宋" w:eastAsia="仿宋"/>
          <w:bCs/>
          <w:sz w:val="32"/>
          <w:szCs w:val="32"/>
          <w:highlight w:val="none"/>
          <w:lang w:val="en-US" w:eastAsia="zh-CN"/>
        </w:rPr>
        <w:t>1</w:t>
      </w:r>
      <w:r>
        <w:rPr>
          <w:rStyle w:val="17"/>
          <w:rFonts w:hint="eastAsia" w:ascii="仿宋" w:hAnsi="仿宋" w:eastAsia="仿宋"/>
          <w:bCs/>
          <w:sz w:val="32"/>
          <w:szCs w:val="32"/>
          <w:highlight w:val="none"/>
        </w:rPr>
        <w:t xml:space="preserve">.交通运输（类）公路水路运输（款）其他公路水路运输（项）: </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30.44</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Style w:val="17"/>
          <w:rFonts w:ascii="仿宋" w:hAnsi="仿宋" w:eastAsia="仿宋"/>
          <w:bCs/>
          <w:sz w:val="32"/>
          <w:szCs w:val="32"/>
          <w:highlight w:val="none"/>
        </w:rPr>
      </w:pPr>
      <w:r>
        <w:rPr>
          <w:rStyle w:val="17"/>
          <w:rFonts w:hint="eastAsia" w:ascii="仿宋" w:hAnsi="仿宋" w:eastAsia="仿宋"/>
          <w:bCs/>
          <w:sz w:val="32"/>
          <w:szCs w:val="32"/>
          <w:highlight w:val="none"/>
        </w:rPr>
        <w:t xml:space="preserve">32.住房保障（类）住房改革（款）住房公积金（项）: </w:t>
      </w:r>
      <w:r>
        <w:rPr>
          <w:rStyle w:val="17"/>
          <w:rFonts w:hint="eastAsia" w:ascii="仿宋" w:hAnsi="仿宋" w:eastAsia="仿宋"/>
          <w:b w:val="0"/>
          <w:bCs w:val="0"/>
          <w:sz w:val="32"/>
          <w:szCs w:val="32"/>
          <w:highlight w:val="none"/>
        </w:rPr>
        <w:t>支出决算为</w:t>
      </w:r>
      <w:r>
        <w:rPr>
          <w:rStyle w:val="17"/>
          <w:rFonts w:hint="eastAsia" w:ascii="仿宋" w:hAnsi="仿宋" w:eastAsia="仿宋"/>
          <w:b w:val="0"/>
          <w:bCs w:val="0"/>
          <w:sz w:val="32"/>
          <w:szCs w:val="32"/>
          <w:highlight w:val="none"/>
          <w:lang w:val="en-US" w:eastAsia="zh-CN"/>
        </w:rPr>
        <w:t>71.85</w:t>
      </w:r>
      <w:r>
        <w:rPr>
          <w:rStyle w:val="17"/>
          <w:rFonts w:hint="eastAsia" w:ascii="仿宋" w:hAnsi="仿宋" w:eastAsia="仿宋"/>
          <w:b w:val="0"/>
          <w:bCs w:val="0"/>
          <w:sz w:val="32"/>
          <w:szCs w:val="32"/>
          <w:highlight w:val="none"/>
        </w:rPr>
        <w:t>万元，完成预算100%。</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9"/>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1448.4</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ascii="仿宋" w:hAnsi="仿宋" w:eastAsia="仿宋"/>
          <w:b/>
          <w:sz w:val="32"/>
          <w:szCs w:val="32"/>
        </w:rPr>
        <w:t>1314.33</w:t>
      </w:r>
      <w:r>
        <w:rPr>
          <w:rFonts w:hint="eastAsia" w:ascii="仿宋" w:hAnsi="仿宋" w:eastAsia="仿宋"/>
          <w:sz w:val="32"/>
          <w:szCs w:val="32"/>
        </w:rPr>
        <w:t>万元，主要包括：基本工资、津贴补贴、奖金、绩效工资、机关事业单位基本养老保险缴费、职业年金缴费、职工基本医疗保险缴费、公务员医疗补助缴费、其他社会保障缴费、住房公积金、其他工资福利支出、抚恤金、生活补助、其他对个人和家庭的补助支出等。</w:t>
      </w:r>
    </w:p>
    <w:p>
      <w:pPr>
        <w:spacing w:line="600" w:lineRule="exact"/>
        <w:ind w:firstLine="645"/>
        <w:rPr>
          <w:rFonts w:hint="eastAsia" w:ascii="仿宋" w:hAnsi="仿宋" w:eastAsia="仿宋"/>
          <w:sz w:val="32"/>
          <w:szCs w:val="32"/>
        </w:rPr>
      </w:pPr>
      <w:r>
        <w:rPr>
          <w:rFonts w:hint="eastAsia" w:ascii="仿宋" w:hAnsi="仿宋" w:eastAsia="仿宋"/>
          <w:sz w:val="32"/>
          <w:szCs w:val="32"/>
        </w:rPr>
        <w:t>　　公用经费</w:t>
      </w:r>
      <w:r>
        <w:rPr>
          <w:rFonts w:ascii="仿宋" w:hAnsi="仿宋" w:eastAsia="仿宋"/>
          <w:b/>
          <w:sz w:val="32"/>
          <w:szCs w:val="32"/>
        </w:rPr>
        <w:t>134.07</w:t>
      </w:r>
      <w:r>
        <w:rPr>
          <w:rFonts w:hint="eastAsia" w:ascii="仿宋" w:hAnsi="仿宋" w:eastAsia="仿宋"/>
          <w:sz w:val="32"/>
          <w:szCs w:val="32"/>
        </w:rPr>
        <w:t>万元，主要包括：办公费、手续费、水费、电费、邮电费、差旅费、维修（护）费、会议费、培训费、公务接待费、劳务费、委托业务费、工会经费、福利费、其他交通费、其他商品和服务支出等。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9.78</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较上年度增加</w:t>
      </w:r>
      <w:r>
        <w:rPr>
          <w:rFonts w:hint="eastAsia" w:ascii="仿宋" w:hAnsi="仿宋" w:eastAsia="仿宋"/>
          <w:sz w:val="32"/>
          <w:szCs w:val="32"/>
          <w:highlight w:val="none"/>
          <w:lang w:val="en-US" w:eastAsia="zh-CN"/>
        </w:rPr>
        <w:t>6.71</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222.92</w:t>
      </w:r>
      <w:r>
        <w:rPr>
          <w:rFonts w:hint="eastAsia" w:ascii="仿宋" w:hAnsi="仿宋" w:eastAsia="仿宋"/>
          <w:sz w:val="32"/>
          <w:szCs w:val="32"/>
          <w:highlight w:val="none"/>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9.78</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default" w:ascii="Times New Roman" w:hAnsi="Times New Roman" w:eastAsia="仿宋" w:cs="Times New Roman"/>
          <w:color w:val="auto"/>
          <w:sz w:val="32"/>
          <w:szCs w:val="32"/>
          <w:highlight w:val="none"/>
          <w:lang w:eastAsia="zh-CN"/>
        </w:rPr>
        <w:drawing>
          <wp:anchor distT="0" distB="0" distL="114300" distR="114300" simplePos="0" relativeHeight="251665408" behindDoc="0" locked="0" layoutInCell="1" allowOverlap="1">
            <wp:simplePos x="0" y="0"/>
            <wp:positionH relativeFrom="column">
              <wp:posOffset>436880</wp:posOffset>
            </wp:positionH>
            <wp:positionV relativeFrom="paragraph">
              <wp:posOffset>267970</wp:posOffset>
            </wp:positionV>
            <wp:extent cx="4794250" cy="2594610"/>
            <wp:effectExtent l="4445" t="4445" r="20955" b="10795"/>
            <wp:wrapTopAndBottom/>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（图7：“三公”经费财政拨款支出结构）（饼状图）</w:t>
      </w:r>
    </w:p>
    <w:p>
      <w:pPr>
        <w:spacing w:line="600" w:lineRule="exact"/>
        <w:ind w:firstLine="640"/>
        <w:rPr>
          <w:rFonts w:hint="eastAsia" w:ascii="仿宋_GB2312" w:eastAsia="仿宋_GB2312"/>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人。因公出国（境）支出决算较2022年没有增减变化。</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highlight w:val="none"/>
        </w:rPr>
        <w:t>公务用车购置及运行维护费支出决算</w:t>
      </w:r>
      <w:r>
        <w:rPr>
          <w:rFonts w:hint="eastAsia" w:ascii="仿宋_GB2312" w:eastAsia="仿宋_GB2312"/>
          <w:sz w:val="32"/>
          <w:szCs w:val="32"/>
          <w:lang w:eastAsia="zh-CN"/>
        </w:rPr>
        <w:t>较</w:t>
      </w:r>
      <w:r>
        <w:rPr>
          <w:rFonts w:hint="eastAsia" w:ascii="仿宋_GB2312" w:eastAsia="仿宋_GB2312"/>
          <w:sz w:val="32"/>
          <w:szCs w:val="32"/>
        </w:rPr>
        <w:t>2022年</w:t>
      </w:r>
      <w:r>
        <w:rPr>
          <w:rFonts w:hint="eastAsia" w:ascii="仿宋_GB2312" w:eastAsia="仿宋_GB2312"/>
          <w:sz w:val="32"/>
          <w:szCs w:val="32"/>
          <w:lang w:eastAsia="zh-CN"/>
        </w:rPr>
        <w:t>没有增减变化</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万元。全年按规定更新购置公务用车0辆，其中：轿车0辆、金额0万元，越野车0辆、金额0万元，载客汽车0辆、金额0万元。截至2023年12月31日，单位共有公务用车0辆，其中：轿车0辆、越野车0辆、载客汽车0辆。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9.78</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公务接待费支出决算比2022年度增加6.71万元，增长222.92%。主要原因是迎接上级部门检查，产生了接待费。其中：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9.78</w:t>
      </w:r>
      <w:r>
        <w:rPr>
          <w:rFonts w:hint="eastAsia" w:ascii="仿宋_GB2312" w:eastAsia="仿宋_GB2312"/>
          <w:sz w:val="32"/>
          <w:szCs w:val="32"/>
        </w:rPr>
        <w:t>万元，主要用于执行公务、开展业务活动开支的交通费、住宿费、用餐费等。国内公务接待152批次，50人次（不包括陪同人员），共计支出9.78万元，具体内容包括：迎接上级检查9.78万元。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379.89</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29"/>
          <w:rFonts w:ascii="黑体" w:hAnsi="黑体" w:eastAsia="黑体"/>
          <w:b w:val="0"/>
        </w:rPr>
      </w:pPr>
      <w:bookmarkStart w:id="42" w:name="_Toc15396611"/>
      <w:bookmarkStart w:id="43" w:name="_Toc15377219"/>
      <w:r>
        <w:rPr>
          <w:rStyle w:val="29"/>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29"/>
          <w:rFonts w:ascii="黑体" w:hAnsi="黑体" w:eastAsia="黑体"/>
          <w:b w:val="0"/>
        </w:rPr>
      </w:pPr>
      <w:bookmarkStart w:id="44" w:name="_Toc15377221"/>
      <w:bookmarkStart w:id="45" w:name="_Toc15396612"/>
      <w:r>
        <w:rPr>
          <w:rStyle w:val="29"/>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大竹县文星镇人民政府</w:t>
      </w:r>
      <w:r>
        <w:rPr>
          <w:rFonts w:hint="eastAsia" w:ascii="仿宋_GB2312" w:eastAsia="仿宋_GB2312"/>
          <w:sz w:val="32"/>
          <w:szCs w:val="32"/>
        </w:rPr>
        <w:t>机关运行经费支出</w:t>
      </w:r>
      <w:r>
        <w:rPr>
          <w:rFonts w:ascii="仿宋" w:hAnsi="仿宋" w:eastAsia="仿宋"/>
          <w:b/>
          <w:sz w:val="32"/>
          <w:szCs w:val="32"/>
        </w:rPr>
        <w:t>134.07</w:t>
      </w:r>
      <w:r>
        <w:rPr>
          <w:rFonts w:hint="eastAsia" w:ascii="仿宋_GB2312" w:eastAsia="仿宋_GB2312"/>
          <w:sz w:val="32"/>
          <w:szCs w:val="32"/>
        </w:rPr>
        <w:t>万元，比2022年度减少45.2万元，下降25.21%。主要原因是缩减开支，公用经费缩减。</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大竹县文星镇人民政府</w:t>
      </w:r>
      <w:bookmarkStart w:id="67" w:name="_GoBack"/>
      <w:r>
        <w:rPr>
          <w:rFonts w:hint="eastAsia" w:ascii="仿宋_GB2312" w:eastAsia="仿宋_GB2312"/>
          <w:b w:val="0"/>
          <w:bCs/>
          <w:sz w:val="32"/>
          <w:szCs w:val="32"/>
          <w:lang w:eastAsia="zh-CN"/>
        </w:rPr>
        <w:t>的政府</w:t>
      </w:r>
      <w:bookmarkEnd w:id="67"/>
      <w:r>
        <w:rPr>
          <w:rFonts w:hint="eastAsia" w:ascii="仿宋_GB2312" w:eastAsia="仿宋_GB2312"/>
          <w:sz w:val="32"/>
          <w:szCs w:val="32"/>
        </w:rPr>
        <w:t>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大竹县文星镇人民政府</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根据预算绩效管理要求，本单位在2023年度预算编制阶段，组织对文星——童家（杨通）乡村振兴示范区建设项目开展了预算事前绩效评估，对</w:t>
      </w:r>
      <w:r>
        <w:rPr>
          <w:rFonts w:hint="eastAsia" w:ascii="仿宋_GB2312" w:eastAsia="仿宋_GB2312"/>
          <w:sz w:val="32"/>
          <w:szCs w:val="32"/>
          <w:lang w:val="en-US" w:eastAsia="zh-CN"/>
        </w:rPr>
        <w:t>32</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1</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21</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5"/>
        </w:numPr>
        <w:spacing w:line="600" w:lineRule="exact"/>
        <w:ind w:firstLine="660" w:firstLineChars="150"/>
        <w:jc w:val="center"/>
        <w:outlineLvl w:val="0"/>
        <w:rPr>
          <w:rStyle w:val="28"/>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8"/>
          <w:rFonts w:hint="eastAsia" w:ascii="黑体" w:hAnsi="黑体" w:eastAsia="黑体"/>
          <w:b w:val="0"/>
        </w:rPr>
        <w:t>词解释</w:t>
      </w:r>
      <w:bookmarkEnd w:id="49"/>
      <w:bookmarkEnd w:id="50"/>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pPr>
        <w:pStyle w:val="26"/>
        <w:spacing w:line="560" w:lineRule="exact"/>
        <w:ind w:firstLine="640" w:firstLineChars="200"/>
        <w:rPr>
          <w:rFonts w:ascii="仿宋_GB2312" w:eastAsia="仿宋_GB2312" w:cs="黑体"/>
          <w:color w:val="auto"/>
          <w:sz w:val="32"/>
          <w:szCs w:val="32"/>
        </w:rPr>
      </w:pPr>
    </w:p>
    <w:p>
      <w:pPr>
        <w:ind w:firstLine="643" w:firstLineChars="200"/>
        <w:rPr>
          <w:rFonts w:hint="eastAsia" w:ascii="仿宋" w:hAnsi="仿宋" w:eastAsia="仿宋"/>
          <w:b/>
          <w:sz w:val="32"/>
          <w:szCs w:val="32"/>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Style w:val="28"/>
          <w:rFonts w:ascii="黑体" w:hAnsi="黑体" w:eastAsia="黑体"/>
          <w:b w:val="0"/>
        </w:rPr>
      </w:pPr>
      <w:bookmarkStart w:id="51" w:name="_Toc15396614"/>
      <w:bookmarkStart w:id="52" w:name="_Toc15377226"/>
      <w:r>
        <w:rPr>
          <w:rFonts w:hint="eastAsia" w:ascii="黑体" w:hAnsi="黑体" w:eastAsia="黑体"/>
          <w:sz w:val="44"/>
          <w:szCs w:val="44"/>
        </w:rPr>
        <w:t>第</w:t>
      </w:r>
      <w:r>
        <w:rPr>
          <w:rStyle w:val="28"/>
          <w:rFonts w:hint="eastAsia" w:ascii="黑体" w:hAnsi="黑体" w:eastAsia="黑体"/>
          <w:b w:val="0"/>
        </w:rPr>
        <w:t>四部分 附件</w:t>
      </w:r>
      <w:bookmarkEnd w:id="51"/>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tbl>
      <w:tblPr>
        <w:tblStyle w:val="15"/>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2028"/>
        <w:gridCol w:w="1758"/>
        <w:gridCol w:w="2239"/>
        <w:gridCol w:w="519"/>
        <w:gridCol w:w="1659"/>
        <w:gridCol w:w="519"/>
        <w:gridCol w:w="1087"/>
        <w:gridCol w:w="505"/>
        <w:gridCol w:w="576"/>
        <w:gridCol w:w="2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51172422T000005671081-2021年方斗村奖补（存量资金）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拨付2021年方斗村财政奖补资金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项目验收合格后，按合同约定金额拨付了工程款。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硬化村道路水泥硬化4000米，建设标准3.5米宽、0.2米厚。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121.66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121.66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121.66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121.66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道路建设质量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合格不合格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该项目地完成巩固了村镇建设扶贫成果，不断改善人们的生产、生活环境，促进经济发展。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51172422T000005671997-正邦集团进场道路路面建设（存量资金）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拨付正邦集团及长道路路面建设资金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正邦集团路面已建设完成并在验收合格后，拨付了该项目资金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围绕龙门村正邦集团进场道路建设款4.5米路基工程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建设完成后质量检测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合格不合格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为正邦集团运输生猪提供了便利条件，同时促进了文星镇生猪产业发展。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51172422T000006123545-2020年度乡村振兴县级补助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拨付2020年乡村振兴县级补助</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环境治理效果显著，场镇环境及基础设施得到改善。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按照人口居住条件，规划治理方案及项目实施地点，修建垃圾池，聘用保洁员清理河道，硬化道路，让群众出行更加方便，为保障群众居住及用水环境，修建水渠与维修堡坎。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修建垃圾池雨棚及垃圾池门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新建垃圾池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聘请河道保洁员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修建6组水渠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道路硬化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551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维修5组道路堡坎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按时完成垃圾清运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整治农村环境，完善产业发展链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根据场镇实际情况修建垃圾处理池及硬化道路，更好的保障群众居住及出行条件，环境治理效果显著。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51172422T000006346891-莲花村2022年3、4、6组道路建设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拨付莲花村3.4.6组道路建设款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莲花村村内道路建设项目已全部建设完成，并顺利通过县级全覆盖验收。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于莲花村4.5.6组内硬化村内道路2.5公里，建设标准3.5米宽、0.2米厚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道路建设宽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道路建设长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经济交易更加频繁</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群众出入便捷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通过实施该项目，群众生产生活带来便利，带动群众增收致富，促进了全村经济发展。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51172422T000006346915-桥头村道路扩宽建设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拨付桥头村道路扩宽建设款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该道路扩宽建设工程已竣工验收，并按照程序拨付工程款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对村道进行加宽，总工程长2300米，宽1米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道路扩宽宽度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道路扩宽长度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经济交易更加频繁</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群众出行更加便捷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为群众出行提供了便利，方便村内与外界的经济交易，促进村集体经济发展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51172422T000006346968-方斗村1-9组道路建设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拨付方斗村1-9组道路建设款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该道路建设工程已竣工验收，并按照程序拨付工程款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在方斗村范围内建设长4000米，宽3.5米的道路工程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199.45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199.45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199.45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199.45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道路建设长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道路建设宽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经济交易更加便捷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群众出行更加便利</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为群众出行提供了便利，方便村内与外界的经济交易，促进村集体经济发展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51172422T000006346994-坛水村生产便道建设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拨付坛水村生产便道建设款</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该村生产便道建设工程已竣工验收，并按照程序拨付工程款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在坛水村内修建长5000米，宽1.2米的生产便道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生产便道长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生产便道宽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经济交易更加频繁</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群众出行更加便捷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为群众出行提供了便利，方便村内与外界的经济交易，促进村集体经济发展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51172422T000006837673-文化站图书馆免费开放资金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拨付文化站图书馆免费开放资金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文化站、图书馆开放活动如期开展，得到群众积极的反馈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对文化站图书馆工作人员开展培训，举办文化展览，对群众开放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文化站、图书馆流通人次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举办文化展览次数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工作人员培训次数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文化站、图书馆开放时间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积极吸引群众参加文化活动，增强了社会凝聚力与向心力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51172422T000006863239-市级财政衔接推进乡村振兴补助资金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拨付市级财政衔接推进乡村振兴补助资金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该项目暂未拨款实施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嫁接柑橘树</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修建垃圾池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促进农村产业发展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村民居住环境改善</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嫁接柑橘成本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51172423T000007590432-2022年交通应急专项资金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拨付2022年交通应急专项资金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该项目暂未拨款实施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51172423T000008245710-公共文化服务体系建设专项资金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拨付公共文化服务体系建设资金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聘用管理人员管理文化站，积极开展文化活动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购买书籍，开展文化服务活动，对外展览，定期维护文化站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54.66%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54.66%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54.66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54.66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通过文化服务体系建设，确保群众享受基本的文化服务，满足他们的精神文化需求，提升乡村文明程度，存进社会和谐稳定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部分资金未到位，该项目未达到预期绩效目标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积极向上争取资金，将文化站建设完善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51172423T000008781051-政法专项补助经费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拨付便民服务中心改造资金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便民服务中心已改建完成并投入使用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对便民</w:t>
            </w:r>
            <w:r>
              <w:rPr>
                <w:rFonts w:hint="eastAsia" w:ascii="宋体" w:hAnsi="宋体" w:cs="宋体"/>
                <w:i w:val="0"/>
                <w:iCs w:val="0"/>
                <w:color w:val="000000"/>
                <w:kern w:val="0"/>
                <w:sz w:val="18"/>
                <w:szCs w:val="18"/>
                <w:u w:val="none"/>
                <w:lang w:val="en-US" w:eastAsia="zh-CN" w:bidi="ar"/>
              </w:rPr>
              <w:t>服务中心</w:t>
            </w:r>
            <w:r>
              <w:rPr>
                <w:rFonts w:ascii="宋体" w:hAnsi="宋体" w:eastAsia="宋体" w:cs="宋体"/>
                <w:i w:val="0"/>
                <w:iCs w:val="0"/>
                <w:color w:val="000000"/>
                <w:kern w:val="0"/>
                <w:sz w:val="18"/>
                <w:szCs w:val="18"/>
                <w:u w:val="none"/>
                <w:lang w:val="en-US" w:eastAsia="zh-CN" w:bidi="ar"/>
              </w:rPr>
              <w:t>重新粉刷，拆除老旧墙体，购置新座椅。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购买4人座便民座椅</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张</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装修便民中心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粉刷便民中心墙体</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修建新办事台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拆除老旧墙体</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改造便民中心，更好服务群众</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便民中心改建完成，方便群众来咨询与办理业务，有效提高群众对政府满意度。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51172423T000009177351-海港村道路建设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修建海港村道路，保障资金拨付到位</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道路加宽及修建工程全部验收合格，资金已拨付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海港村道路加宽及道路建设、张堂村1-7组道路建设及文星村7组道路加宽项目均已实施完成。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道路修建完成质量检测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合格不合格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群众出行更加便捷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好中差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该项目地完成，有利于解决农村人居环境，改善农村基础设施，经济、社会效益得到提高。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51172423T000009345739-方舱医院建设项目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拨付方舱医院建设资金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修建方舱医院占地对村民的补偿，已发放到位。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对被占用土地导致损失的村民进行补偿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按时足额拨付青苗补偿款，不仅保护了村民合法权益，维护社会稳定，同时增强了政府的公信力。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51172423T000009494892-方斗村安置点道路堡坎资金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维修堡坎、保障群众出行安全</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堡坎维修完成，验收合格，村民出行有安全保障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在原基础上，对堡坎进行加固，堡坎加固宽2米，高6.5米，总长度31.5米。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道路堡坎高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道路堡坎宽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道路堡坎长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31.5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修建完成质量检测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合格不合格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保障群众出行安全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好中差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维修堡坎，有效防止道路塌陷对村民安全的威胁，提升了村民出行的安全感。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51172423T000009684061-张堂村公厕维修资金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拨付张堂村公厕维修资金</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公厕建设完成，村组环境得到改善，为群众提供便利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在拆除原老旧厕所后，修建新型公厕4个，小便池一个，全天候对群众开放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拆除旱厕1个</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新建公厕尊便4个，小便池1个</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公厕全天候开放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方便广大群众如厕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为村民修建公厕，为群众提供更好的服务，为建设美丽乡村贡献力量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51172424T000010038452-信访维稳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化解纠纷矛盾，维护社会治安</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所有来信来访均已办理，化解矛盾纠纷效果显著。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认真摸排不稳定因素，实现建账管理，着力提高矛盾纠纷排查化解力度，积极受理来信来访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化解纠纷矛盾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排查安全隐患</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解决问题时间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社会稳定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坚持以人为本，着力化解矛盾纠纷，民生福祉显著提高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51172424T000010487244-2023年农村综合改革项目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该项目有实施计划，但暂未开始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51172424T000010487379-乡村振兴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该项目有实施计划，但暂未开始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51172424T000011279618-方斗村党群服务中心维修资金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该项目有实施计划，但暂未开始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51172424T000011281142-文星镇桥头、花桥、莲花、龙门村等基础设施建设项目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该项目有实施计划，但暂未开始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4"/>
        <w:spacing w:line="560" w:lineRule="exact"/>
        <w:ind w:left="0" w:leftChars="0" w:firstLine="640"/>
        <w:rPr>
          <w:sz w:val="32"/>
        </w:rPr>
      </w:pPr>
    </w:p>
    <w:p>
      <w:pPr>
        <w:pStyle w:val="14"/>
        <w:spacing w:line="560" w:lineRule="exact"/>
        <w:ind w:left="0" w:leftChars="0" w:firstLine="640"/>
        <w:rPr>
          <w:rFonts w:hint="eastAsia" w:hAnsi="Calibri" w:eastAsia="仿宋_GB2312" w:cs="仿宋"/>
          <w:sz w:val="32"/>
        </w:rPr>
        <w:sectPr>
          <w:pgSz w:w="16838" w:h="11906" w:orient="landscape"/>
          <w:pgMar w:top="1800" w:right="1440" w:bottom="1800" w:left="1440" w:header="851" w:footer="992" w:gutter="0"/>
          <w:pgNumType w:start="1"/>
          <w:cols w:space="425" w:num="1"/>
          <w:titlePg/>
          <w:docGrid w:type="lines" w:linePitch="312" w:charSpace="0"/>
        </w:sect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pPr>
        <w:pStyle w:val="6"/>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2"/>
      <w:bookmarkEnd w:id="53"/>
      <w:bookmarkStart w:id="54" w:name="_Toc15396619"/>
    </w:p>
    <w:p>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pPr>
        <w:pStyle w:val="4"/>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pPr>
        <w:pStyle w:val="4"/>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pPr>
        <w:pStyle w:val="4"/>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ZjBiYTYyMzQ1OWFiYTZhMDg0YzJhNjFlMTYwMmQifQ=="/>
    <w:docVar w:name="KSO_WPS_MARK_KEY" w:val="65a51364-30f5-4343-8b92-68cb78c780da"/>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DE1773"/>
    <w:rsid w:val="032E5D01"/>
    <w:rsid w:val="03DC2831"/>
    <w:rsid w:val="07CB13E7"/>
    <w:rsid w:val="081B5E94"/>
    <w:rsid w:val="08E26C00"/>
    <w:rsid w:val="09EA6F07"/>
    <w:rsid w:val="0A2032A3"/>
    <w:rsid w:val="0B8A37D8"/>
    <w:rsid w:val="0D186FCA"/>
    <w:rsid w:val="0E832188"/>
    <w:rsid w:val="0E963B01"/>
    <w:rsid w:val="0F5FFB2F"/>
    <w:rsid w:val="0FFFCF60"/>
    <w:rsid w:val="10C055FF"/>
    <w:rsid w:val="118107EC"/>
    <w:rsid w:val="11AB7F95"/>
    <w:rsid w:val="11DD6519"/>
    <w:rsid w:val="1487401B"/>
    <w:rsid w:val="15D530E1"/>
    <w:rsid w:val="16BB723D"/>
    <w:rsid w:val="17474B32"/>
    <w:rsid w:val="18015F3F"/>
    <w:rsid w:val="189F35B2"/>
    <w:rsid w:val="18E67433"/>
    <w:rsid w:val="19245391"/>
    <w:rsid w:val="199E0F16"/>
    <w:rsid w:val="1A5D46EB"/>
    <w:rsid w:val="1BE8440E"/>
    <w:rsid w:val="1C036C2D"/>
    <w:rsid w:val="1D155CEE"/>
    <w:rsid w:val="1FDBBF84"/>
    <w:rsid w:val="20F57F95"/>
    <w:rsid w:val="23AE73B5"/>
    <w:rsid w:val="23D34A58"/>
    <w:rsid w:val="240371BF"/>
    <w:rsid w:val="25711CC6"/>
    <w:rsid w:val="25C741E6"/>
    <w:rsid w:val="276F80C0"/>
    <w:rsid w:val="27842671"/>
    <w:rsid w:val="27960276"/>
    <w:rsid w:val="279A591B"/>
    <w:rsid w:val="29191750"/>
    <w:rsid w:val="29FD04D3"/>
    <w:rsid w:val="2A5002AB"/>
    <w:rsid w:val="2A77438F"/>
    <w:rsid w:val="2ABE7A3E"/>
    <w:rsid w:val="2AFF09B6"/>
    <w:rsid w:val="2B391243"/>
    <w:rsid w:val="2CA234A8"/>
    <w:rsid w:val="2EFA178C"/>
    <w:rsid w:val="2EFDF86C"/>
    <w:rsid w:val="2F3673E4"/>
    <w:rsid w:val="2F9D17E1"/>
    <w:rsid w:val="30B46D73"/>
    <w:rsid w:val="319F7F4E"/>
    <w:rsid w:val="327B2543"/>
    <w:rsid w:val="33596D28"/>
    <w:rsid w:val="35187655"/>
    <w:rsid w:val="356A28F1"/>
    <w:rsid w:val="357C035A"/>
    <w:rsid w:val="368E000D"/>
    <w:rsid w:val="376718FC"/>
    <w:rsid w:val="377F2AD5"/>
    <w:rsid w:val="383D272C"/>
    <w:rsid w:val="39AE70AB"/>
    <w:rsid w:val="3A4DCE41"/>
    <w:rsid w:val="3A7906E6"/>
    <w:rsid w:val="3B003F2D"/>
    <w:rsid w:val="3BCB56FA"/>
    <w:rsid w:val="3C0C0783"/>
    <w:rsid w:val="3EE7C2F4"/>
    <w:rsid w:val="3F371B56"/>
    <w:rsid w:val="3F792ED8"/>
    <w:rsid w:val="3F9F3A96"/>
    <w:rsid w:val="3FECA4B2"/>
    <w:rsid w:val="3FF58C48"/>
    <w:rsid w:val="41723388"/>
    <w:rsid w:val="42596EC3"/>
    <w:rsid w:val="42FF6694"/>
    <w:rsid w:val="438751EB"/>
    <w:rsid w:val="469917F1"/>
    <w:rsid w:val="48BF60AB"/>
    <w:rsid w:val="493C27E9"/>
    <w:rsid w:val="496F39ED"/>
    <w:rsid w:val="49FF41D3"/>
    <w:rsid w:val="4BE068DB"/>
    <w:rsid w:val="4BF6002B"/>
    <w:rsid w:val="4BFFC6BE"/>
    <w:rsid w:val="4C4D68A6"/>
    <w:rsid w:val="4ECE2238"/>
    <w:rsid w:val="51DB4B86"/>
    <w:rsid w:val="51F64DB0"/>
    <w:rsid w:val="543C5B7E"/>
    <w:rsid w:val="55333C3E"/>
    <w:rsid w:val="55A069D1"/>
    <w:rsid w:val="577B4C0F"/>
    <w:rsid w:val="5A443D90"/>
    <w:rsid w:val="5C3E7FB9"/>
    <w:rsid w:val="5D4B54DD"/>
    <w:rsid w:val="5D5A13D3"/>
    <w:rsid w:val="5F67802D"/>
    <w:rsid w:val="5F7DC4F2"/>
    <w:rsid w:val="5FB36814"/>
    <w:rsid w:val="5FBB8E56"/>
    <w:rsid w:val="5FFB5535"/>
    <w:rsid w:val="621405B4"/>
    <w:rsid w:val="64CA39A1"/>
    <w:rsid w:val="67226E55"/>
    <w:rsid w:val="69630ADE"/>
    <w:rsid w:val="69BD5F13"/>
    <w:rsid w:val="69FB0B4B"/>
    <w:rsid w:val="6AD91883"/>
    <w:rsid w:val="6BFFE1FB"/>
    <w:rsid w:val="6C4A05C8"/>
    <w:rsid w:val="6CA37694"/>
    <w:rsid w:val="6D3B1A89"/>
    <w:rsid w:val="6DB7D8A3"/>
    <w:rsid w:val="6EBF0E09"/>
    <w:rsid w:val="6EC78701"/>
    <w:rsid w:val="6F7A5481"/>
    <w:rsid w:val="6FFE07A9"/>
    <w:rsid w:val="71BF4EC2"/>
    <w:rsid w:val="72734D90"/>
    <w:rsid w:val="73D6524F"/>
    <w:rsid w:val="73D96AC5"/>
    <w:rsid w:val="73E75B71"/>
    <w:rsid w:val="7412278C"/>
    <w:rsid w:val="74620ED1"/>
    <w:rsid w:val="74CB28DA"/>
    <w:rsid w:val="75985D44"/>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6452E"/>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收、支决算总计变动情况图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1673.98</c:v>
                </c:pt>
                <c:pt idx="1">
                  <c:v>2563.79</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2616.96</c:v>
                </c:pt>
                <c:pt idx="1">
                  <c:v>2677.4</c:v>
                </c:pt>
              </c:numCache>
            </c:numRef>
          </c:val>
        </c:ser>
        <c:dLbls>
          <c:showLegendKey val="0"/>
          <c:showVal val="0"/>
          <c:showCatName val="0"/>
          <c:showSerName val="0"/>
          <c:showPercent val="0"/>
          <c:showBubbleSize val="0"/>
        </c:dLbls>
        <c:gapWidth val="219"/>
        <c:overlap val="-27"/>
        <c:axId val="70502939"/>
        <c:axId val="515244739"/>
      </c:barChart>
      <c:catAx>
        <c:axId val="705029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5244739"/>
        <c:crosses val="autoZero"/>
        <c:auto val="1"/>
        <c:lblAlgn val="ctr"/>
        <c:lblOffset val="100"/>
        <c:noMultiLvlLbl val="0"/>
      </c:catAx>
      <c:valAx>
        <c:axId val="5152447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50293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manualLayout>
          <c:xMode val="edge"/>
          <c:yMode val="edge"/>
          <c:x val="0.354151195603743"/>
          <c:y val="0.0282021151586369"/>
        </c:manualLayout>
      </c:layout>
      <c:overlay val="0"/>
      <c:spPr>
        <a:noFill/>
        <a:ln>
          <a:noFill/>
        </a:ln>
        <a:effectLst/>
      </c:spPr>
    </c:title>
    <c:autoTitleDeleted val="0"/>
    <c:plotArea>
      <c:layout/>
      <c:pieChart>
        <c:varyColors val="1"/>
        <c:ser>
          <c:idx val="0"/>
          <c:order val="0"/>
          <c:tx>
            <c:strRef>
              <c:f>Sheet1!$B$1</c:f>
              <c:strCache>
                <c:ptCount val="1"/>
                <c:pt idx="0">
                  <c:v>2023年度收入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2240.07</c:v>
                </c:pt>
                <c:pt idx="1">
                  <c:v>379.89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1448.4</c:v>
                </c:pt>
                <c:pt idx="1">
                  <c:v>1229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财政拨款收、支决算总计变动情况</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1673.98</c:v>
                </c:pt>
                <c:pt idx="1">
                  <c:v>2563.79</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2616.96</c:v>
                </c:pt>
                <c:pt idx="1">
                  <c:v>2677.4</c:v>
                </c:pt>
              </c:numCache>
            </c:numRef>
          </c:val>
        </c:ser>
        <c:dLbls>
          <c:showLegendKey val="0"/>
          <c:showVal val="0"/>
          <c:showCatName val="0"/>
          <c:showSerName val="0"/>
          <c:showPercent val="0"/>
          <c:showBubbleSize val="0"/>
        </c:dLbls>
        <c:gapWidth val="219"/>
        <c:overlap val="-27"/>
        <c:axId val="70502939"/>
        <c:axId val="515244739"/>
      </c:barChart>
      <c:catAx>
        <c:axId val="705029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5244739"/>
        <c:crosses val="autoZero"/>
        <c:auto val="1"/>
        <c:lblAlgn val="ctr"/>
        <c:lblOffset val="100"/>
        <c:noMultiLvlLbl val="0"/>
      </c:catAx>
      <c:valAx>
        <c:axId val="5152447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50293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2527.9</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2297.51</c:v>
                </c:pt>
              </c:numCache>
            </c:numRef>
          </c:val>
        </c:ser>
        <c:dLbls>
          <c:showLegendKey val="0"/>
          <c:showVal val="0"/>
          <c:showCatName val="0"/>
          <c:showSerName val="0"/>
          <c:showPercent val="0"/>
          <c:showBubbleSize val="0"/>
        </c:dLbls>
        <c:gapWidth val="219"/>
        <c:overlap val="-27"/>
        <c:axId val="871765604"/>
        <c:axId val="763433901"/>
      </c:barChart>
      <c:catAx>
        <c:axId val="8717656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3433901"/>
        <c:crosses val="autoZero"/>
        <c:auto val="1"/>
        <c:lblAlgn val="ctr"/>
        <c:lblOffset val="100"/>
        <c:noMultiLvlLbl val="0"/>
      </c:catAx>
      <c:valAx>
        <c:axId val="7634339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17656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一般公共服务支出</c:v>
                </c:pt>
                <c:pt idx="1">
                  <c:v>文化旅游与传媒支出</c:v>
                </c:pt>
                <c:pt idx="2">
                  <c:v>社会保障和就业支出</c:v>
                </c:pt>
                <c:pt idx="3">
                  <c:v>卫生健康支出</c:v>
                </c:pt>
                <c:pt idx="4">
                  <c:v>城乡社区支出</c:v>
                </c:pt>
                <c:pt idx="5">
                  <c:v>农林水支出</c:v>
                </c:pt>
                <c:pt idx="6">
                  <c:v>交通运输支出</c:v>
                </c:pt>
                <c:pt idx="7">
                  <c:v>住房保障支出</c:v>
                </c:pt>
              </c:strCache>
            </c:strRef>
          </c:cat>
          <c:val>
            <c:numRef>
              <c:f>Sheet1!$B$2:$B$9</c:f>
              <c:numCache>
                <c:formatCode>General</c:formatCode>
                <c:ptCount val="8"/>
                <c:pt idx="0">
                  <c:v>612.06</c:v>
                </c:pt>
                <c:pt idx="1">
                  <c:v>84.07</c:v>
                </c:pt>
                <c:pt idx="2">
                  <c:v>134.06</c:v>
                </c:pt>
                <c:pt idx="3">
                  <c:v>67.82</c:v>
                </c:pt>
                <c:pt idx="4">
                  <c:v>100.39</c:v>
                </c:pt>
                <c:pt idx="5">
                  <c:v>1173.56</c:v>
                </c:pt>
                <c:pt idx="6">
                  <c:v>53.7</c:v>
                </c:pt>
                <c:pt idx="7">
                  <c:v>71.85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25165562913907"/>
          <c:y val="0.0927557513460597"/>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c:v>
                </c:pt>
              </c:strCache>
            </c:strRef>
          </c:cat>
          <c:val>
            <c:numRef>
              <c:f>Sheet1!$B$2</c:f>
              <c:numCache>
                <c:formatCode>General</c:formatCode>
                <c:ptCount val="1"/>
                <c:pt idx="0">
                  <c:v>9.78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54</Pages>
  <Words>18026</Words>
  <Characters>21266</Characters>
  <Lines>54</Lines>
  <Paragraphs>15</Paragraphs>
  <TotalTime>21</TotalTime>
  <ScaleCrop>false</ScaleCrop>
  <LinksUpToDate>false</LinksUpToDate>
  <CharactersWithSpaces>21322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2024-10-24T03:18:42Z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C60D3D9F788D429E8AE653DB52377AFC_12</vt:lpwstr>
  </property>
</Properties>
</file>