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hint="eastAsia" w:ascii="方正小标宋简体" w:hAnsi="宋体" w:eastAsia="方正小标宋简体"/>
          <w:szCs w:val="21"/>
        </w:rPr>
      </w:pPr>
      <w:bookmarkStart w:id="0" w:name="_Toc15306267"/>
    </w:p>
    <w:p>
      <w:pPr>
        <w:pStyle w:val="6"/>
        <w:spacing w:before="93"/>
      </w:pPr>
    </w:p>
    <w:p>
      <w:pPr>
        <w:spacing w:line="600" w:lineRule="exact"/>
        <w:jc w:val="center"/>
        <w:outlineLvl w:val="9"/>
        <w:rPr>
          <w:rFonts w:hint="eastAsia" w:ascii="方正小标宋简体" w:hAnsi="宋体" w:eastAsia="方正小标宋简体"/>
          <w:sz w:val="72"/>
          <w:szCs w:val="72"/>
        </w:rPr>
      </w:pPr>
    </w:p>
    <w:p>
      <w:pPr>
        <w:spacing w:line="600" w:lineRule="exact"/>
        <w:jc w:val="center"/>
        <w:outlineLvl w:val="9"/>
        <w:rPr>
          <w:rFonts w:hint="eastAsia"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475"/>
      <w:bookmarkStart w:id="2" w:name="_Toc15377425"/>
      <w:bookmarkStart w:id="3" w:name="_Toc15377193"/>
      <w:bookmarkStart w:id="4" w:name="_Toc21569"/>
      <w:bookmarkStart w:id="5" w:name="_Toc15378441"/>
      <w:bookmarkStart w:id="6"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7" w:name="_Toc15377426"/>
      <w:bookmarkStart w:id="8" w:name="_Toc15378442"/>
      <w:bookmarkStart w:id="9" w:name="_Toc15396476"/>
      <w:bookmarkStart w:id="10" w:name="_Toc15377194"/>
      <w:bookmarkStart w:id="11" w:name="_Toc2282"/>
      <w:bookmarkStart w:id="12" w:name="_Toc15396598"/>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达州市大竹县月华综合初级中学单位决算</w:t>
      </w:r>
      <w:bookmarkEnd w:id="7"/>
      <w:bookmarkEnd w:id="8"/>
      <w:bookmarkEnd w:id="9"/>
      <w:bookmarkEnd w:id="10"/>
      <w:bookmarkEnd w:id="11"/>
      <w:bookmarkEnd w:id="12"/>
      <w:bookmarkEnd w:id="13"/>
    </w:p>
    <w:p>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hint="eastAsia" w:ascii="黑体" w:hAnsi="黑体" w:eastAsia="黑体" w:cstheme="minorBidi"/>
          <w:sz w:val="28"/>
          <w:szCs w:val="28"/>
        </w:rPr>
      </w:pPr>
    </w:p>
    <w:p>
      <w:pPr>
        <w:pStyle w:val="12"/>
        <w:rPr>
          <w:rFonts w:hint="eastAsia"/>
        </w:rPr>
      </w:pPr>
      <w:r>
        <w:rPr>
          <w:rFonts w:hint="eastAsia"/>
        </w:rPr>
        <w:t>公开时间：2023年</w:t>
      </w:r>
      <w:r>
        <w:rPr>
          <w:rFonts w:hint="eastAsia"/>
          <w:lang w:val="en-US" w:eastAsia="zh-CN"/>
        </w:rPr>
        <w:t>10</w:t>
      </w:r>
      <w:r>
        <w:rPr>
          <w:rFonts w:hint="eastAsia"/>
        </w:rPr>
        <w:t>月</w:t>
      </w:r>
      <w:r>
        <w:rPr>
          <w:rFonts w:hint="eastAsia"/>
          <w:lang w:val="en-US" w:eastAsia="zh-CN"/>
        </w:rPr>
        <w:t>18</w:t>
      </w:r>
      <w:r>
        <w:rPr>
          <w:rFonts w:hint="eastAsia"/>
        </w:rPr>
        <w:t>日</w:t>
      </w:r>
    </w:p>
    <w:p/>
    <w:sdt>
      <w:sdtPr>
        <w:rPr>
          <w:rFonts w:ascii="宋体" w:hAnsi="宋体" w:eastAsia="宋体" w:cs="Times New Roman"/>
          <w:kern w:val="2"/>
          <w:sz w:val="21"/>
          <w:szCs w:val="24"/>
          <w:lang w:val="en-US" w:eastAsia="zh-CN" w:bidi="ar-SA"/>
        </w:rPr>
        <w:id w:val="147461154"/>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3"/>
            <w:tabs>
              <w:tab w:val="right" w:leader="dot" w:pos="8306"/>
            </w:tabs>
            <w:rPr>
              <w:b/>
            </w:rPr>
          </w:pPr>
          <w:r>
            <w:fldChar w:fldCharType="begin"/>
          </w:r>
          <w:r>
            <w:instrText xml:space="preserve">TOC \o "1-2" \h \u </w:instrText>
          </w:r>
          <w:r>
            <w:fldChar w:fldCharType="separate"/>
          </w:r>
        </w:p>
        <w:p>
          <w:pPr>
            <w:pStyle w:val="33"/>
            <w:tabs>
              <w:tab w:val="right" w:leader="dot" w:pos="8306"/>
            </w:tabs>
            <w:rPr>
              <w:b/>
            </w:rPr>
          </w:pPr>
          <w:r>
            <w:rPr>
              <w:b/>
            </w:rPr>
            <w:fldChar w:fldCharType="begin"/>
          </w:r>
          <w:r>
            <w:rPr>
              <w:b/>
            </w:rPr>
            <w:instrText xml:space="preserve"> HYPERLINK \l _Toc1781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_Toc1781 \h </w:instrText>
          </w:r>
          <w:r>
            <w:rPr>
              <w:b/>
            </w:rPr>
            <w:fldChar w:fldCharType="separate"/>
          </w:r>
          <w:r>
            <w:rPr>
              <w:b/>
            </w:rPr>
            <w:t>3</w:t>
          </w:r>
          <w:r>
            <w:rPr>
              <w:b/>
            </w:rPr>
            <w:fldChar w:fldCharType="end"/>
          </w:r>
          <w:r>
            <w:rPr>
              <w:b/>
            </w:rPr>
            <w:fldChar w:fldCharType="end"/>
          </w:r>
        </w:p>
        <w:p>
          <w:pPr>
            <w:pStyle w:val="34"/>
            <w:tabs>
              <w:tab w:val="right" w:leader="dot" w:pos="8306"/>
            </w:tabs>
          </w:pPr>
          <w:r>
            <w:fldChar w:fldCharType="begin"/>
          </w:r>
          <w:r>
            <w:instrText xml:space="preserve"> HYPERLINK \l _Toc21406 </w:instrText>
          </w:r>
          <w:r>
            <w:fldChar w:fldCharType="separate"/>
          </w:r>
          <w:r>
            <w:rPr>
              <w:rFonts w:hint="eastAsia" w:ascii="黑体" w:hAnsi="黑体" w:eastAsia="黑体"/>
              <w:bCs w:val="0"/>
            </w:rPr>
            <w:t>一、 主要职责</w:t>
          </w:r>
          <w:r>
            <w:tab/>
          </w:r>
          <w:r>
            <w:fldChar w:fldCharType="begin"/>
          </w:r>
          <w:r>
            <w:instrText xml:space="preserve"> PAGEREF _Toc21406 \h </w:instrText>
          </w:r>
          <w:r>
            <w:fldChar w:fldCharType="separate"/>
          </w:r>
          <w:r>
            <w:t>3</w:t>
          </w:r>
          <w:r>
            <w:fldChar w:fldCharType="end"/>
          </w:r>
          <w:r>
            <w:fldChar w:fldCharType="end"/>
          </w:r>
        </w:p>
        <w:p>
          <w:pPr>
            <w:pStyle w:val="34"/>
            <w:tabs>
              <w:tab w:val="right" w:leader="dot" w:pos="8306"/>
            </w:tabs>
          </w:pPr>
          <w:r>
            <w:fldChar w:fldCharType="begin"/>
          </w:r>
          <w:r>
            <w:instrText xml:space="preserve"> HYPERLINK \l _Toc5766 </w:instrText>
          </w:r>
          <w:r>
            <w:fldChar w:fldCharType="separate"/>
          </w:r>
          <w:r>
            <w:rPr>
              <w:rFonts w:hint="eastAsia" w:ascii="黑体" w:hAnsi="黑体" w:eastAsia="黑体"/>
            </w:rPr>
            <w:t>二、 机构设置</w:t>
          </w:r>
          <w:r>
            <w:tab/>
          </w:r>
          <w:r>
            <w:fldChar w:fldCharType="begin"/>
          </w:r>
          <w:r>
            <w:instrText xml:space="preserve"> PAGEREF _Toc5766 \h </w:instrText>
          </w:r>
          <w:r>
            <w:fldChar w:fldCharType="separate"/>
          </w:r>
          <w:r>
            <w:t>3</w:t>
          </w:r>
          <w:r>
            <w:fldChar w:fldCharType="end"/>
          </w:r>
          <w:r>
            <w:fldChar w:fldCharType="end"/>
          </w:r>
        </w:p>
        <w:p>
          <w:pPr>
            <w:pStyle w:val="33"/>
            <w:tabs>
              <w:tab w:val="right" w:leader="dot" w:pos="8306"/>
            </w:tabs>
            <w:rPr>
              <w:b/>
            </w:rPr>
          </w:pPr>
          <w:r>
            <w:rPr>
              <w:b/>
            </w:rPr>
            <w:fldChar w:fldCharType="begin"/>
          </w:r>
          <w:r>
            <w:rPr>
              <w:b/>
            </w:rPr>
            <w:instrText xml:space="preserve"> HYPERLINK \l _Toc19991 </w:instrText>
          </w:r>
          <w:r>
            <w:rPr>
              <w:b/>
            </w:rPr>
            <w:fldChar w:fldCharType="separate"/>
          </w:r>
          <w:r>
            <w:rPr>
              <w:rFonts w:hint="eastAsia" w:ascii="黑体" w:hAnsi="黑体" w:eastAsia="黑体"/>
              <w:b/>
            </w:rPr>
            <w:t>第二部分 2023年度</w:t>
          </w:r>
          <w:r>
            <w:rPr>
              <w:rFonts w:hint="eastAsia" w:ascii="黑体" w:hAnsi="黑体" w:eastAsia="黑体"/>
              <w:b/>
              <w:bCs/>
            </w:rPr>
            <w:t>单位决算情况说明</w:t>
          </w:r>
          <w:r>
            <w:rPr>
              <w:b/>
            </w:rPr>
            <w:tab/>
          </w:r>
          <w:r>
            <w:rPr>
              <w:b/>
            </w:rPr>
            <w:fldChar w:fldCharType="begin"/>
          </w:r>
          <w:r>
            <w:rPr>
              <w:b/>
            </w:rPr>
            <w:instrText xml:space="preserve"> PAGEREF _Toc19991 \h </w:instrText>
          </w:r>
          <w:r>
            <w:rPr>
              <w:b/>
            </w:rPr>
            <w:fldChar w:fldCharType="separate"/>
          </w:r>
          <w:r>
            <w:rPr>
              <w:b/>
            </w:rPr>
            <w:t>4</w:t>
          </w:r>
          <w:r>
            <w:rPr>
              <w:b/>
            </w:rPr>
            <w:fldChar w:fldCharType="end"/>
          </w:r>
          <w:r>
            <w:rPr>
              <w:b/>
            </w:rPr>
            <w:fldChar w:fldCharType="end"/>
          </w:r>
        </w:p>
        <w:p>
          <w:pPr>
            <w:pStyle w:val="34"/>
            <w:tabs>
              <w:tab w:val="right" w:leader="dot" w:pos="8306"/>
            </w:tabs>
          </w:pPr>
          <w:r>
            <w:fldChar w:fldCharType="begin"/>
          </w:r>
          <w:r>
            <w:instrText xml:space="preserve"> HYPERLINK \l _Toc30135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_Toc30135 \h </w:instrText>
          </w:r>
          <w:r>
            <w:fldChar w:fldCharType="separate"/>
          </w:r>
          <w:r>
            <w:t>4</w:t>
          </w:r>
          <w:r>
            <w:fldChar w:fldCharType="end"/>
          </w:r>
          <w:r>
            <w:fldChar w:fldCharType="end"/>
          </w:r>
        </w:p>
        <w:p>
          <w:pPr>
            <w:pStyle w:val="34"/>
            <w:tabs>
              <w:tab w:val="right" w:leader="dot" w:pos="8306"/>
            </w:tabs>
          </w:pPr>
          <w:r>
            <w:fldChar w:fldCharType="begin"/>
          </w:r>
          <w:r>
            <w:instrText xml:space="preserve"> HYPERLINK \l _Toc26191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_Toc26191 \h </w:instrText>
          </w:r>
          <w:r>
            <w:fldChar w:fldCharType="separate"/>
          </w:r>
          <w:r>
            <w:t>4</w:t>
          </w:r>
          <w:r>
            <w:fldChar w:fldCharType="end"/>
          </w:r>
          <w:r>
            <w:fldChar w:fldCharType="end"/>
          </w:r>
        </w:p>
        <w:p>
          <w:pPr>
            <w:pStyle w:val="34"/>
            <w:tabs>
              <w:tab w:val="right" w:leader="dot" w:pos="8306"/>
            </w:tabs>
          </w:pPr>
          <w:r>
            <w:fldChar w:fldCharType="begin"/>
          </w:r>
          <w:r>
            <w:instrText xml:space="preserve"> HYPERLINK \l _Toc5258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_Toc5258 \h </w:instrText>
          </w:r>
          <w:r>
            <w:fldChar w:fldCharType="separate"/>
          </w:r>
          <w:r>
            <w:t>5</w:t>
          </w:r>
          <w:r>
            <w:fldChar w:fldCharType="end"/>
          </w:r>
          <w:r>
            <w:fldChar w:fldCharType="end"/>
          </w:r>
        </w:p>
        <w:p>
          <w:pPr>
            <w:pStyle w:val="34"/>
            <w:tabs>
              <w:tab w:val="right" w:leader="dot" w:pos="8306"/>
            </w:tabs>
          </w:pPr>
          <w:r>
            <w:fldChar w:fldCharType="begin"/>
          </w:r>
          <w:r>
            <w:instrText xml:space="preserve"> HYPERLINK \l _Toc14657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_Toc14657 \h </w:instrText>
          </w:r>
          <w:r>
            <w:fldChar w:fldCharType="separate"/>
          </w:r>
          <w:r>
            <w:t>6</w:t>
          </w:r>
          <w:r>
            <w:fldChar w:fldCharType="end"/>
          </w:r>
          <w:r>
            <w:fldChar w:fldCharType="end"/>
          </w:r>
        </w:p>
        <w:p>
          <w:pPr>
            <w:pStyle w:val="34"/>
            <w:tabs>
              <w:tab w:val="right" w:leader="dot" w:pos="8306"/>
            </w:tabs>
          </w:pPr>
          <w:r>
            <w:fldChar w:fldCharType="begin"/>
          </w:r>
          <w:r>
            <w:instrText xml:space="preserve"> HYPERLINK \l _Toc13951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_Toc13951 \h </w:instrText>
          </w:r>
          <w:r>
            <w:fldChar w:fldCharType="separate"/>
          </w:r>
          <w:r>
            <w:t>6</w:t>
          </w:r>
          <w:r>
            <w:fldChar w:fldCharType="end"/>
          </w:r>
          <w:r>
            <w:fldChar w:fldCharType="end"/>
          </w:r>
        </w:p>
        <w:p>
          <w:pPr>
            <w:pStyle w:val="34"/>
            <w:tabs>
              <w:tab w:val="right" w:leader="dot" w:pos="8306"/>
            </w:tabs>
          </w:pPr>
          <w:r>
            <w:fldChar w:fldCharType="begin"/>
          </w:r>
          <w:r>
            <w:instrText xml:space="preserve"> HYPERLINK \l _Toc27882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_Toc27882 \h </w:instrText>
          </w:r>
          <w:r>
            <w:fldChar w:fldCharType="separate"/>
          </w:r>
          <w:r>
            <w:t>9</w:t>
          </w:r>
          <w:r>
            <w:fldChar w:fldCharType="end"/>
          </w:r>
          <w:r>
            <w:fldChar w:fldCharType="end"/>
          </w:r>
        </w:p>
        <w:p>
          <w:pPr>
            <w:pStyle w:val="34"/>
            <w:tabs>
              <w:tab w:val="right" w:leader="dot" w:pos="8306"/>
            </w:tabs>
          </w:pPr>
          <w:r>
            <w:fldChar w:fldCharType="begin"/>
          </w:r>
          <w:r>
            <w:instrText xml:space="preserve"> HYPERLINK \l _Toc579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_Toc579 \h </w:instrText>
          </w:r>
          <w:r>
            <w:fldChar w:fldCharType="separate"/>
          </w:r>
          <w:r>
            <w:t>9</w:t>
          </w:r>
          <w:r>
            <w:fldChar w:fldCharType="end"/>
          </w:r>
          <w:r>
            <w:fldChar w:fldCharType="end"/>
          </w:r>
        </w:p>
        <w:p>
          <w:pPr>
            <w:pStyle w:val="34"/>
            <w:tabs>
              <w:tab w:val="right" w:leader="dot" w:pos="8306"/>
            </w:tabs>
          </w:pPr>
          <w:r>
            <w:fldChar w:fldCharType="begin"/>
          </w:r>
          <w:r>
            <w:instrText xml:space="preserve"> HYPERLINK \l _Toc17611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_Toc17611 \h </w:instrText>
          </w:r>
          <w:r>
            <w:fldChar w:fldCharType="separate"/>
          </w:r>
          <w:r>
            <w:t>11</w:t>
          </w:r>
          <w:r>
            <w:fldChar w:fldCharType="end"/>
          </w:r>
          <w:r>
            <w:fldChar w:fldCharType="end"/>
          </w:r>
        </w:p>
        <w:p>
          <w:pPr>
            <w:pStyle w:val="34"/>
            <w:tabs>
              <w:tab w:val="right" w:leader="dot" w:pos="8306"/>
            </w:tabs>
          </w:pPr>
          <w:r>
            <w:fldChar w:fldCharType="begin"/>
          </w:r>
          <w:r>
            <w:instrText xml:space="preserve"> HYPERLINK \l _Toc364 </w:instrText>
          </w:r>
          <w:r>
            <w:fldChar w:fldCharType="separate"/>
          </w:r>
          <w:r>
            <w:rPr>
              <w:rFonts w:hint="eastAsia" w:ascii="黑体" w:hAnsi="黑体" w:eastAsia="黑体"/>
            </w:rPr>
            <w:t>九、 国有资本经营预算支出决算情况说明</w:t>
          </w:r>
          <w:r>
            <w:tab/>
          </w:r>
          <w:r>
            <w:fldChar w:fldCharType="begin"/>
          </w:r>
          <w:r>
            <w:instrText xml:space="preserve"> PAGEREF _Toc364 \h </w:instrText>
          </w:r>
          <w:r>
            <w:fldChar w:fldCharType="separate"/>
          </w:r>
          <w:r>
            <w:t>11</w:t>
          </w:r>
          <w:r>
            <w:fldChar w:fldCharType="end"/>
          </w:r>
          <w:r>
            <w:fldChar w:fldCharType="end"/>
          </w:r>
        </w:p>
        <w:p>
          <w:pPr>
            <w:pStyle w:val="34"/>
            <w:tabs>
              <w:tab w:val="right" w:leader="dot" w:pos="8306"/>
            </w:tabs>
          </w:pPr>
          <w:r>
            <w:fldChar w:fldCharType="begin"/>
          </w:r>
          <w:r>
            <w:instrText xml:space="preserve"> HYPERLINK \l _Toc23310 </w:instrText>
          </w:r>
          <w:r>
            <w:fldChar w:fldCharType="separate"/>
          </w:r>
          <w:r>
            <w:rPr>
              <w:rFonts w:hint="eastAsia" w:ascii="黑体" w:hAnsi="黑体" w:eastAsia="黑体"/>
            </w:rPr>
            <w:t>其他重要事项的情况说明</w:t>
          </w:r>
          <w:r>
            <w:tab/>
          </w:r>
          <w:r>
            <w:fldChar w:fldCharType="begin"/>
          </w:r>
          <w:r>
            <w:instrText xml:space="preserve"> PAGEREF _Toc23310 \h </w:instrText>
          </w:r>
          <w:r>
            <w:fldChar w:fldCharType="separate"/>
          </w:r>
          <w:r>
            <w:t>11</w:t>
          </w:r>
          <w:r>
            <w:fldChar w:fldCharType="end"/>
          </w:r>
          <w:r>
            <w:fldChar w:fldCharType="end"/>
          </w:r>
        </w:p>
        <w:p>
          <w:pPr>
            <w:pStyle w:val="33"/>
            <w:tabs>
              <w:tab w:val="right" w:leader="dot" w:pos="8306"/>
            </w:tabs>
            <w:rPr>
              <w:b/>
            </w:rPr>
          </w:pPr>
          <w:r>
            <w:rPr>
              <w:b/>
            </w:rPr>
            <w:fldChar w:fldCharType="begin"/>
          </w:r>
          <w:r>
            <w:rPr>
              <w:b/>
            </w:rPr>
            <w:instrText xml:space="preserve"> HYPERLINK \l _Toc2826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_Toc2826 \h </w:instrText>
          </w:r>
          <w:r>
            <w:rPr>
              <w:b/>
            </w:rPr>
            <w:fldChar w:fldCharType="separate"/>
          </w:r>
          <w:r>
            <w:rPr>
              <w:b/>
            </w:rPr>
            <w:t>13</w:t>
          </w:r>
          <w:r>
            <w:rPr>
              <w:b/>
            </w:rPr>
            <w:fldChar w:fldCharType="end"/>
          </w:r>
          <w:r>
            <w:rPr>
              <w:b/>
            </w:rPr>
            <w:fldChar w:fldCharType="end"/>
          </w:r>
        </w:p>
        <w:p>
          <w:pPr>
            <w:pStyle w:val="33"/>
            <w:tabs>
              <w:tab w:val="right" w:leader="dot" w:pos="8306"/>
            </w:tabs>
            <w:rPr>
              <w:b/>
            </w:rPr>
          </w:pPr>
          <w:r>
            <w:rPr>
              <w:b/>
            </w:rPr>
            <w:fldChar w:fldCharType="begin"/>
          </w:r>
          <w:r>
            <w:rPr>
              <w:b/>
            </w:rPr>
            <w:instrText xml:space="preserve"> HYPERLINK \l _Toc3783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_Toc3783 \h </w:instrText>
          </w:r>
          <w:r>
            <w:rPr>
              <w:b/>
            </w:rPr>
            <w:fldChar w:fldCharType="separate"/>
          </w:r>
          <w:r>
            <w:rPr>
              <w:b/>
            </w:rPr>
            <w:t>16</w:t>
          </w:r>
          <w:r>
            <w:rPr>
              <w:b/>
            </w:rPr>
            <w:fldChar w:fldCharType="end"/>
          </w:r>
          <w:r>
            <w:rPr>
              <w:b/>
            </w:rPr>
            <w:fldChar w:fldCharType="end"/>
          </w:r>
        </w:p>
        <w:p>
          <w:pPr>
            <w:pStyle w:val="33"/>
            <w:tabs>
              <w:tab w:val="right" w:leader="dot" w:pos="8306"/>
            </w:tabs>
            <w:rPr>
              <w:b/>
            </w:rPr>
          </w:pPr>
          <w:r>
            <w:rPr>
              <w:b/>
            </w:rPr>
            <w:fldChar w:fldCharType="begin"/>
          </w:r>
          <w:r>
            <w:rPr>
              <w:b/>
            </w:rPr>
            <w:instrText xml:space="preserve"> HYPERLINK \l _Toc15955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_Toc15955 \h </w:instrText>
          </w:r>
          <w:r>
            <w:rPr>
              <w:b/>
            </w:rPr>
            <w:fldChar w:fldCharType="separate"/>
          </w:r>
          <w:r>
            <w:rPr>
              <w:b/>
            </w:rPr>
            <w:t>19</w:t>
          </w:r>
          <w:r>
            <w:rPr>
              <w:b/>
            </w:rPr>
            <w:fldChar w:fldCharType="end"/>
          </w:r>
          <w:r>
            <w:rPr>
              <w:b/>
            </w:rPr>
            <w:fldChar w:fldCharType="end"/>
          </w:r>
        </w:p>
        <w:p>
          <w:pPr>
            <w:pStyle w:val="34"/>
            <w:tabs>
              <w:tab w:val="right" w:leader="dot" w:pos="8306"/>
            </w:tabs>
          </w:pPr>
          <w:r>
            <w:fldChar w:fldCharType="begin"/>
          </w:r>
          <w:r>
            <w:instrText xml:space="preserve"> HYPERLINK \l _Toc28024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_Toc28024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_Toc27485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_Toc27485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_Toc16803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_Toc16803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_Toc14627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_Toc14627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_Toc25886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_Toc25886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_Toc25964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_Toc25964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_Toc25781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_Toc25781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_Toc32621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_Toc32621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_Toc23039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_Toc23039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_Toc11470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_Toc11470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_Toc9409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_Toc9409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_Toc25591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_Toc25591 \h </w:instrText>
          </w:r>
          <w:r>
            <w:fldChar w:fldCharType="separate"/>
          </w:r>
          <w:r>
            <w:t>19</w:t>
          </w:r>
          <w:r>
            <w:fldChar w:fldCharType="end"/>
          </w:r>
          <w:r>
            <w:fldChar w:fldCharType="end"/>
          </w:r>
        </w:p>
        <w:p>
          <w:pPr>
            <w:pStyle w:val="34"/>
            <w:tabs>
              <w:tab w:val="right" w:leader="dot" w:pos="8306"/>
            </w:tabs>
          </w:pPr>
          <w:r>
            <w:fldChar w:fldCharType="begin"/>
          </w:r>
          <w:r>
            <w:instrText xml:space="preserve"> HYPERLINK \l _Toc2198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_Toc2198 \h </w:instrText>
          </w:r>
          <w:r>
            <w:fldChar w:fldCharType="separate"/>
          </w:r>
          <w:r>
            <w:t>19</w:t>
          </w:r>
          <w:r>
            <w:fldChar w:fldCharType="end"/>
          </w:r>
          <w:r>
            <w:fldChar w:fldCharType="end"/>
          </w:r>
        </w:p>
        <w:p>
          <w:pPr>
            <w:rPr>
              <w:b/>
            </w:rPr>
          </w:pPr>
          <w:r>
            <w:rPr>
              <w:b/>
            </w:rPr>
            <w:fldChar w:fldCharType="end"/>
          </w:r>
        </w:p>
      </w:sdtContent>
    </w:sdt>
    <w:p>
      <w:pPr>
        <w:rPr>
          <w:b/>
        </w:rPr>
      </w:pPr>
    </w:p>
    <w:p>
      <w:pPr>
        <w:widowControl/>
        <w:spacing w:line="440" w:lineRule="exact"/>
        <w:jc w:val="left"/>
        <w:rPr>
          <w:rFonts w:hint="eastAsia" w:ascii="仿宋" w:hAnsi="仿宋" w:eastAsia="仿宋"/>
          <w:bCs/>
          <w:kern w:val="44"/>
          <w:sz w:val="24"/>
        </w:rPr>
      </w:pPr>
      <w:bookmarkStart w:id="14" w:name="_Toc15396599"/>
      <w:bookmarkStart w:id="15" w:name="_Toc15377196"/>
      <w:r>
        <w:rPr>
          <w:rFonts w:ascii="仿宋" w:hAnsi="仿宋" w:eastAsia="仿宋"/>
          <w:b/>
          <w:sz w:val="24"/>
        </w:rPr>
        <w:br w:type="page"/>
      </w:r>
    </w:p>
    <w:p>
      <w:pPr>
        <w:pStyle w:val="3"/>
        <w:jc w:val="center"/>
        <w:rPr>
          <w:rStyle w:val="27"/>
          <w:rFonts w:hint="eastAsia" w:ascii="黑体" w:hAnsi="黑体" w:eastAsia="黑体"/>
          <w:b/>
          <w:bCs w:val="0"/>
        </w:rPr>
      </w:pPr>
      <w:bookmarkStart w:id="16" w:name="_Toc1781"/>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pPr>
        <w:widowControl/>
        <w:jc w:val="left"/>
        <w:rPr>
          <w:rFonts w:ascii="黑体" w:eastAsia="黑体"/>
          <w:sz w:val="32"/>
          <w:szCs w:val="32"/>
        </w:rPr>
      </w:pPr>
    </w:p>
    <w:p>
      <w:pPr>
        <w:pStyle w:val="4"/>
        <w:numPr>
          <w:ilvl w:val="0"/>
          <w:numId w:val="1"/>
        </w:numPr>
        <w:rPr>
          <w:rStyle w:val="28"/>
          <w:rFonts w:hint="eastAsia" w:ascii="黑体" w:hAnsi="黑体" w:eastAsia="黑体"/>
          <w:b w:val="0"/>
          <w:bCs w:val="0"/>
        </w:rPr>
      </w:pPr>
      <w:bookmarkStart w:id="17" w:name="_Toc21406"/>
      <w:bookmarkStart w:id="18" w:name="_Toc15377197"/>
      <w:bookmarkStart w:id="19" w:name="_Toc15396600"/>
      <w:r>
        <w:rPr>
          <w:rStyle w:val="28"/>
          <w:rFonts w:hint="eastAsia" w:ascii="黑体" w:hAnsi="黑体" w:eastAsia="黑体"/>
          <w:b w:val="0"/>
          <w:bCs w:val="0"/>
        </w:rPr>
        <w:t>主要职责</w:t>
      </w:r>
      <w:bookmarkEnd w:id="17"/>
    </w:p>
    <w:p>
      <w:pPr>
        <w:ind w:firstLine="640" w:firstLineChars="200"/>
        <w:rPr>
          <w:sz w:val="32"/>
          <w:szCs w:val="32"/>
        </w:rPr>
      </w:pPr>
      <w:r>
        <w:rPr>
          <w:rFonts w:hint="eastAsia"/>
          <w:sz w:val="32"/>
          <w:szCs w:val="32"/>
        </w:rPr>
        <w:t>大竹县月华综合初级中学是大竹县教育局举办的一所单设初级中学，属于全额拨款事业单位，工作职能及主要工作是贯彻执行国家教育方针政策，承担本辖区内初中7-9年级教育教学职责，实施义务教育，促进基础教育发展及学历教育。</w:t>
      </w:r>
    </w:p>
    <w:p>
      <w:pPr>
        <w:pStyle w:val="4"/>
        <w:numPr>
          <w:ilvl w:val="0"/>
          <w:numId w:val="1"/>
        </w:numPr>
        <w:rPr>
          <w:rFonts w:hint="eastAsia" w:ascii="黑体" w:hAnsi="黑体" w:eastAsia="黑体"/>
          <w:b w:val="0"/>
        </w:rPr>
      </w:pPr>
      <w:bookmarkStart w:id="20" w:name="_Toc5766"/>
      <w:r>
        <w:rPr>
          <w:rFonts w:hint="eastAsia" w:ascii="黑体" w:hAnsi="黑体" w:eastAsia="黑体"/>
          <w:b w:val="0"/>
        </w:rPr>
        <w:t>机构设置</w:t>
      </w:r>
      <w:bookmarkEnd w:id="20"/>
    </w:p>
    <w:p>
      <w:pPr>
        <w:ind w:firstLine="640" w:firstLineChars="200"/>
        <w:rPr>
          <w:sz w:val="32"/>
          <w:szCs w:val="32"/>
        </w:rPr>
      </w:pPr>
      <w:r>
        <w:rPr>
          <w:rFonts w:hint="eastAsia"/>
          <w:sz w:val="32"/>
          <w:szCs w:val="32"/>
        </w:rPr>
        <w:t>大竹县月华综合初级中学下属二级单位0个，其中行政单位0个，参照公务员法管理的事业单位0个，其他事业单位0个。</w:t>
      </w:r>
    </w:p>
    <w:p>
      <w:pPr>
        <w:ind w:firstLine="640" w:firstLineChars="200"/>
        <w:rPr>
          <w:sz w:val="32"/>
          <w:szCs w:val="32"/>
        </w:rPr>
      </w:pPr>
      <w:r>
        <w:rPr>
          <w:rFonts w:hint="eastAsia"/>
          <w:sz w:val="32"/>
          <w:szCs w:val="32"/>
        </w:rPr>
        <w:t>纳入大竹县月华综合初级中学2023年度部门决算编制范围的二级预算单位包括：</w:t>
      </w:r>
    </w:p>
    <w:p>
      <w:pPr>
        <w:ind w:firstLine="640" w:firstLineChars="200"/>
        <w:rPr>
          <w:sz w:val="32"/>
          <w:szCs w:val="32"/>
        </w:rPr>
      </w:pPr>
      <w:r>
        <w:rPr>
          <w:rFonts w:hint="eastAsia"/>
          <w:sz w:val="32"/>
          <w:szCs w:val="32"/>
        </w:rPr>
        <w:t>无。</w:t>
      </w:r>
    </w:p>
    <w:bookmarkEnd w:id="18"/>
    <w:bookmarkEnd w:id="19"/>
    <w:p>
      <w:pPr>
        <w:widowControl/>
        <w:jc w:val="left"/>
        <w:rPr>
          <w:rFonts w:hint="eastAsia" w:ascii="仿宋" w:hAnsi="仿宋" w:eastAsia="仿宋"/>
          <w:kern w:val="0"/>
          <w:sz w:val="32"/>
          <w:szCs w:val="32"/>
        </w:rPr>
      </w:pPr>
      <w:r>
        <w:rPr>
          <w:rFonts w:ascii="仿宋" w:hAnsi="仿宋" w:eastAsia="仿宋"/>
          <w:sz w:val="32"/>
          <w:szCs w:val="32"/>
        </w:rPr>
        <w:br w:type="page"/>
      </w:r>
    </w:p>
    <w:p>
      <w:pPr>
        <w:pStyle w:val="3"/>
        <w:ind w:right="440"/>
        <w:jc w:val="center"/>
        <w:rPr>
          <w:rStyle w:val="27"/>
          <w:rFonts w:hint="eastAsia" w:ascii="黑体" w:hAnsi="黑体" w:eastAsia="黑体"/>
          <w:b w:val="0"/>
          <w:bCs/>
        </w:rPr>
      </w:pPr>
      <w:bookmarkStart w:id="21" w:name="_Toc15377204"/>
      <w:bookmarkStart w:id="22" w:name="_Toc15396602"/>
      <w:bookmarkStart w:id="23" w:name="_Toc19991"/>
      <w:r>
        <w:rPr>
          <w:rFonts w:hint="eastAsia" w:ascii="黑体" w:hAnsi="黑体" w:eastAsia="黑体"/>
          <w:b w:val="0"/>
        </w:rPr>
        <w:t>第二部分 2023年度</w:t>
      </w:r>
      <w:r>
        <w:rPr>
          <w:rStyle w:val="27"/>
          <w:rFonts w:hint="eastAsia" w:ascii="黑体" w:hAnsi="黑体" w:eastAsia="黑体"/>
          <w:b w:val="0"/>
          <w:bCs/>
        </w:rPr>
        <w:t>单位决算情况说明</w:t>
      </w:r>
      <w:bookmarkEnd w:id="21"/>
      <w:bookmarkEnd w:id="22"/>
      <w:bookmarkEnd w:id="23"/>
    </w:p>
    <w:p/>
    <w:p>
      <w:pPr>
        <w:pStyle w:val="26"/>
        <w:numPr>
          <w:ilvl w:val="0"/>
          <w:numId w:val="2"/>
        </w:numPr>
        <w:spacing w:line="600" w:lineRule="exact"/>
        <w:ind w:firstLineChars="0"/>
        <w:outlineLvl w:val="1"/>
        <w:rPr>
          <w:rStyle w:val="28"/>
          <w:rFonts w:hint="eastAsia" w:ascii="黑体" w:hAnsi="黑体" w:eastAsia="黑体"/>
          <w:b w:val="0"/>
        </w:rPr>
      </w:pPr>
      <w:bookmarkStart w:id="24" w:name="_Toc15377205"/>
      <w:bookmarkStart w:id="25" w:name="_Toc15396603"/>
      <w:bookmarkStart w:id="26" w:name="_Toc30135"/>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1293.44</w:t>
      </w:r>
      <w:r>
        <w:rPr>
          <w:rFonts w:hint="eastAsia" w:ascii="仿宋" w:hAnsi="仿宋" w:eastAsia="仿宋"/>
          <w:sz w:val="32"/>
          <w:szCs w:val="32"/>
        </w:rPr>
        <w:t>万元。与2022年度相比，收、支总计各减少59.49万元，下降4.40</w:t>
      </w:r>
      <w:r>
        <w:rPr>
          <w:rFonts w:ascii="仿宋" w:hAnsi="仿宋" w:eastAsia="仿宋"/>
          <w:sz w:val="32"/>
          <w:szCs w:val="32"/>
        </w:rPr>
        <w:t>%</w:t>
      </w:r>
      <w:r>
        <w:rPr>
          <w:rFonts w:hint="eastAsia" w:ascii="仿宋" w:hAnsi="仿宋" w:eastAsia="仿宋"/>
          <w:sz w:val="32"/>
          <w:szCs w:val="32"/>
        </w:rPr>
        <w:t>。主要变动原因是人员减少。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45720</wp:posOffset>
            </wp:positionH>
            <wp:positionV relativeFrom="paragraph">
              <wp:posOffset>205105</wp:posOffset>
            </wp:positionV>
            <wp:extent cx="5274310" cy="3139440"/>
            <wp:effectExtent l="0" t="0" r="2540" b="3810"/>
            <wp:wrapNone/>
            <wp:docPr id="16675848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84827"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139440"/>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1280" w:firstLineChars="4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6"/>
        <w:numPr>
          <w:ilvl w:val="0"/>
          <w:numId w:val="2"/>
        </w:numPr>
        <w:spacing w:line="600" w:lineRule="exact"/>
        <w:ind w:firstLineChars="0"/>
        <w:outlineLvl w:val="1"/>
        <w:rPr>
          <w:rStyle w:val="28"/>
          <w:rFonts w:hint="eastAsia" w:ascii="黑体" w:hAnsi="黑体" w:eastAsia="黑体"/>
          <w:b w:val="0"/>
        </w:rPr>
      </w:pPr>
      <w:bookmarkStart w:id="27" w:name="_Toc15377206"/>
      <w:bookmarkStart w:id="28" w:name="_Toc15396604"/>
      <w:bookmarkStart w:id="29" w:name="_Toc26191"/>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pPr>
        <w:spacing w:line="600" w:lineRule="exact"/>
        <w:ind w:firstLine="640" w:firstLineChars="200"/>
        <w:outlineLvl w:val="1"/>
        <w:rPr>
          <w:rFonts w:hint="eastAsia" w:ascii="仿宋" w:hAnsi="仿宋" w:eastAsia="仿宋"/>
          <w:sz w:val="32"/>
          <w:szCs w:val="32"/>
        </w:rPr>
      </w:pPr>
      <w:bookmarkStart w:id="30" w:name="_Toc9929"/>
      <w:r>
        <w:rPr>
          <w:rFonts w:hint="eastAsia" w:ascii="仿宋" w:hAnsi="仿宋" w:eastAsia="仿宋"/>
          <w:sz w:val="32"/>
          <w:szCs w:val="32"/>
        </w:rPr>
        <w:t>2023年度本年收入合计</w:t>
      </w:r>
      <w:r>
        <w:rPr>
          <w:rFonts w:ascii="仿宋" w:hAnsi="仿宋" w:eastAsia="仿宋"/>
          <w:b/>
          <w:sz w:val="32"/>
          <w:szCs w:val="32"/>
        </w:rPr>
        <w:t>1272.19</w:t>
      </w:r>
      <w:r>
        <w:rPr>
          <w:rFonts w:hint="eastAsia" w:ascii="仿宋" w:hAnsi="仿宋" w:eastAsia="仿宋"/>
          <w:sz w:val="32"/>
          <w:szCs w:val="32"/>
        </w:rPr>
        <w:t>万元，其中：一般公共预算财政拨款收入</w:t>
      </w:r>
      <w:r>
        <w:rPr>
          <w:rFonts w:ascii="仿宋" w:hAnsi="仿宋" w:eastAsia="仿宋"/>
          <w:b/>
          <w:sz w:val="32"/>
          <w:szCs w:val="32"/>
        </w:rPr>
        <w:t>1272.19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bookmarkEnd w:id="30"/>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drawing>
          <wp:anchor distT="0" distB="0" distL="114300" distR="114300" simplePos="0" relativeHeight="251660288" behindDoc="0" locked="0" layoutInCell="1" allowOverlap="1">
            <wp:simplePos x="0" y="0"/>
            <wp:positionH relativeFrom="column">
              <wp:posOffset>68580</wp:posOffset>
            </wp:positionH>
            <wp:positionV relativeFrom="paragraph">
              <wp:posOffset>266700</wp:posOffset>
            </wp:positionV>
            <wp:extent cx="4952365" cy="2971800"/>
            <wp:effectExtent l="0" t="0" r="635" b="0"/>
            <wp:wrapNone/>
            <wp:docPr id="10554732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73250"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52602" cy="2971800"/>
                    </a:xfrm>
                    <a:prstGeom prst="rect">
                      <a:avLst/>
                    </a:prstGeom>
                    <a:noFill/>
                    <a:ln>
                      <a:noFill/>
                    </a:ln>
                  </pic:spPr>
                </pic:pic>
              </a:graphicData>
            </a:graphic>
          </wp:anchor>
        </w:drawing>
      </w: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（图2：收入决算结构图）</w:t>
      </w:r>
    </w:p>
    <w:p>
      <w:pPr>
        <w:pStyle w:val="26"/>
        <w:numPr>
          <w:ilvl w:val="0"/>
          <w:numId w:val="2"/>
        </w:numPr>
        <w:spacing w:line="600" w:lineRule="exact"/>
        <w:ind w:firstLineChars="0"/>
        <w:outlineLvl w:val="1"/>
        <w:rPr>
          <w:rStyle w:val="28"/>
          <w:rFonts w:hint="eastAsia" w:ascii="黑体" w:hAnsi="黑体" w:eastAsia="黑体"/>
          <w:b w:val="0"/>
        </w:rPr>
      </w:pPr>
      <w:bookmarkStart w:id="31" w:name="_Toc15377207"/>
      <w:bookmarkStart w:id="32" w:name="_Toc15396605"/>
      <w:bookmarkStart w:id="33" w:name="_Toc5258"/>
      <w:r>
        <w:rPr>
          <w:rFonts w:hint="eastAsia" w:ascii="黑体" w:hAnsi="黑体" w:eastAsia="黑体"/>
          <w:sz w:val="32"/>
          <w:szCs w:val="32"/>
        </w:rPr>
        <w:t>支</w:t>
      </w:r>
      <w:r>
        <w:rPr>
          <w:rStyle w:val="28"/>
          <w:rFonts w:hint="eastAsia" w:ascii="黑体" w:hAnsi="黑体" w:eastAsia="黑体"/>
          <w:b w:val="0"/>
        </w:rPr>
        <w:t>出决算情况说明</w:t>
      </w:r>
      <w:bookmarkEnd w:id="31"/>
      <w:bookmarkEnd w:id="32"/>
      <w:bookmarkEnd w:id="33"/>
    </w:p>
    <w:p>
      <w:pPr>
        <w:spacing w:line="600" w:lineRule="exact"/>
        <w:ind w:firstLine="640" w:firstLineChars="200"/>
        <w:outlineLvl w:val="1"/>
        <w:rPr>
          <w:rFonts w:hint="eastAsia" w:ascii="仿宋" w:hAnsi="仿宋" w:eastAsia="仿宋"/>
          <w:sz w:val="32"/>
          <w:szCs w:val="32"/>
        </w:rPr>
      </w:pPr>
      <w:bookmarkStart w:id="34" w:name="_Toc19437"/>
      <w:r>
        <w:rPr>
          <w:rFonts w:hint="eastAsia" w:ascii="仿宋" w:hAnsi="仿宋" w:eastAsia="仿宋"/>
          <w:sz w:val="32"/>
          <w:szCs w:val="32"/>
        </w:rPr>
        <w:t>2023年度本年支出合计</w:t>
      </w:r>
      <w:r>
        <w:rPr>
          <w:rFonts w:ascii="仿宋" w:hAnsi="仿宋" w:eastAsia="仿宋"/>
          <w:b/>
          <w:sz w:val="32"/>
          <w:szCs w:val="32"/>
        </w:rPr>
        <w:t>1293.44</w:t>
      </w:r>
      <w:r>
        <w:rPr>
          <w:rFonts w:hint="eastAsia" w:ascii="仿宋" w:hAnsi="仿宋" w:eastAsia="仿宋"/>
          <w:sz w:val="32"/>
          <w:szCs w:val="32"/>
        </w:rPr>
        <w:t>万元，其中：基本支出</w:t>
      </w:r>
      <w:r>
        <w:rPr>
          <w:rFonts w:ascii="仿宋" w:hAnsi="仿宋" w:eastAsia="仿宋"/>
          <w:b/>
          <w:sz w:val="32"/>
          <w:szCs w:val="32"/>
        </w:rPr>
        <w:t>1188.52</w:t>
      </w:r>
      <w:r>
        <w:rPr>
          <w:rFonts w:hint="eastAsia" w:ascii="仿宋" w:hAnsi="仿宋" w:eastAsia="仿宋"/>
          <w:sz w:val="32"/>
          <w:szCs w:val="32"/>
        </w:rPr>
        <w:t>万元，占</w:t>
      </w:r>
      <w:r>
        <w:rPr>
          <w:rFonts w:ascii="仿宋" w:hAnsi="仿宋" w:eastAsia="仿宋"/>
          <w:b/>
          <w:sz w:val="32"/>
          <w:szCs w:val="32"/>
        </w:rPr>
        <w:t>91.88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104.91</w:t>
      </w:r>
      <w:r>
        <w:rPr>
          <w:rFonts w:hint="eastAsia" w:ascii="仿宋" w:hAnsi="仿宋" w:eastAsia="仿宋"/>
          <w:sz w:val="32"/>
          <w:szCs w:val="32"/>
        </w:rPr>
        <w:t>万元，占</w:t>
      </w:r>
      <w:r>
        <w:rPr>
          <w:rFonts w:ascii="仿宋" w:hAnsi="仿宋" w:eastAsia="仿宋"/>
          <w:b/>
          <w:sz w:val="32"/>
          <w:szCs w:val="32"/>
        </w:rPr>
        <w:t>8.11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bookmarkEnd w:id="34"/>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815340</wp:posOffset>
            </wp:positionH>
            <wp:positionV relativeFrom="paragraph">
              <wp:posOffset>114300</wp:posOffset>
            </wp:positionV>
            <wp:extent cx="3634740" cy="2169160"/>
            <wp:effectExtent l="0" t="0" r="3810" b="2540"/>
            <wp:wrapNone/>
            <wp:docPr id="6139145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1458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34740" cy="2169204"/>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8"/>
          <w:rFonts w:hint="eastAsia" w:ascii="黑体" w:hAnsi="黑体" w:eastAsia="黑体"/>
          <w:b w:val="0"/>
        </w:rPr>
      </w:pPr>
      <w:bookmarkStart w:id="35" w:name="_Toc14657"/>
      <w:bookmarkStart w:id="36" w:name="_Toc15377208"/>
      <w:bookmarkStart w:id="37"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5"/>
      <w:bookmarkEnd w:id="36"/>
      <w:bookmarkEnd w:id="37"/>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1293.44</w:t>
      </w:r>
      <w:r>
        <w:rPr>
          <w:rFonts w:hint="eastAsia" w:ascii="仿宋" w:hAnsi="仿宋" w:eastAsia="仿宋"/>
          <w:sz w:val="32"/>
          <w:szCs w:val="32"/>
        </w:rPr>
        <w:t>万元。与2022年度相比，财政拨款收、支总计各减少59.49万元，增下降4.40</w:t>
      </w:r>
      <w:r>
        <w:rPr>
          <w:rFonts w:ascii="仿宋" w:hAnsi="仿宋" w:eastAsia="仿宋"/>
          <w:sz w:val="32"/>
          <w:szCs w:val="32"/>
        </w:rPr>
        <w:t>%</w:t>
      </w:r>
      <w:r>
        <w:rPr>
          <w:rFonts w:hint="eastAsia" w:ascii="仿宋" w:hAnsi="仿宋" w:eastAsia="仿宋"/>
          <w:sz w:val="32"/>
          <w:szCs w:val="32"/>
        </w:rPr>
        <w:t>。主要变动原因是人员减少。</w:t>
      </w:r>
    </w:p>
    <w:p>
      <w:pPr>
        <w:spacing w:line="600" w:lineRule="exact"/>
        <w:ind w:firstLine="640"/>
        <w:rPr>
          <w:rFonts w:ascii="仿宋" w:hAnsi="仿宋" w:eastAsia="仿宋"/>
          <w:b/>
          <w:sz w:val="32"/>
          <w:szCs w:val="32"/>
        </w:rPr>
      </w:pPr>
      <w:r>
        <w:rPr>
          <w:rFonts w:hint="eastAsia" w:ascii="仿宋" w:hAnsi="仿宋" w:eastAsia="仿宋"/>
          <w:b/>
          <w:sz w:val="32"/>
          <w:szCs w:val="32"/>
        </w:rPr>
        <w:drawing>
          <wp:anchor distT="0" distB="0" distL="114300" distR="114300" simplePos="0" relativeHeight="251662336" behindDoc="0" locked="0" layoutInCell="1" allowOverlap="1">
            <wp:simplePos x="0" y="0"/>
            <wp:positionH relativeFrom="column">
              <wp:posOffset>106680</wp:posOffset>
            </wp:positionH>
            <wp:positionV relativeFrom="paragraph">
              <wp:posOffset>114300</wp:posOffset>
            </wp:positionV>
            <wp:extent cx="5079365" cy="3032760"/>
            <wp:effectExtent l="0" t="0" r="6985" b="0"/>
            <wp:wrapNone/>
            <wp:docPr id="101127265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2657"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83211" cy="3034872"/>
                    </a:xfrm>
                    <a:prstGeom prst="rect">
                      <a:avLst/>
                    </a:prstGeom>
                    <a:noFill/>
                    <a:ln>
                      <a:noFill/>
                    </a:ln>
                  </pic:spPr>
                </pic:pic>
              </a:graphicData>
            </a:graphic>
          </wp:anchor>
        </w:drawing>
      </w: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8"/>
          <w:rFonts w:hint="eastAsia" w:ascii="黑体" w:hAnsi="黑体" w:eastAsia="黑体"/>
          <w:b w:val="0"/>
        </w:rPr>
      </w:pPr>
      <w:bookmarkStart w:id="38" w:name="_Toc15396607"/>
      <w:bookmarkStart w:id="39" w:name="_Toc13951"/>
      <w:bookmarkStart w:id="40"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8"/>
      <w:bookmarkEnd w:id="39"/>
      <w:bookmarkEnd w:id="40"/>
    </w:p>
    <w:p>
      <w:pPr>
        <w:spacing w:line="600" w:lineRule="exact"/>
        <w:ind w:firstLine="643" w:firstLineChars="200"/>
        <w:outlineLvl w:val="2"/>
        <w:rPr>
          <w:rFonts w:hint="eastAsia"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1293.44</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。与2022年度相比，一般公共预算财政拨款支出减少59.49万元，下降4.40</w:t>
      </w:r>
      <w:r>
        <w:rPr>
          <w:rFonts w:ascii="仿宋" w:hAnsi="仿宋" w:eastAsia="仿宋"/>
          <w:sz w:val="32"/>
          <w:szCs w:val="32"/>
        </w:rPr>
        <w:t>%</w:t>
      </w:r>
      <w:r>
        <w:rPr>
          <w:rFonts w:hint="eastAsia" w:ascii="仿宋" w:hAnsi="仿宋" w:eastAsia="仿宋"/>
          <w:sz w:val="32"/>
          <w:szCs w:val="32"/>
        </w:rPr>
        <w:t>。主要变动原因是人员减少。</w:t>
      </w:r>
    </w:p>
    <w:p>
      <w:pPr>
        <w:spacing w:line="600" w:lineRule="exact"/>
        <w:ind w:firstLine="640" w:firstLineChars="200"/>
        <w:rPr>
          <w:rFonts w:ascii="仿宋" w:hAnsi="仿宋" w:eastAsia="仿宋"/>
          <w:sz w:val="32"/>
          <w:szCs w:val="32"/>
        </w:rPr>
      </w:pPr>
    </w:p>
    <w:p>
      <w:pPr>
        <w:pStyle w:val="2"/>
        <w:outlineLvl w:val="9"/>
      </w:pPr>
    </w:p>
    <w:p/>
    <w:p>
      <w:pPr>
        <w:pStyle w:val="2"/>
        <w:outlineLvl w:val="9"/>
      </w:pPr>
      <w:r>
        <w:rPr>
          <w:rFonts w:hint="eastAsia"/>
        </w:rPr>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5274310" cy="3111500"/>
            <wp:effectExtent l="0" t="0" r="2540" b="0"/>
            <wp:wrapNone/>
            <wp:docPr id="71641154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11543"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111500"/>
                    </a:xfrm>
                    <a:prstGeom prst="rect">
                      <a:avLst/>
                    </a:prstGeom>
                    <a:noFill/>
                    <a:ln>
                      <a:noFill/>
                    </a:ln>
                  </pic:spPr>
                </pic:pic>
              </a:graphicData>
            </a:graphic>
          </wp:anchor>
        </w:drawing>
      </w:r>
    </w:p>
    <w:p>
      <w:pPr>
        <w:pStyle w:val="2"/>
        <w:outlineLvl w:val="9"/>
      </w:pPr>
    </w:p>
    <w:p/>
    <w:p>
      <w:pPr>
        <w:pStyle w:val="2"/>
        <w:outlineLvl w:val="9"/>
      </w:pPr>
    </w:p>
    <w:p/>
    <w:p>
      <w:pPr>
        <w:pStyle w:val="2"/>
        <w:outlineLvl w:val="9"/>
      </w:pPr>
    </w:p>
    <w:p/>
    <w:p>
      <w:pPr>
        <w:pStyle w:val="2"/>
        <w:outlineLvl w:val="9"/>
      </w:pPr>
    </w:p>
    <w:p>
      <w:pPr>
        <w:spacing w:line="600" w:lineRule="exact"/>
        <w:ind w:firstLine="320" w:firstLineChars="100"/>
        <w:rPr>
          <w:rFonts w:hint="eastAsia"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hint="eastAsia"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spacing w:line="600" w:lineRule="exact"/>
        <w:ind w:firstLine="640"/>
        <w:rPr>
          <w:rFonts w:hint="eastAsia"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1293.44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1,043.74</w:t>
      </w:r>
      <w:r>
        <w:rPr>
          <w:rFonts w:hint="eastAsia" w:ascii="仿宋" w:hAnsi="仿宋" w:eastAsia="仿宋"/>
          <w:sz w:val="32"/>
          <w:szCs w:val="32"/>
        </w:rPr>
        <w:t>万元，占80.69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151.34</w:t>
      </w:r>
      <w:r>
        <w:rPr>
          <w:rFonts w:hint="eastAsia" w:ascii="仿宋" w:hAnsi="仿宋" w:eastAsia="仿宋"/>
          <w:sz w:val="32"/>
          <w:szCs w:val="32"/>
        </w:rPr>
        <w:t>万元，占11.70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49.18</w:t>
      </w:r>
      <w:r>
        <w:rPr>
          <w:rFonts w:hint="eastAsia" w:ascii="仿宋" w:hAnsi="仿宋" w:eastAsia="仿宋"/>
          <w:sz w:val="32"/>
          <w:szCs w:val="32"/>
        </w:rPr>
        <w:t>万元，占3.80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49.17</w:t>
      </w:r>
      <w:r>
        <w:rPr>
          <w:rFonts w:hint="eastAsia" w:ascii="仿宋" w:hAnsi="仿宋" w:eastAsia="仿宋"/>
          <w:sz w:val="32"/>
          <w:szCs w:val="32"/>
        </w:rPr>
        <w:t>万元，占3.80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drawing>
          <wp:anchor distT="0" distB="0" distL="114300" distR="114300" simplePos="0" relativeHeight="251664384" behindDoc="0" locked="0" layoutInCell="1" allowOverlap="1">
            <wp:simplePos x="0" y="0"/>
            <wp:positionH relativeFrom="column">
              <wp:posOffset>365760</wp:posOffset>
            </wp:positionH>
            <wp:positionV relativeFrom="paragraph">
              <wp:posOffset>11430</wp:posOffset>
            </wp:positionV>
            <wp:extent cx="4534535" cy="2674620"/>
            <wp:effectExtent l="0" t="0" r="0" b="0"/>
            <wp:wrapNone/>
            <wp:docPr id="11478208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20894" name="图片 1"/>
                    <pic:cNvPicPr>
                      <a:picLocks noChangeAspect="1"/>
                    </pic:cNvPicPr>
                  </pic:nvPicPr>
                  <pic:blipFill>
                    <a:blip r:embed="rId11"/>
                    <a:stretch>
                      <a:fillRect/>
                    </a:stretch>
                  </pic:blipFill>
                  <pic:spPr>
                    <a:xfrm>
                      <a:off x="0" y="0"/>
                      <a:ext cx="4534293" cy="2674852"/>
                    </a:xfrm>
                    <a:prstGeom prst="rect">
                      <a:avLst/>
                    </a:prstGeom>
                  </pic:spPr>
                </pic:pic>
              </a:graphicData>
            </a:graphic>
          </wp:anchor>
        </w:drawing>
      </w:r>
    </w:p>
    <w:p>
      <w:pPr>
        <w:pStyle w:val="2"/>
        <w:outlineLvl w:val="9"/>
      </w:pPr>
    </w:p>
    <w:p/>
    <w:p>
      <w:pPr>
        <w:pStyle w:val="2"/>
        <w:outlineLvl w:val="9"/>
      </w:pPr>
    </w:p>
    <w:p>
      <w:pPr>
        <w:pStyle w:val="2"/>
        <w:outlineLvl w:val="9"/>
      </w:pPr>
    </w:p>
    <w:p>
      <w:pPr>
        <w:pStyle w:val="2"/>
        <w:outlineLvl w:val="9"/>
        <w:rPr>
          <w:rFonts w:hint="eastAsia"/>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hint="eastAsia"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spacing w:line="600" w:lineRule="exact"/>
        <w:ind w:firstLine="643" w:firstLineChars="200"/>
        <w:outlineLvl w:val="1"/>
        <w:rPr>
          <w:rFonts w:hint="eastAsia" w:ascii="仿宋" w:hAnsi="仿宋" w:eastAsia="仿宋"/>
          <w:sz w:val="32"/>
          <w:szCs w:val="32"/>
        </w:rPr>
      </w:pPr>
      <w:bookmarkStart w:id="44" w:name="_Toc12292"/>
      <w:bookmarkStart w:id="45" w:name="_Toc15378460"/>
      <w:bookmarkStart w:id="46" w:name="_Toc15377213"/>
      <w:bookmarkStart w:id="47" w:name="_Toc15377444"/>
      <w:r>
        <w:rPr>
          <w:rFonts w:hint="eastAsia" w:ascii="仿宋" w:hAnsi="仿宋" w:eastAsia="仿宋"/>
          <w:b/>
          <w:sz w:val="32"/>
          <w:szCs w:val="32"/>
        </w:rPr>
        <w:t>2023年度一般公共预算支出决算数为</w:t>
      </w:r>
      <w:r>
        <w:rPr>
          <w:rFonts w:ascii="仿宋" w:hAnsi="仿宋" w:eastAsia="仿宋"/>
          <w:b/>
          <w:sz w:val="32"/>
          <w:szCs w:val="32"/>
        </w:rPr>
        <w:t>1293.44</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44"/>
      <w:bookmarkEnd w:id="45"/>
      <w:bookmarkEnd w:id="46"/>
      <w:bookmarkEnd w:id="47"/>
    </w:p>
    <w:p>
      <w:pPr>
        <w:spacing w:line="600" w:lineRule="exact"/>
        <w:ind w:firstLine="643" w:firstLineChars="200"/>
        <w:rPr>
          <w:rFonts w:hint="eastAsia" w:ascii="仿宋" w:hAnsi="仿宋" w:eastAsia="仿宋"/>
          <w:b/>
          <w:sz w:val="32"/>
          <w:szCs w:val="32"/>
        </w:rPr>
      </w:pPr>
      <w:r>
        <w:rPr>
          <w:rStyle w:val="17"/>
          <w:rFonts w:ascii="仿宋" w:hAnsi="仿宋" w:eastAsia="仿宋"/>
          <w:bCs/>
          <w:sz w:val="32"/>
          <w:szCs w:val="32"/>
        </w:rPr>
        <w:t>1.</w:t>
      </w:r>
      <w:r>
        <w:rPr>
          <w:rFonts w:hint="eastAsia"/>
        </w:rPr>
        <w:t xml:space="preserve"> </w:t>
      </w:r>
      <w:r>
        <w:rPr>
          <w:rStyle w:val="17"/>
          <w:rFonts w:hint="eastAsia" w:ascii="仿宋" w:hAnsi="仿宋" w:eastAsia="仿宋"/>
          <w:bCs/>
          <w:sz w:val="32"/>
          <w:szCs w:val="32"/>
        </w:rPr>
        <w:t>教育（205）基础教育（02）小学教育（02）</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2.86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Style w:val="17"/>
          <w:rFonts w:ascii="仿宋" w:hAnsi="仿宋" w:eastAsia="仿宋"/>
          <w:bCs/>
          <w:sz w:val="32"/>
          <w:szCs w:val="32"/>
        </w:rPr>
        <w:t>2.</w:t>
      </w:r>
      <w:r>
        <w:rPr>
          <w:rFonts w:hint="eastAsia"/>
        </w:rPr>
        <w:t xml:space="preserve"> </w:t>
      </w:r>
      <w:r>
        <w:rPr>
          <w:rStyle w:val="17"/>
          <w:rFonts w:hint="eastAsia" w:ascii="仿宋" w:hAnsi="仿宋" w:eastAsia="仿宋"/>
          <w:bCs/>
          <w:sz w:val="32"/>
          <w:szCs w:val="32"/>
        </w:rPr>
        <w:t>教育（205）基础教育（02）初中教育（03）</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1,032.47</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教育（205）教育费附加安排的支出（09）其他教育费附加安排的支出（99）</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8.42</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Style w:val="17"/>
          <w:rFonts w:ascii="仿宋" w:hAnsi="仿宋" w:eastAsia="仿宋"/>
          <w:bCs/>
          <w:sz w:val="32"/>
          <w:szCs w:val="32"/>
        </w:rPr>
        <w:t>4.</w:t>
      </w:r>
      <w:r>
        <w:rPr>
          <w:rFonts w:hint="eastAsia"/>
        </w:rPr>
        <w:t xml:space="preserve"> </w:t>
      </w:r>
      <w:r>
        <w:rPr>
          <w:rStyle w:val="17"/>
          <w:rFonts w:hint="eastAsia" w:ascii="仿宋" w:hAnsi="仿宋" w:eastAsia="仿宋"/>
          <w:bCs/>
          <w:sz w:val="32"/>
          <w:szCs w:val="32"/>
        </w:rPr>
        <w:t>社会保障和就业支出（208）行政事业单位养老支出（05）事业单位离退休（02）</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40.57</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Style w:val="17"/>
          <w:rFonts w:ascii="仿宋" w:hAnsi="仿宋" w:eastAsia="仿宋"/>
          <w:bCs/>
          <w:sz w:val="32"/>
          <w:szCs w:val="32"/>
        </w:rPr>
        <w:t>5.</w:t>
      </w:r>
      <w:r>
        <w:rPr>
          <w:rFonts w:hint="eastAsia"/>
        </w:rPr>
        <w:t xml:space="preserve"> </w:t>
      </w:r>
      <w:r>
        <w:rPr>
          <w:rStyle w:val="17"/>
          <w:rFonts w:hint="eastAsia" w:ascii="仿宋" w:hAnsi="仿宋" w:eastAsia="仿宋"/>
          <w:bCs/>
          <w:sz w:val="32"/>
          <w:szCs w:val="32"/>
        </w:rPr>
        <w:t>社会保障和就业支出（208）行政事业单位养老支出（05）机关事业单位基本养老保险缴费支出（05）</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ascii="仿宋" w:hAnsi="仿宋" w:eastAsia="仿宋"/>
          <w:b w:val="0"/>
          <w:bCs/>
          <w:sz w:val="32"/>
          <w:szCs w:val="32"/>
        </w:rPr>
        <w:t>68.40</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Style w:val="17"/>
          <w:rFonts w:ascii="仿宋" w:hAnsi="仿宋" w:eastAsia="仿宋"/>
          <w:bCs/>
          <w:sz w:val="32"/>
          <w:szCs w:val="32"/>
        </w:rPr>
        <w:t>6.</w:t>
      </w:r>
      <w:r>
        <w:rPr>
          <w:rFonts w:hint="eastAsia" w:ascii="仿宋" w:hAnsi="仿宋" w:eastAsia="仿宋"/>
          <w:b/>
          <w:bCs/>
          <w:sz w:val="32"/>
          <w:szCs w:val="32"/>
        </w:rPr>
        <w:t xml:space="preserve"> 社会保障和就业支出（208）行政事业单位养老支出（05）其他行政事业单位养老支出（99）</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ascii="仿宋" w:hAnsi="仿宋" w:eastAsia="仿宋"/>
          <w:b w:val="0"/>
          <w:bCs/>
          <w:sz w:val="32"/>
          <w:szCs w:val="32"/>
        </w:rPr>
        <w:t>38.08</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7.</w:t>
      </w:r>
      <w:r>
        <w:rPr>
          <w:rFonts w:hint="eastAsia" w:ascii="仿宋" w:hAnsi="仿宋" w:eastAsia="仿宋"/>
          <w:b/>
          <w:bCs/>
          <w:sz w:val="32"/>
          <w:szCs w:val="32"/>
        </w:rPr>
        <w:t xml:space="preserve"> 社会保障和就业支出（208）抚恤（08）伤残抚恤（02）</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ascii="仿宋" w:hAnsi="仿宋" w:eastAsia="仿宋"/>
          <w:b w:val="0"/>
          <w:bCs/>
          <w:sz w:val="32"/>
          <w:szCs w:val="32"/>
        </w:rPr>
        <w:t>4.30</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8.</w:t>
      </w:r>
      <w:r>
        <w:rPr>
          <w:rFonts w:hint="eastAsia" w:ascii="仿宋" w:hAnsi="仿宋" w:eastAsia="仿宋"/>
          <w:b/>
          <w:bCs/>
          <w:sz w:val="32"/>
          <w:szCs w:val="32"/>
        </w:rPr>
        <w:t xml:space="preserve"> 卫生健康支出（210）行政事业单位医疗（11）事业单位医疗（02）</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ascii="仿宋" w:hAnsi="仿宋" w:eastAsia="仿宋"/>
          <w:b w:val="0"/>
          <w:bCs/>
          <w:sz w:val="32"/>
          <w:szCs w:val="32"/>
        </w:rPr>
        <w:t>49.18</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9.</w:t>
      </w:r>
      <w:r>
        <w:rPr>
          <w:rFonts w:hint="eastAsia" w:ascii="仿宋" w:hAnsi="仿宋" w:eastAsia="仿宋"/>
          <w:b/>
          <w:bCs/>
          <w:sz w:val="32"/>
          <w:szCs w:val="32"/>
        </w:rPr>
        <w:t xml:space="preserve"> 住房保障支出（221）住房改革支出（02）住房公积金（01）</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ascii="仿宋" w:hAnsi="仿宋" w:eastAsia="仿宋"/>
          <w:b w:val="0"/>
          <w:bCs/>
          <w:sz w:val="32"/>
          <w:szCs w:val="32"/>
        </w:rPr>
        <w:t>49.1</w:t>
      </w:r>
      <w:r>
        <w:rPr>
          <w:rStyle w:val="17"/>
          <w:rFonts w:hint="eastAsia" w:ascii="仿宋" w:hAnsi="仿宋" w:eastAsia="仿宋"/>
          <w:b w:val="0"/>
          <w:bCs/>
          <w:sz w:val="32"/>
          <w:szCs w:val="32"/>
        </w:rPr>
        <w:t>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tabs>
          <w:tab w:val="right" w:pos="8306"/>
        </w:tabs>
        <w:spacing w:line="600" w:lineRule="exact"/>
        <w:ind w:firstLine="640"/>
        <w:outlineLvl w:val="1"/>
        <w:rPr>
          <w:rStyle w:val="28"/>
        </w:rPr>
      </w:pPr>
      <w:bookmarkStart w:id="48" w:name="_Toc27882"/>
      <w:bookmarkStart w:id="49" w:name="_Toc15396608"/>
      <w:bookmarkStart w:id="5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8"/>
      <w:bookmarkEnd w:id="49"/>
      <w:bookmarkEnd w:id="50"/>
      <w:r>
        <w:rPr>
          <w:rStyle w:val="28"/>
          <w:rFonts w:ascii="黑体" w:hAnsi="黑体" w:eastAsia="黑体"/>
          <w:b w:val="0"/>
        </w:rPr>
        <w:tab/>
      </w:r>
    </w:p>
    <w:p>
      <w:pPr>
        <w:spacing w:line="600" w:lineRule="exact"/>
        <w:ind w:firstLine="645"/>
        <w:rPr>
          <w:rFonts w:hint="eastAsia"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1188.52</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1055.87</w:t>
      </w:r>
      <w:r>
        <w:rPr>
          <w:rFonts w:hint="eastAsia" w:ascii="仿宋" w:hAnsi="仿宋" w:eastAsia="仿宋"/>
          <w:sz w:val="32"/>
          <w:szCs w:val="32"/>
        </w:rPr>
        <w:t>万元，主要包括：基本工资</w:t>
      </w:r>
      <w:r>
        <w:rPr>
          <w:rFonts w:ascii="仿宋" w:hAnsi="仿宋" w:eastAsia="仿宋"/>
          <w:sz w:val="32"/>
          <w:szCs w:val="32"/>
        </w:rPr>
        <w:t>362.63</w:t>
      </w:r>
      <w:r>
        <w:rPr>
          <w:rFonts w:hint="eastAsia" w:ascii="仿宋" w:hAnsi="仿宋" w:eastAsia="仿宋"/>
          <w:sz w:val="32"/>
          <w:szCs w:val="32"/>
        </w:rPr>
        <w:t>万元、津贴补贴</w:t>
      </w:r>
      <w:r>
        <w:rPr>
          <w:rFonts w:ascii="仿宋" w:hAnsi="仿宋" w:eastAsia="仿宋"/>
          <w:sz w:val="32"/>
          <w:szCs w:val="32"/>
        </w:rPr>
        <w:t>56.52</w:t>
      </w:r>
      <w:r>
        <w:rPr>
          <w:rFonts w:hint="eastAsia" w:ascii="仿宋" w:hAnsi="仿宋" w:eastAsia="仿宋"/>
          <w:sz w:val="32"/>
          <w:szCs w:val="32"/>
        </w:rPr>
        <w:t>万元、绩效工资</w:t>
      </w:r>
      <w:r>
        <w:rPr>
          <w:rFonts w:ascii="仿宋" w:hAnsi="仿宋" w:eastAsia="仿宋"/>
          <w:sz w:val="32"/>
          <w:szCs w:val="32"/>
        </w:rPr>
        <w:t>156.86</w:t>
      </w:r>
      <w:r>
        <w:rPr>
          <w:rFonts w:hint="eastAsia" w:ascii="仿宋" w:hAnsi="仿宋" w:eastAsia="仿宋"/>
          <w:sz w:val="32"/>
          <w:szCs w:val="32"/>
        </w:rPr>
        <w:t>万元、机关事业单位基本养老保险缴费</w:t>
      </w:r>
      <w:r>
        <w:rPr>
          <w:rFonts w:ascii="仿宋" w:hAnsi="仿宋" w:eastAsia="仿宋"/>
          <w:sz w:val="32"/>
          <w:szCs w:val="32"/>
        </w:rPr>
        <w:t>68.40</w:t>
      </w:r>
      <w:r>
        <w:rPr>
          <w:rFonts w:hint="eastAsia" w:ascii="仿宋" w:hAnsi="仿宋" w:eastAsia="仿宋"/>
          <w:sz w:val="32"/>
          <w:szCs w:val="32"/>
        </w:rPr>
        <w:t>万元、职工基本医疗保险缴费</w:t>
      </w:r>
      <w:r>
        <w:rPr>
          <w:rFonts w:ascii="仿宋" w:hAnsi="仿宋" w:eastAsia="仿宋"/>
          <w:sz w:val="32"/>
          <w:szCs w:val="32"/>
        </w:rPr>
        <w:t>49.18</w:t>
      </w:r>
      <w:r>
        <w:rPr>
          <w:rFonts w:hint="eastAsia" w:ascii="仿宋" w:hAnsi="仿宋" w:eastAsia="仿宋"/>
          <w:sz w:val="32"/>
          <w:szCs w:val="32"/>
        </w:rPr>
        <w:t>万元、住房公积金</w:t>
      </w:r>
      <w:r>
        <w:rPr>
          <w:rFonts w:ascii="仿宋" w:hAnsi="仿宋" w:eastAsia="仿宋"/>
          <w:sz w:val="32"/>
          <w:szCs w:val="32"/>
        </w:rPr>
        <w:t>49.17</w:t>
      </w:r>
      <w:r>
        <w:rPr>
          <w:rFonts w:hint="eastAsia" w:ascii="仿宋" w:hAnsi="仿宋" w:eastAsia="仿宋"/>
          <w:sz w:val="32"/>
          <w:szCs w:val="32"/>
        </w:rPr>
        <w:t>万元、其他工资福利支出</w:t>
      </w:r>
      <w:r>
        <w:rPr>
          <w:rFonts w:ascii="仿宋" w:hAnsi="仿宋" w:eastAsia="仿宋"/>
          <w:sz w:val="32"/>
          <w:szCs w:val="32"/>
        </w:rPr>
        <w:t>228.42</w:t>
      </w:r>
      <w:r>
        <w:rPr>
          <w:rFonts w:hint="eastAsia" w:ascii="仿宋" w:hAnsi="仿宋" w:eastAsia="仿宋"/>
          <w:sz w:val="32"/>
          <w:szCs w:val="32"/>
        </w:rPr>
        <w:t>万元、退休费</w:t>
      </w:r>
      <w:r>
        <w:rPr>
          <w:rFonts w:ascii="仿宋" w:hAnsi="仿宋" w:eastAsia="仿宋"/>
          <w:sz w:val="32"/>
          <w:szCs w:val="32"/>
        </w:rPr>
        <w:t>40.57</w:t>
      </w:r>
      <w:r>
        <w:rPr>
          <w:rFonts w:hint="eastAsia" w:ascii="仿宋" w:hAnsi="仿宋" w:eastAsia="仿宋"/>
          <w:sz w:val="32"/>
          <w:szCs w:val="32"/>
        </w:rPr>
        <w:t>万元、抚恤金</w:t>
      </w:r>
      <w:r>
        <w:rPr>
          <w:rFonts w:ascii="仿宋" w:hAnsi="仿宋" w:eastAsia="仿宋"/>
          <w:sz w:val="32"/>
          <w:szCs w:val="32"/>
        </w:rPr>
        <w:t>4.30</w:t>
      </w:r>
      <w:r>
        <w:rPr>
          <w:rFonts w:hint="eastAsia" w:ascii="仿宋" w:hAnsi="仿宋" w:eastAsia="仿宋"/>
          <w:sz w:val="32"/>
          <w:szCs w:val="32"/>
        </w:rPr>
        <w:t>万元、生活补助</w:t>
      </w:r>
      <w:r>
        <w:rPr>
          <w:rFonts w:ascii="仿宋" w:hAnsi="仿宋" w:eastAsia="仿宋"/>
          <w:sz w:val="32"/>
          <w:szCs w:val="32"/>
        </w:rPr>
        <w:t>39.79</w:t>
      </w:r>
      <w:r>
        <w:rPr>
          <w:rFonts w:hint="eastAsia" w:ascii="仿宋" w:hAnsi="仿宋" w:eastAsia="仿宋"/>
          <w:sz w:val="32"/>
          <w:szCs w:val="32"/>
        </w:rPr>
        <w:t>万元、奖励金</w:t>
      </w:r>
      <w:r>
        <w:rPr>
          <w:rFonts w:ascii="仿宋" w:hAnsi="仿宋" w:eastAsia="仿宋"/>
          <w:sz w:val="32"/>
          <w:szCs w:val="32"/>
        </w:rPr>
        <w:t>0.03</w:t>
      </w:r>
      <w:r>
        <w:rPr>
          <w:rFonts w:hint="eastAsia" w:ascii="仿宋" w:hAnsi="仿宋" w:eastAsia="仿宋"/>
          <w:sz w:val="32"/>
          <w:szCs w:val="32"/>
        </w:rPr>
        <w:t>万元。</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132.65</w:t>
      </w:r>
      <w:r>
        <w:rPr>
          <w:rFonts w:hint="eastAsia" w:ascii="仿宋" w:hAnsi="仿宋" w:eastAsia="仿宋"/>
          <w:sz w:val="32"/>
          <w:szCs w:val="32"/>
        </w:rPr>
        <w:t>万元，主要包括：办公费</w:t>
      </w:r>
      <w:r>
        <w:rPr>
          <w:rFonts w:ascii="仿宋" w:hAnsi="仿宋" w:eastAsia="仿宋"/>
          <w:sz w:val="32"/>
          <w:szCs w:val="32"/>
        </w:rPr>
        <w:t>12.98</w:t>
      </w:r>
      <w:r>
        <w:rPr>
          <w:rFonts w:hint="eastAsia" w:ascii="仿宋" w:hAnsi="仿宋" w:eastAsia="仿宋"/>
          <w:sz w:val="32"/>
          <w:szCs w:val="32"/>
        </w:rPr>
        <w:t>万元、印刷费9.00万元、水费</w:t>
      </w:r>
      <w:r>
        <w:rPr>
          <w:rFonts w:ascii="仿宋" w:hAnsi="仿宋" w:eastAsia="仿宋"/>
          <w:sz w:val="32"/>
          <w:szCs w:val="32"/>
        </w:rPr>
        <w:t>6.50</w:t>
      </w:r>
      <w:r>
        <w:rPr>
          <w:rFonts w:hint="eastAsia" w:ascii="仿宋" w:hAnsi="仿宋" w:eastAsia="仿宋"/>
          <w:sz w:val="32"/>
          <w:szCs w:val="32"/>
        </w:rPr>
        <w:t>万元、电费3.96万元、邮电费2.00万元、物业管理费4.50万元、差旅费</w:t>
      </w:r>
      <w:r>
        <w:rPr>
          <w:rFonts w:ascii="仿宋" w:hAnsi="仿宋" w:eastAsia="仿宋"/>
          <w:sz w:val="32"/>
          <w:szCs w:val="32"/>
        </w:rPr>
        <w:t>1.79</w:t>
      </w:r>
      <w:r>
        <w:rPr>
          <w:rFonts w:hint="eastAsia" w:ascii="仿宋" w:hAnsi="仿宋" w:eastAsia="仿宋"/>
          <w:sz w:val="32"/>
          <w:szCs w:val="32"/>
        </w:rPr>
        <w:t>万元、维修（护）费</w:t>
      </w:r>
      <w:r>
        <w:rPr>
          <w:rFonts w:ascii="仿宋" w:hAnsi="仿宋" w:eastAsia="仿宋"/>
          <w:sz w:val="32"/>
          <w:szCs w:val="32"/>
        </w:rPr>
        <w:t>15.15</w:t>
      </w:r>
      <w:r>
        <w:rPr>
          <w:rFonts w:hint="eastAsia" w:ascii="仿宋" w:hAnsi="仿宋" w:eastAsia="仿宋"/>
          <w:sz w:val="32"/>
          <w:szCs w:val="32"/>
        </w:rPr>
        <w:t>万元、会议费</w:t>
      </w:r>
      <w:r>
        <w:rPr>
          <w:rFonts w:ascii="仿宋" w:hAnsi="仿宋" w:eastAsia="仿宋"/>
          <w:sz w:val="32"/>
          <w:szCs w:val="32"/>
        </w:rPr>
        <w:t>4.49</w:t>
      </w:r>
      <w:r>
        <w:rPr>
          <w:rFonts w:hint="eastAsia" w:ascii="仿宋" w:hAnsi="仿宋" w:eastAsia="仿宋"/>
          <w:sz w:val="32"/>
          <w:szCs w:val="32"/>
        </w:rPr>
        <w:t>万元、培训费</w:t>
      </w:r>
      <w:r>
        <w:rPr>
          <w:rFonts w:ascii="仿宋" w:hAnsi="仿宋" w:eastAsia="仿宋"/>
          <w:sz w:val="32"/>
          <w:szCs w:val="32"/>
        </w:rPr>
        <w:t>0.10</w:t>
      </w:r>
      <w:r>
        <w:rPr>
          <w:rFonts w:hint="eastAsia" w:ascii="仿宋" w:hAnsi="仿宋" w:eastAsia="仿宋"/>
          <w:sz w:val="32"/>
          <w:szCs w:val="32"/>
        </w:rPr>
        <w:t>万元、公务接待费</w:t>
      </w:r>
      <w:r>
        <w:rPr>
          <w:rFonts w:ascii="仿宋" w:hAnsi="仿宋" w:eastAsia="仿宋"/>
          <w:sz w:val="32"/>
          <w:szCs w:val="32"/>
        </w:rPr>
        <w:t>0.41</w:t>
      </w:r>
      <w:r>
        <w:rPr>
          <w:rFonts w:hint="eastAsia" w:ascii="仿宋" w:hAnsi="仿宋" w:eastAsia="仿宋"/>
          <w:sz w:val="32"/>
          <w:szCs w:val="32"/>
        </w:rPr>
        <w:t>万元、劳务费</w:t>
      </w:r>
      <w:r>
        <w:rPr>
          <w:rFonts w:ascii="仿宋" w:hAnsi="仿宋" w:eastAsia="仿宋"/>
          <w:sz w:val="32"/>
          <w:szCs w:val="32"/>
        </w:rPr>
        <w:t>9.00</w:t>
      </w:r>
      <w:r>
        <w:rPr>
          <w:rFonts w:hint="eastAsia" w:ascii="仿宋" w:hAnsi="仿宋" w:eastAsia="仿宋"/>
          <w:sz w:val="32"/>
          <w:szCs w:val="32"/>
        </w:rPr>
        <w:t>万元、工会经费</w:t>
      </w:r>
      <w:r>
        <w:rPr>
          <w:rFonts w:ascii="仿宋" w:hAnsi="仿宋" w:eastAsia="仿宋"/>
          <w:sz w:val="32"/>
          <w:szCs w:val="32"/>
        </w:rPr>
        <w:t>10.80</w:t>
      </w:r>
      <w:r>
        <w:rPr>
          <w:rFonts w:hint="eastAsia" w:ascii="仿宋" w:hAnsi="仿宋" w:eastAsia="仿宋"/>
          <w:sz w:val="32"/>
          <w:szCs w:val="32"/>
        </w:rPr>
        <w:t>万元、福利费</w:t>
      </w:r>
      <w:r>
        <w:rPr>
          <w:rFonts w:ascii="仿宋" w:hAnsi="仿宋" w:eastAsia="仿宋"/>
          <w:sz w:val="32"/>
          <w:szCs w:val="32"/>
        </w:rPr>
        <w:t>17.66</w:t>
      </w:r>
      <w:r>
        <w:rPr>
          <w:rFonts w:hint="eastAsia" w:ascii="仿宋" w:hAnsi="仿宋" w:eastAsia="仿宋"/>
          <w:sz w:val="32"/>
          <w:szCs w:val="32"/>
        </w:rPr>
        <w:t>万元、其他商品和服务支出</w:t>
      </w:r>
      <w:r>
        <w:rPr>
          <w:rFonts w:ascii="仿宋" w:hAnsi="仿宋" w:eastAsia="仿宋"/>
          <w:sz w:val="32"/>
          <w:szCs w:val="32"/>
        </w:rPr>
        <w:t>34.32</w:t>
      </w:r>
      <w:r>
        <w:rPr>
          <w:rFonts w:hint="eastAsia" w:ascii="仿宋" w:hAnsi="仿宋" w:eastAsia="仿宋"/>
          <w:sz w:val="32"/>
          <w:szCs w:val="32"/>
        </w:rPr>
        <w:t>万元。</w:t>
      </w:r>
    </w:p>
    <w:p>
      <w:pPr>
        <w:spacing w:line="600" w:lineRule="exact"/>
        <w:ind w:firstLine="640"/>
        <w:outlineLvl w:val="1"/>
        <w:rPr>
          <w:rStyle w:val="28"/>
          <w:rFonts w:hint="eastAsia" w:ascii="黑体" w:hAnsi="黑体" w:eastAsia="黑体"/>
          <w:b w:val="0"/>
        </w:rPr>
      </w:pPr>
      <w:bookmarkStart w:id="51" w:name="_Toc579"/>
      <w:bookmarkStart w:id="52" w:name="_Toc15377215"/>
      <w:bookmarkStart w:id="53"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pPr>
        <w:spacing w:line="600" w:lineRule="exact"/>
        <w:ind w:firstLine="640"/>
        <w:outlineLvl w:val="2"/>
        <w:rPr>
          <w:rFonts w:hint="eastAsia"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0.41</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，较上年度减少0.02万元，下降4.65%。完成预算100%。</w:t>
      </w:r>
    </w:p>
    <w:p>
      <w:pPr>
        <w:spacing w:line="600" w:lineRule="exact"/>
        <w:ind w:firstLine="640"/>
        <w:outlineLvl w:val="2"/>
        <w:rPr>
          <w:rFonts w:hint="eastAsia"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0.41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5408" behindDoc="0" locked="0" layoutInCell="1" allowOverlap="1">
            <wp:simplePos x="0" y="0"/>
            <wp:positionH relativeFrom="column">
              <wp:posOffset>0</wp:posOffset>
            </wp:positionH>
            <wp:positionV relativeFrom="paragraph">
              <wp:posOffset>30480</wp:posOffset>
            </wp:positionV>
            <wp:extent cx="5110480" cy="3048000"/>
            <wp:effectExtent l="0" t="0" r="0" b="0"/>
            <wp:wrapNone/>
            <wp:docPr id="6649579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957923" name="图片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10353" cy="3048000"/>
                    </a:xfrm>
                    <a:prstGeom prst="rect">
                      <a:avLst/>
                    </a:prstGeom>
                    <a:noFill/>
                    <a:ln>
                      <a:noFill/>
                    </a:ln>
                  </pic:spPr>
                </pic:pic>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960" w:firstLineChars="300"/>
        <w:rPr>
          <w:rFonts w:hint="eastAsia"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3" w:firstLineChars="200"/>
        <w:rPr>
          <w:rFonts w:ascii="仿宋_GB2312" w:eastAsia="仿宋_GB2312"/>
          <w:b/>
          <w:sz w:val="32"/>
          <w:szCs w:val="32"/>
        </w:rPr>
      </w:pPr>
      <w:bookmarkStart w:id="56" w:name="_Toc15377218"/>
      <w:bookmarkStart w:id="57" w:name="_Toc15396610"/>
      <w:r>
        <w:rPr>
          <w:rFonts w:ascii="仿宋_GB2312" w:eastAsia="仿宋_GB2312"/>
          <w:b/>
          <w:sz w:val="32"/>
          <w:szCs w:val="32"/>
        </w:rPr>
        <w:t>1.</w:t>
      </w:r>
      <w:r>
        <w:rPr>
          <w:rFonts w:hint="eastAsia" w:ascii="仿宋_GB2312" w:eastAsia="仿宋_GB2312"/>
          <w:b/>
          <w:sz w:val="32"/>
          <w:szCs w:val="32"/>
        </w:rPr>
        <w:t>因出国（境）经费支出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人。因公出国（境）支出决算与2022年持平。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公务用车购置及运行维护费支出决算与2022年持平。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0.41</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公务接待费支出决算比2022年度减少0.02万元，下降</w:t>
      </w:r>
      <w:r>
        <w:rPr>
          <w:rFonts w:hint="eastAsia" w:ascii="仿宋" w:hAnsi="仿宋" w:eastAsia="仿宋"/>
          <w:sz w:val="32"/>
          <w:szCs w:val="32"/>
        </w:rPr>
        <w:t>4.65</w:t>
      </w:r>
      <w:r>
        <w:rPr>
          <w:rFonts w:ascii="仿宋_GB2312" w:eastAsia="仿宋_GB2312"/>
          <w:sz w:val="32"/>
          <w:szCs w:val="32"/>
        </w:rPr>
        <w:t>%</w:t>
      </w:r>
      <w:r>
        <w:rPr>
          <w:rFonts w:hint="eastAsia" w:ascii="仿宋_GB2312" w:eastAsia="仿宋_GB2312"/>
          <w:sz w:val="32"/>
          <w:szCs w:val="32"/>
        </w:rPr>
        <w:t>。主要原因是厉行节约和接待人次减少。其中：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0.41</w:t>
      </w:r>
      <w:r>
        <w:rPr>
          <w:rFonts w:hint="eastAsia" w:ascii="仿宋_GB2312" w:eastAsia="仿宋_GB2312"/>
          <w:sz w:val="32"/>
          <w:szCs w:val="32"/>
        </w:rPr>
        <w:t>万元，主要用于开展业务活动开支的用餐费。国内公务接待10批次，90人次（不包括陪同人员），共计支出0.41万元。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pPr>
        <w:spacing w:line="600" w:lineRule="exact"/>
        <w:ind w:firstLine="640"/>
        <w:outlineLvl w:val="1"/>
        <w:rPr>
          <w:rStyle w:val="28"/>
          <w:rFonts w:hint="eastAsia" w:ascii="黑体" w:hAnsi="黑体" w:eastAsia="黑体"/>
        </w:rPr>
      </w:pPr>
      <w:bookmarkStart w:id="58" w:name="_Toc17611"/>
      <w:r>
        <w:rPr>
          <w:rFonts w:hint="eastAsia" w:ascii="黑体" w:eastAsia="黑体"/>
          <w:sz w:val="32"/>
          <w:szCs w:val="32"/>
        </w:rPr>
        <w:t>八、</w:t>
      </w:r>
      <w:r>
        <w:rPr>
          <w:rStyle w:val="28"/>
          <w:rFonts w:hint="eastAsia" w:ascii="黑体" w:hAnsi="黑体" w:eastAsia="黑体"/>
          <w:b w:val="0"/>
        </w:rPr>
        <w:t>政府性基金预算支出决算情况说明</w:t>
      </w:r>
      <w:bookmarkEnd w:id="56"/>
      <w:bookmarkEnd w:id="57"/>
      <w:bookmarkEnd w:id="58"/>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8"/>
          <w:rFonts w:hint="eastAsia" w:ascii="黑体" w:hAnsi="黑体" w:eastAsia="黑体"/>
          <w:b w:val="0"/>
        </w:rPr>
      </w:pPr>
      <w:bookmarkStart w:id="59" w:name="_Toc15396611"/>
      <w:bookmarkStart w:id="60" w:name="_Toc364"/>
      <w:bookmarkStart w:id="61" w:name="_Toc15377219"/>
      <w:r>
        <w:rPr>
          <w:rStyle w:val="28"/>
          <w:rFonts w:hint="eastAsia" w:ascii="黑体" w:hAnsi="黑体" w:eastAsia="黑体"/>
          <w:b w:val="0"/>
        </w:rPr>
        <w:t>国有资本经营预算支出决算情况说明</w:t>
      </w:r>
      <w:bookmarkEnd w:id="59"/>
      <w:bookmarkEnd w:id="60"/>
      <w:bookmarkEnd w:id="61"/>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rPr>
          <w:rStyle w:val="28"/>
          <w:rFonts w:hint="eastAsia" w:ascii="黑体" w:hAnsi="黑体" w:eastAsia="黑体"/>
          <w:b w:val="0"/>
        </w:rPr>
      </w:pPr>
      <w:r>
        <w:rPr>
          <w:rFonts w:hint="eastAsia" w:ascii="方正小标宋简体" w:hAnsi="方正小标宋简体" w:eastAsia="方正小标宋简体" w:cs="方正小标宋简体"/>
          <w:sz w:val="44"/>
          <w:szCs w:val="44"/>
        </w:rPr>
        <w:t xml:space="preserve">   </w:t>
      </w:r>
      <w:bookmarkStart w:id="62" w:name="_Toc15377221"/>
      <w:bookmarkStart w:id="63" w:name="_Toc15396612"/>
      <w:bookmarkStart w:id="64" w:name="_Toc23310"/>
      <w:r>
        <w:rPr>
          <w:rStyle w:val="28"/>
          <w:rFonts w:hint="eastAsia" w:ascii="黑体" w:hAnsi="黑体" w:eastAsia="黑体"/>
          <w:b w:val="0"/>
        </w:rPr>
        <w:t>其他重要事项的情况说明</w:t>
      </w:r>
      <w:bookmarkEnd w:id="62"/>
      <w:bookmarkEnd w:id="63"/>
    </w:p>
    <w:bookmarkEnd w:id="64"/>
    <w:p>
      <w:pPr>
        <w:spacing w:line="600" w:lineRule="exact"/>
        <w:ind w:firstLine="643" w:firstLineChars="200"/>
        <w:outlineLvl w:val="2"/>
        <w:rPr>
          <w:rFonts w:hint="eastAsia"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我单位为事业单位（学校），执行政府会计制度，无机关运行经费。</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b/>
          <w:sz w:val="32"/>
          <w:szCs w:val="32"/>
        </w:rPr>
        <w:t>大竹县月华综合初级中学</w:t>
      </w:r>
      <w:r>
        <w:rPr>
          <w:rFonts w:hint="eastAsia" w:ascii="仿宋_GB2312" w:eastAsia="仿宋_GB2312"/>
          <w:b/>
          <w:sz w:val="32"/>
          <w:szCs w:val="32"/>
          <w:lang w:val="en-US" w:eastAsia="zh-CN"/>
        </w:rPr>
        <w:t>2023年度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大竹县月华综合初级中学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营养餐项目等2个项目开展了预算事前绩效评估，对19个项目编制了绩效目标，预算执行过程中，选取19个项目开展绩效监控，组织对19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hint="eastAsia" w:ascii="黑体" w:hAnsi="黑体" w:eastAsia="黑体"/>
          <w:b w:val="0"/>
        </w:rPr>
      </w:pPr>
      <w:bookmarkStart w:id="68" w:name="_Toc15377225"/>
      <w:bookmarkStart w:id="69" w:name="_Toc2826"/>
      <w:bookmarkStart w:id="70" w:name="_Toc15396613"/>
      <w:r>
        <w:rPr>
          <w:rFonts w:hint="eastAsia" w:ascii="黑体" w:hAnsi="黑体" w:eastAsia="黑体"/>
          <w:sz w:val="44"/>
          <w:szCs w:val="44"/>
        </w:rPr>
        <w:t>名</w:t>
      </w:r>
      <w:r>
        <w:rPr>
          <w:rStyle w:val="27"/>
          <w:rFonts w:hint="eastAsia" w:ascii="黑体" w:hAnsi="黑体" w:eastAsia="黑体"/>
          <w:b w:val="0"/>
        </w:rPr>
        <w:t>词解释</w:t>
      </w:r>
      <w:bookmarkEnd w:id="68"/>
      <w:bookmarkEnd w:id="69"/>
      <w:bookmarkEnd w:id="70"/>
    </w:p>
    <w:p>
      <w:pPr>
        <w:spacing w:line="600" w:lineRule="exact"/>
        <w:jc w:val="left"/>
        <w:rPr>
          <w:rFonts w:ascii="宋体"/>
          <w:b/>
          <w:sz w:val="44"/>
          <w:szCs w:val="44"/>
        </w:rPr>
      </w:pPr>
    </w:p>
    <w:p>
      <w:pPr>
        <w:pStyle w:val="25"/>
        <w:spacing w:line="560" w:lineRule="exact"/>
        <w:ind w:firstLine="560" w:firstLineChars="200"/>
        <w:rPr>
          <w:rFonts w:hint="eastAsia" w:ascii="宋体" w:hAnsi="宋体" w:eastAsia="宋体" w:cs="宋体"/>
          <w:color w:val="auto"/>
          <w:sz w:val="28"/>
          <w:szCs w:val="28"/>
        </w:rPr>
      </w:pPr>
      <w:bookmarkStart w:id="71" w:name="_Toc15377226"/>
      <w:r>
        <w:rPr>
          <w:rFonts w:hint="eastAsia" w:ascii="宋体" w:hAnsi="宋体" w:eastAsia="宋体" w:cs="宋体"/>
          <w:color w:val="auto"/>
          <w:sz w:val="28"/>
          <w:szCs w:val="28"/>
        </w:rPr>
        <w:t>1.财政拨款收入：指单位从同级财政部门取得的财政预算资金。</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2.事业收入：指事业单位开展专业业务活动及辅助活动取得的收入。如…（二级预算单位事业收入情况）等。</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3.经营收入：指事业单位在专业业务活动及其辅助活动之外开展非独立核算经营活动取得的收入。如…（二级预算单位经营收入情况）等。</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4.其他收入：指单位取得的除上述收入以外的各项收入。主要是…（收入类型）等。 </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sz w:val="28"/>
          <w:szCs w:val="28"/>
        </w:rPr>
        <w:t>使用非财政拨款结余（含专用结余）</w:t>
      </w:r>
      <w:r>
        <w:rPr>
          <w:rFonts w:hint="eastAsia" w:ascii="宋体" w:hAnsi="宋体" w:eastAsia="宋体" w:cs="宋体"/>
          <w:color w:val="auto"/>
          <w:sz w:val="28"/>
          <w:szCs w:val="28"/>
        </w:rPr>
        <w:t xml:space="preserve">：指事业单位使用以前年度积累的非财政拨款结余弥补当年收支差额的金额。 </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6.年初结转和结余：指以前年度尚未完成、结转到本年按有关规定继续使用的资金。 </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7.结余分配：指事业单位按照会计制度规定缴纳的所得税、提取的专用结余以及转入非财政拨款结余的金额等。</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8.年末结转和结余：指单位按有关规定结转到下年或以后年度继续使用的资金。</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学前教育</w:t>
      </w:r>
      <w:r>
        <w:rPr>
          <w:rFonts w:hint="eastAsia" w:ascii="宋体" w:hAnsi="宋体" w:eastAsia="宋体" w:cs="宋体"/>
          <w:sz w:val="28"/>
          <w:szCs w:val="28"/>
        </w:rPr>
        <w:t>（项）：指</w:t>
      </w:r>
      <w:r>
        <w:rPr>
          <w:rFonts w:hint="eastAsia" w:ascii="宋体" w:hAnsi="宋体" w:eastAsia="宋体" w:cs="宋体"/>
          <w:sz w:val="28"/>
          <w:szCs w:val="28"/>
          <w:lang w:eastAsia="zh-CN"/>
        </w:rPr>
        <w:t>学前教育的办公经费</w:t>
      </w:r>
      <w:r>
        <w:rPr>
          <w:rFonts w:hint="eastAsia" w:ascii="宋体" w:hAnsi="宋体" w:eastAsia="宋体" w:cs="宋体"/>
          <w:sz w:val="28"/>
          <w:szCs w:val="28"/>
        </w:rPr>
        <w:t>。</w:t>
      </w:r>
    </w:p>
    <w:p>
      <w:pPr>
        <w:ind w:left="0" w:leftChars="0"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10</w:t>
      </w:r>
      <w:r>
        <w:rPr>
          <w:rFonts w:hint="eastAsia" w:ascii="宋体" w:hAnsi="宋体" w:eastAsia="宋体" w:cs="宋体"/>
          <w:b w:val="0"/>
          <w:bCs/>
          <w:sz w:val="28"/>
          <w:szCs w:val="28"/>
        </w:rPr>
        <w:t>.教育（类）</w:t>
      </w:r>
      <w:r>
        <w:rPr>
          <w:rFonts w:hint="eastAsia" w:ascii="宋体" w:hAnsi="宋体" w:eastAsia="宋体" w:cs="宋体"/>
          <w:b w:val="0"/>
          <w:bCs/>
          <w:sz w:val="28"/>
          <w:szCs w:val="28"/>
          <w:lang w:eastAsia="zh-CN"/>
        </w:rPr>
        <w:t>普通教育</w:t>
      </w:r>
      <w:r>
        <w:rPr>
          <w:rFonts w:hint="eastAsia" w:ascii="宋体" w:hAnsi="宋体" w:eastAsia="宋体" w:cs="宋体"/>
          <w:b w:val="0"/>
          <w:bCs/>
          <w:sz w:val="28"/>
          <w:szCs w:val="28"/>
        </w:rPr>
        <w:t>（款）</w:t>
      </w:r>
      <w:r>
        <w:rPr>
          <w:rFonts w:hint="eastAsia" w:ascii="宋体" w:hAnsi="宋体" w:eastAsia="宋体" w:cs="宋体"/>
          <w:b w:val="0"/>
          <w:bCs/>
          <w:sz w:val="28"/>
          <w:szCs w:val="28"/>
          <w:lang w:eastAsia="zh-CN"/>
        </w:rPr>
        <w:t>小学教育</w:t>
      </w:r>
      <w:r>
        <w:rPr>
          <w:rFonts w:hint="eastAsia" w:ascii="宋体" w:hAnsi="宋体" w:eastAsia="宋体" w:cs="宋体"/>
          <w:b w:val="0"/>
          <w:bCs/>
          <w:sz w:val="28"/>
          <w:szCs w:val="28"/>
        </w:rPr>
        <w:t>（项）:</w:t>
      </w:r>
      <w:r>
        <w:rPr>
          <w:rFonts w:hint="eastAsia" w:ascii="宋体" w:hAnsi="宋体" w:eastAsia="宋体" w:cs="宋体"/>
          <w:b w:val="0"/>
          <w:bCs/>
          <w:sz w:val="28"/>
          <w:szCs w:val="28"/>
          <w:lang w:eastAsia="zh-CN"/>
        </w:rPr>
        <w:t>指进行小学学历教育的人员和办公经费。</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初中教育</w:t>
      </w:r>
      <w:r>
        <w:rPr>
          <w:rFonts w:hint="eastAsia" w:ascii="宋体" w:hAnsi="宋体" w:eastAsia="宋体" w:cs="宋体"/>
          <w:sz w:val="28"/>
          <w:szCs w:val="28"/>
        </w:rPr>
        <w:t>（项）:</w:t>
      </w:r>
      <w:r>
        <w:rPr>
          <w:rFonts w:hint="eastAsia" w:ascii="宋体" w:hAnsi="宋体" w:eastAsia="宋体" w:cs="宋体"/>
          <w:b w:val="0"/>
          <w:bCs/>
          <w:sz w:val="28"/>
          <w:szCs w:val="28"/>
          <w:lang w:eastAsia="zh-CN"/>
        </w:rPr>
        <w:t>指进行初中学历教育的人员和办公经费。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12</w:t>
      </w:r>
      <w:r>
        <w:rPr>
          <w:rFonts w:hint="eastAsia" w:ascii="宋体" w:hAnsi="宋体" w:eastAsia="宋体" w:cs="宋体"/>
          <w:sz w:val="28"/>
          <w:szCs w:val="28"/>
        </w:rPr>
        <w:t>.教育（类）</w:t>
      </w:r>
      <w:r>
        <w:rPr>
          <w:rFonts w:hint="eastAsia" w:ascii="宋体" w:hAnsi="宋体" w:eastAsia="宋体" w:cs="宋体"/>
          <w:sz w:val="28"/>
          <w:szCs w:val="28"/>
          <w:lang w:eastAsia="zh-CN"/>
        </w:rPr>
        <w:t>普通教育</w:t>
      </w:r>
      <w:r>
        <w:rPr>
          <w:rFonts w:hint="eastAsia" w:ascii="宋体" w:hAnsi="宋体" w:eastAsia="宋体" w:cs="宋体"/>
          <w:sz w:val="28"/>
          <w:szCs w:val="28"/>
        </w:rPr>
        <w:t>（款）</w:t>
      </w:r>
      <w:r>
        <w:rPr>
          <w:rFonts w:hint="eastAsia" w:ascii="宋体" w:hAnsi="宋体" w:eastAsia="宋体" w:cs="宋体"/>
          <w:sz w:val="28"/>
          <w:szCs w:val="28"/>
          <w:lang w:eastAsia="zh-CN"/>
        </w:rPr>
        <w:t>其他普通教育支出</w:t>
      </w:r>
      <w:r>
        <w:rPr>
          <w:rFonts w:hint="eastAsia" w:ascii="宋体" w:hAnsi="宋体" w:eastAsia="宋体" w:cs="宋体"/>
          <w:sz w:val="28"/>
          <w:szCs w:val="28"/>
        </w:rPr>
        <w:t>（项）:</w:t>
      </w:r>
      <w:r>
        <w:rPr>
          <w:rFonts w:hint="eastAsia" w:ascii="宋体" w:hAnsi="宋体" w:eastAsia="宋体" w:cs="宋体"/>
          <w:sz w:val="28"/>
          <w:szCs w:val="28"/>
          <w:lang w:eastAsia="zh-CN"/>
        </w:rPr>
        <w:t>指以前年度实施的校舍安全强制达标项目。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13</w:t>
      </w:r>
      <w:r>
        <w:rPr>
          <w:rFonts w:hint="eastAsia" w:ascii="宋体" w:hAnsi="宋体" w:eastAsia="宋体" w:cs="宋体"/>
          <w:sz w:val="28"/>
          <w:szCs w:val="28"/>
        </w:rPr>
        <w:t>.</w:t>
      </w:r>
      <w:r>
        <w:rPr>
          <w:rFonts w:hint="eastAsia" w:ascii="宋体" w:hAnsi="宋体" w:eastAsia="宋体" w:cs="宋体"/>
          <w:sz w:val="28"/>
          <w:szCs w:val="28"/>
          <w:lang w:eastAsia="zh-CN"/>
        </w:rPr>
        <w:t>文化旅游体育与传媒</w:t>
      </w:r>
      <w:r>
        <w:rPr>
          <w:rFonts w:hint="eastAsia" w:ascii="宋体" w:hAnsi="宋体" w:eastAsia="宋体" w:cs="宋体"/>
          <w:sz w:val="28"/>
          <w:szCs w:val="28"/>
        </w:rPr>
        <w:t>（类）</w:t>
      </w:r>
      <w:r>
        <w:rPr>
          <w:rFonts w:hint="eastAsia" w:ascii="宋体" w:hAnsi="宋体" w:eastAsia="宋体" w:cs="宋体"/>
          <w:sz w:val="28"/>
          <w:szCs w:val="28"/>
          <w:lang w:eastAsia="zh-CN"/>
        </w:rPr>
        <w:t>文化旅游体育与传媒支出</w:t>
      </w:r>
      <w:r>
        <w:rPr>
          <w:rFonts w:hint="eastAsia" w:ascii="宋体" w:hAnsi="宋体" w:eastAsia="宋体" w:cs="宋体"/>
          <w:sz w:val="28"/>
          <w:szCs w:val="28"/>
        </w:rPr>
        <w:t>（款）</w:t>
      </w:r>
      <w:r>
        <w:rPr>
          <w:rFonts w:hint="eastAsia" w:ascii="宋体" w:hAnsi="宋体" w:eastAsia="宋体" w:cs="宋体"/>
          <w:sz w:val="28"/>
          <w:szCs w:val="28"/>
          <w:lang w:eastAsia="zh-CN"/>
        </w:rPr>
        <w:t>其他文化旅游体育与传媒支出</w:t>
      </w:r>
      <w:r>
        <w:rPr>
          <w:rFonts w:hint="eastAsia" w:ascii="宋体" w:hAnsi="宋体" w:eastAsia="宋体" w:cs="宋体"/>
          <w:sz w:val="28"/>
          <w:szCs w:val="28"/>
        </w:rPr>
        <w:t>（项）:</w:t>
      </w:r>
      <w:r>
        <w:rPr>
          <w:rFonts w:hint="eastAsia" w:ascii="宋体" w:hAnsi="宋体" w:eastAsia="宋体" w:cs="宋体"/>
          <w:sz w:val="28"/>
          <w:szCs w:val="28"/>
          <w:lang w:eastAsia="zh-CN"/>
        </w:rPr>
        <w:t>指乡村少年宫运行费。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14</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事业单位离退休</w:t>
      </w:r>
      <w:r>
        <w:rPr>
          <w:rFonts w:hint="eastAsia" w:ascii="宋体" w:hAnsi="宋体" w:eastAsia="宋体" w:cs="宋体"/>
          <w:sz w:val="28"/>
          <w:szCs w:val="28"/>
        </w:rPr>
        <w:t xml:space="preserve">（项）: </w:t>
      </w:r>
      <w:r>
        <w:rPr>
          <w:rFonts w:hint="eastAsia" w:ascii="宋体" w:hAnsi="宋体" w:eastAsia="宋体" w:cs="宋体"/>
          <w:sz w:val="28"/>
          <w:szCs w:val="28"/>
          <w:lang w:eastAsia="zh-CN"/>
        </w:rPr>
        <w:t>退休人员地区生活补助。</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15</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机关事业单位基本养老保险缴费支出</w:t>
      </w:r>
      <w:r>
        <w:rPr>
          <w:rFonts w:hint="eastAsia" w:ascii="宋体" w:hAnsi="宋体" w:eastAsia="宋体" w:cs="宋体"/>
          <w:sz w:val="28"/>
          <w:szCs w:val="28"/>
        </w:rPr>
        <w:t>（项）:</w:t>
      </w:r>
      <w:r>
        <w:rPr>
          <w:rFonts w:hint="eastAsia" w:ascii="宋体" w:hAnsi="宋体" w:eastAsia="宋体" w:cs="宋体"/>
          <w:sz w:val="28"/>
          <w:szCs w:val="28"/>
          <w:lang w:eastAsia="zh-CN"/>
        </w:rPr>
        <w:t>单位为职工缴纳的医疗保险费。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16</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机关事业单位职业年金缴费支出</w:t>
      </w:r>
      <w:r>
        <w:rPr>
          <w:rFonts w:hint="eastAsia" w:ascii="宋体" w:hAnsi="宋体" w:eastAsia="宋体" w:cs="宋体"/>
          <w:sz w:val="28"/>
          <w:szCs w:val="28"/>
        </w:rPr>
        <w:t xml:space="preserve">（项）: </w:t>
      </w:r>
      <w:r>
        <w:rPr>
          <w:rFonts w:hint="eastAsia" w:ascii="宋体" w:hAnsi="宋体" w:eastAsia="宋体" w:cs="宋体"/>
          <w:sz w:val="28"/>
          <w:szCs w:val="28"/>
          <w:lang w:eastAsia="zh-CN"/>
        </w:rPr>
        <w:t>单位为职工缴纳的职业年金。</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17</w:t>
      </w:r>
      <w:r>
        <w:rPr>
          <w:rFonts w:hint="eastAsia" w:ascii="宋体" w:hAnsi="宋体" w:eastAsia="宋体" w:cs="宋体"/>
          <w:sz w:val="28"/>
          <w:szCs w:val="28"/>
        </w:rPr>
        <w:t>.社会保障和就业（类）</w:t>
      </w:r>
      <w:r>
        <w:rPr>
          <w:rFonts w:hint="eastAsia" w:ascii="宋体" w:hAnsi="宋体" w:eastAsia="宋体" w:cs="宋体"/>
          <w:sz w:val="28"/>
          <w:szCs w:val="28"/>
          <w:lang w:eastAsia="zh-CN"/>
        </w:rPr>
        <w:t>行政事业单位养老支出</w:t>
      </w:r>
      <w:r>
        <w:rPr>
          <w:rFonts w:hint="eastAsia" w:ascii="宋体" w:hAnsi="宋体" w:eastAsia="宋体" w:cs="宋体"/>
          <w:sz w:val="28"/>
          <w:szCs w:val="28"/>
        </w:rPr>
        <w:t>（款）</w:t>
      </w:r>
      <w:r>
        <w:rPr>
          <w:rFonts w:hint="eastAsia" w:ascii="宋体" w:hAnsi="宋体" w:eastAsia="宋体" w:cs="宋体"/>
          <w:sz w:val="28"/>
          <w:szCs w:val="28"/>
          <w:lang w:eastAsia="zh-CN"/>
        </w:rPr>
        <w:t>其他行政事业单位养老支出</w:t>
      </w:r>
      <w:r>
        <w:rPr>
          <w:rFonts w:hint="eastAsia" w:ascii="宋体" w:hAnsi="宋体" w:eastAsia="宋体" w:cs="宋体"/>
          <w:sz w:val="28"/>
          <w:szCs w:val="28"/>
        </w:rPr>
        <w:t xml:space="preserve">（项）: </w:t>
      </w:r>
      <w:r>
        <w:rPr>
          <w:rFonts w:hint="eastAsia" w:ascii="宋体" w:hAnsi="宋体" w:eastAsia="宋体" w:cs="宋体"/>
          <w:sz w:val="28"/>
          <w:szCs w:val="28"/>
          <w:lang w:eastAsia="zh-CN"/>
        </w:rPr>
        <w:t>退休生活补助。</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.卫生健康（类）</w:t>
      </w:r>
      <w:r>
        <w:rPr>
          <w:rFonts w:hint="eastAsia" w:ascii="宋体" w:hAnsi="宋体" w:eastAsia="宋体" w:cs="宋体"/>
          <w:sz w:val="28"/>
          <w:szCs w:val="28"/>
          <w:lang w:eastAsia="zh-CN"/>
        </w:rPr>
        <w:t>行政事业单位医疗</w:t>
      </w:r>
      <w:r>
        <w:rPr>
          <w:rFonts w:hint="eastAsia" w:ascii="宋体" w:hAnsi="宋体" w:eastAsia="宋体" w:cs="宋体"/>
          <w:sz w:val="28"/>
          <w:szCs w:val="28"/>
        </w:rPr>
        <w:t>（款）</w:t>
      </w:r>
      <w:r>
        <w:rPr>
          <w:rFonts w:hint="eastAsia" w:ascii="宋体" w:hAnsi="宋体" w:eastAsia="宋体" w:cs="宋体"/>
          <w:sz w:val="28"/>
          <w:szCs w:val="28"/>
          <w:lang w:eastAsia="zh-CN"/>
        </w:rPr>
        <w:t>事业单位医疗</w:t>
      </w:r>
      <w:r>
        <w:rPr>
          <w:rFonts w:hint="eastAsia" w:ascii="宋体" w:hAnsi="宋体" w:eastAsia="宋体" w:cs="宋体"/>
          <w:sz w:val="28"/>
          <w:szCs w:val="28"/>
        </w:rPr>
        <w:t>（项）:</w:t>
      </w:r>
      <w:r>
        <w:rPr>
          <w:rFonts w:hint="eastAsia" w:ascii="宋体" w:hAnsi="宋体" w:eastAsia="宋体" w:cs="宋体"/>
          <w:sz w:val="28"/>
          <w:szCs w:val="28"/>
          <w:lang w:eastAsia="zh-CN"/>
        </w:rPr>
        <w:t>单位为职工缴纳的养老保险。</w:t>
      </w:r>
    </w:p>
    <w:p>
      <w:pPr>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lang w:val="en-US" w:eastAsia="zh-CN"/>
        </w:rPr>
        <w:t>19</w:t>
      </w:r>
      <w:r>
        <w:rPr>
          <w:rFonts w:hint="eastAsia" w:ascii="宋体" w:hAnsi="宋体" w:eastAsia="宋体" w:cs="宋体"/>
          <w:sz w:val="28"/>
          <w:szCs w:val="28"/>
        </w:rPr>
        <w:t>.</w:t>
      </w:r>
      <w:r>
        <w:rPr>
          <w:rFonts w:hint="eastAsia" w:ascii="宋体" w:hAnsi="宋体" w:eastAsia="宋体" w:cs="宋体"/>
          <w:sz w:val="28"/>
          <w:szCs w:val="28"/>
          <w:lang w:eastAsia="zh-CN"/>
        </w:rPr>
        <w:t>住房保障支出</w:t>
      </w:r>
      <w:r>
        <w:rPr>
          <w:rFonts w:hint="eastAsia" w:ascii="宋体" w:hAnsi="宋体" w:eastAsia="宋体" w:cs="宋体"/>
          <w:sz w:val="28"/>
          <w:szCs w:val="28"/>
        </w:rPr>
        <w:t>（类）</w:t>
      </w:r>
      <w:r>
        <w:rPr>
          <w:rFonts w:hint="eastAsia" w:ascii="宋体" w:hAnsi="宋体" w:eastAsia="宋体" w:cs="宋体"/>
          <w:sz w:val="28"/>
          <w:szCs w:val="28"/>
          <w:lang w:eastAsia="zh-CN"/>
        </w:rPr>
        <w:t>住房改革支出</w:t>
      </w:r>
      <w:r>
        <w:rPr>
          <w:rFonts w:hint="eastAsia" w:ascii="宋体" w:hAnsi="宋体" w:eastAsia="宋体" w:cs="宋体"/>
          <w:sz w:val="28"/>
          <w:szCs w:val="28"/>
        </w:rPr>
        <w:t>（款）</w:t>
      </w:r>
      <w:r>
        <w:rPr>
          <w:rFonts w:hint="eastAsia" w:ascii="宋体" w:hAnsi="宋体" w:eastAsia="宋体" w:cs="宋体"/>
          <w:sz w:val="28"/>
          <w:szCs w:val="28"/>
          <w:lang w:eastAsia="zh-CN"/>
        </w:rPr>
        <w:t>住房公积金</w:t>
      </w:r>
      <w:r>
        <w:rPr>
          <w:rFonts w:hint="eastAsia" w:ascii="宋体" w:hAnsi="宋体" w:eastAsia="宋体" w:cs="宋体"/>
          <w:sz w:val="28"/>
          <w:szCs w:val="28"/>
        </w:rPr>
        <w:t>（项）:</w:t>
      </w:r>
      <w:r>
        <w:rPr>
          <w:rFonts w:hint="eastAsia" w:ascii="宋体" w:hAnsi="宋体" w:eastAsia="宋体" w:cs="宋体"/>
          <w:sz w:val="28"/>
          <w:szCs w:val="28"/>
          <w:lang w:eastAsia="zh-CN"/>
        </w:rPr>
        <w:t>单位为职工缴纳的住房公积金。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27.基本支出：指为保障机构正常运转、完成日常工作任务而发生的人员支出和公用支出。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28.项目支出：指在基本支出之外为完成特定行政任务和事业发展目标所发生的支出。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29.经营支出：指事业单位在专业业务活动及其辅助活动之外开展非独立核算经营活动发生的支出。</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pPr>
        <w:pStyle w:val="2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hint="eastAsia" w:ascii="黑体" w:hAnsi="黑体" w:eastAsia="黑体"/>
          <w:b w:val="0"/>
        </w:rPr>
      </w:pPr>
      <w:bookmarkStart w:id="102" w:name="_GoBack"/>
      <w:bookmarkEnd w:id="102"/>
      <w:r>
        <w:rPr>
          <w:rFonts w:ascii="宋体"/>
          <w:b/>
          <w:sz w:val="44"/>
          <w:szCs w:val="44"/>
        </w:rPr>
        <w:br w:type="page"/>
      </w:r>
      <w:bookmarkStart w:id="72" w:name="_Toc3783"/>
      <w:bookmarkStart w:id="73" w:name="_Toc15396614"/>
      <w:r>
        <w:rPr>
          <w:rFonts w:hint="eastAsia" w:ascii="黑体" w:hAnsi="黑体" w:eastAsia="黑体"/>
          <w:sz w:val="44"/>
          <w:szCs w:val="44"/>
        </w:rPr>
        <w:t>第</w:t>
      </w:r>
      <w:r>
        <w:rPr>
          <w:rStyle w:val="27"/>
          <w:rFonts w:hint="eastAsia" w:ascii="黑体" w:hAnsi="黑体" w:eastAsia="黑体"/>
          <w:b w:val="0"/>
        </w:rPr>
        <w:t>四部分 附件</w:t>
      </w:r>
      <w:bookmarkEnd w:id="72"/>
      <w:bookmarkEnd w:id="73"/>
    </w:p>
    <w:p>
      <w:pPr>
        <w:pStyle w:val="6"/>
        <w:spacing w:before="93"/>
        <w:rPr>
          <w:rFonts w:hAnsi="Calibri" w:cs="仿宋"/>
          <w:sz w:val="32"/>
          <w:szCs w:val="32"/>
        </w:rPr>
      </w:pPr>
      <w:bookmarkStart w:id="74" w:name="_Toc15396618"/>
      <w:r>
        <w:rPr>
          <w:rFonts w:hAnsi="Calibri" w:cs="仿宋"/>
          <w:sz w:val="32"/>
          <w:szCs w:val="32"/>
        </w:rPr>
        <w:object>
          <v:shape id="_x0000_i1025" o:spt="75" type="#_x0000_t75" style="height:463.85pt;width:414.85pt;" o:ole="t" filled="f" o:preferrelative="t" stroked="f" coordsize="21600,21600">
            <v:path/>
            <v:fill on="f" focussize="0,0"/>
            <v:stroke on="f"/>
            <v:imagedata r:id="rId14" o:title=""/>
            <o:lock v:ext="edit" aspectratio="f"/>
            <w10:wrap type="none"/>
            <w10:anchorlock/>
          </v:shape>
          <o:OLEObject Type="Embed" ProgID="Excel.Sheet.12" ShapeID="_x0000_i1025" DrawAspect="Content" ObjectID="_1468075725" r:id="rId13">
            <o:LockedField>false</o:LockedField>
          </o:OLEObject>
        </w:object>
      </w:r>
    </w:p>
    <w:p>
      <w:pPr>
        <w:pStyle w:val="6"/>
        <w:spacing w:before="93"/>
        <w:rPr>
          <w:rFonts w:hAnsi="Calibri" w:cs="仿宋"/>
          <w:sz w:val="32"/>
          <w:szCs w:val="32"/>
        </w:rPr>
      </w:pPr>
    </w:p>
    <w:p>
      <w:pPr>
        <w:pStyle w:val="6"/>
        <w:spacing w:before="93"/>
        <w:rPr>
          <w:rFonts w:hAnsi="Calibri" w:cs="仿宋"/>
          <w:sz w:val="32"/>
          <w:szCs w:val="32"/>
        </w:rPr>
      </w:pPr>
      <w:r>
        <w:rPr>
          <w:rFonts w:hAnsi="Calibri" w:cs="仿宋"/>
          <w:sz w:val="32"/>
          <w:szCs w:val="32"/>
        </w:rPr>
        <w:object>
          <v:shape id="_x0000_i1026" o:spt="75" type="#_x0000_t75" style="height:377.6pt;width:461.15pt;" o:ole="t" filled="f" o:preferrelative="t" stroked="f" coordsize="21600,21600">
            <v:path/>
            <v:fill on="f" focussize="0,0"/>
            <v:stroke on="f"/>
            <v:imagedata r:id="rId16" o:title=""/>
            <o:lock v:ext="edit" aspectratio="f"/>
            <w10:wrap type="none"/>
            <w10:anchorlock/>
          </v:shape>
          <o:OLEObject Type="Embed" ProgID="Excel.Sheet.12" ShapeID="_x0000_i1026" DrawAspect="Content" ObjectID="_1468075726" r:id="rId15">
            <o:LockedField>false</o:LockedField>
          </o:OLEObject>
        </w:object>
      </w:r>
    </w:p>
    <w:p>
      <w:pPr>
        <w:pStyle w:val="6"/>
        <w:spacing w:before="93"/>
        <w:rPr>
          <w:rFonts w:hAnsi="Calibri" w:cs="仿宋"/>
          <w:sz w:val="32"/>
          <w:szCs w:val="32"/>
        </w:rPr>
      </w:pPr>
      <w:r>
        <w:rPr>
          <w:rFonts w:hAnsi="Calibri" w:cs="仿宋"/>
          <w:sz w:val="32"/>
          <w:szCs w:val="32"/>
        </w:rPr>
        <w:object>
          <v:shape id="_x0000_i1027" o:spt="75" type="#_x0000_t75" style="height:445.6pt;width:461.15pt;" o:ole="t" filled="f" o:preferrelative="t" stroked="f" coordsize="21600,21600">
            <v:path/>
            <v:fill on="f" focussize="0,0"/>
            <v:stroke on="f"/>
            <v:imagedata r:id="rId18" o:title=""/>
            <o:lock v:ext="edit" aspectratio="f"/>
            <w10:wrap type="none"/>
            <w10:anchorlock/>
          </v:shape>
          <o:OLEObject Type="Embed" ProgID="Excel.Sheet.12" ShapeID="_x0000_i1027" DrawAspect="Content" ObjectID="_1468075727" r:id="rId17">
            <o:LockedField>false</o:LockedField>
          </o:OLEObject>
        </w:object>
      </w: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both"/>
        <w:outlineLvl w:val="9"/>
        <w:rPr>
          <w:rFonts w:ascii="黑体" w:hAnsi="黑体" w:eastAsia="黑体"/>
          <w:sz w:val="44"/>
          <w:szCs w:val="44"/>
        </w:rPr>
      </w:pPr>
    </w:p>
    <w:p>
      <w:pPr>
        <w:spacing w:line="600" w:lineRule="exact"/>
        <w:jc w:val="center"/>
        <w:outlineLvl w:val="0"/>
        <w:rPr>
          <w:rFonts w:hint="eastAsia" w:ascii="仿宋" w:hAnsi="仿宋" w:eastAsia="仿宋"/>
        </w:rPr>
      </w:pPr>
      <w:bookmarkStart w:id="75" w:name="_Toc15955"/>
      <w:r>
        <w:rPr>
          <w:rFonts w:hint="eastAsia" w:ascii="黑体" w:hAnsi="黑体" w:eastAsia="黑体"/>
          <w:sz w:val="44"/>
          <w:szCs w:val="44"/>
        </w:rPr>
        <w:t>第</w:t>
      </w:r>
      <w:r>
        <w:rPr>
          <w:rStyle w:val="27"/>
          <w:rFonts w:hint="eastAsia" w:ascii="黑体" w:hAnsi="黑体" w:eastAsia="黑体"/>
          <w:b w:val="0"/>
        </w:rPr>
        <w:t>五部分 附表</w:t>
      </w:r>
      <w:bookmarkEnd w:id="71"/>
      <w:bookmarkEnd w:id="74"/>
      <w:bookmarkEnd w:id="75"/>
      <w:bookmarkStart w:id="76" w:name="_Toc15396619"/>
    </w:p>
    <w:p>
      <w:pPr>
        <w:pStyle w:val="4"/>
        <w:rPr>
          <w:rFonts w:hint="eastAsia" w:ascii="仿宋" w:hAnsi="仿宋" w:eastAsia="仿宋"/>
        </w:rPr>
      </w:pPr>
      <w:bookmarkStart w:id="77" w:name="_Toc28024"/>
      <w:r>
        <w:rPr>
          <w:rFonts w:hint="eastAsia" w:ascii="仿宋" w:hAnsi="仿宋" w:eastAsia="仿宋"/>
          <w:b w:val="0"/>
        </w:rPr>
        <w:t>一、收</w:t>
      </w:r>
      <w:r>
        <w:rPr>
          <w:rStyle w:val="28"/>
          <w:rFonts w:hint="eastAsia" w:ascii="仿宋" w:hAnsi="仿宋" w:eastAsia="仿宋"/>
          <w:b w:val="0"/>
          <w:bCs w:val="0"/>
        </w:rPr>
        <w:t>入支出决算总表</w:t>
      </w:r>
      <w:bookmarkEnd w:id="76"/>
      <w:bookmarkEnd w:id="77"/>
    </w:p>
    <w:p>
      <w:pPr>
        <w:pStyle w:val="4"/>
        <w:rPr>
          <w:rFonts w:hint="eastAsia" w:ascii="仿宋" w:hAnsi="仿宋" w:eastAsia="仿宋"/>
        </w:rPr>
      </w:pPr>
      <w:bookmarkStart w:id="78" w:name="_Toc15396620"/>
      <w:bookmarkStart w:id="79" w:name="_Toc27485"/>
      <w:r>
        <w:rPr>
          <w:rFonts w:hint="eastAsia" w:ascii="仿宋" w:hAnsi="仿宋" w:eastAsia="仿宋"/>
          <w:b w:val="0"/>
        </w:rPr>
        <w:t>二、收</w:t>
      </w:r>
      <w:r>
        <w:rPr>
          <w:rStyle w:val="28"/>
          <w:rFonts w:hint="eastAsia" w:ascii="仿宋" w:hAnsi="仿宋" w:eastAsia="仿宋"/>
          <w:b w:val="0"/>
          <w:bCs w:val="0"/>
        </w:rPr>
        <w:t>入决算表</w:t>
      </w:r>
      <w:bookmarkEnd w:id="78"/>
      <w:bookmarkEnd w:id="79"/>
    </w:p>
    <w:p>
      <w:pPr>
        <w:pStyle w:val="4"/>
        <w:rPr>
          <w:rFonts w:hint="eastAsia" w:ascii="仿宋" w:hAnsi="仿宋" w:eastAsia="仿宋"/>
        </w:rPr>
      </w:pPr>
      <w:bookmarkStart w:id="80" w:name="_Toc15396621"/>
      <w:bookmarkStart w:id="81" w:name="_Toc16803"/>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0"/>
      <w:bookmarkEnd w:id="81"/>
    </w:p>
    <w:p>
      <w:pPr>
        <w:pStyle w:val="4"/>
        <w:rPr>
          <w:rFonts w:hint="eastAsia" w:ascii="仿宋" w:hAnsi="仿宋" w:eastAsia="仿宋"/>
          <w:b w:val="0"/>
        </w:rPr>
      </w:pPr>
      <w:bookmarkStart w:id="82" w:name="_Toc14627"/>
      <w:bookmarkStart w:id="83"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2"/>
      <w:bookmarkEnd w:id="83"/>
    </w:p>
    <w:p>
      <w:pPr>
        <w:pStyle w:val="4"/>
        <w:rPr>
          <w:rStyle w:val="28"/>
          <w:rFonts w:hint="eastAsia" w:ascii="仿宋" w:hAnsi="仿宋" w:eastAsia="仿宋"/>
          <w:b w:val="0"/>
          <w:bCs w:val="0"/>
        </w:rPr>
      </w:pPr>
      <w:bookmarkStart w:id="84" w:name="_Toc15396623"/>
      <w:bookmarkStart w:id="85" w:name="_Toc25886"/>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4"/>
      <w:bookmarkEnd w:id="85"/>
      <w:bookmarkStart w:id="86" w:name="_Toc15396624"/>
    </w:p>
    <w:p>
      <w:pPr>
        <w:pStyle w:val="4"/>
        <w:rPr>
          <w:rFonts w:hint="eastAsia" w:ascii="仿宋" w:hAnsi="仿宋" w:eastAsia="仿宋"/>
        </w:rPr>
      </w:pPr>
      <w:bookmarkStart w:id="87" w:name="_Toc25964"/>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6"/>
      <w:bookmarkEnd w:id="87"/>
    </w:p>
    <w:p>
      <w:pPr>
        <w:pStyle w:val="4"/>
        <w:rPr>
          <w:rFonts w:hint="eastAsia" w:ascii="仿宋" w:hAnsi="仿宋" w:eastAsia="仿宋"/>
        </w:rPr>
      </w:pPr>
      <w:bookmarkStart w:id="88" w:name="_Toc15396625"/>
      <w:bookmarkStart w:id="89" w:name="_Toc25781"/>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8"/>
      <w:bookmarkEnd w:id="89"/>
    </w:p>
    <w:p>
      <w:pPr>
        <w:pStyle w:val="4"/>
        <w:rPr>
          <w:rFonts w:hint="eastAsia" w:ascii="仿宋" w:hAnsi="仿宋" w:eastAsia="仿宋"/>
        </w:rPr>
      </w:pPr>
      <w:bookmarkStart w:id="90" w:name="_Toc32621"/>
      <w:bookmarkStart w:id="9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0"/>
      <w:bookmarkEnd w:id="91"/>
    </w:p>
    <w:p>
      <w:pPr>
        <w:pStyle w:val="4"/>
        <w:rPr>
          <w:rFonts w:hint="eastAsia" w:ascii="仿宋" w:hAnsi="仿宋" w:eastAsia="仿宋"/>
        </w:rPr>
      </w:pPr>
      <w:bookmarkStart w:id="92" w:name="_Toc15396627"/>
      <w:bookmarkStart w:id="93" w:name="_Toc23039"/>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2"/>
      <w:bookmarkEnd w:id="93"/>
    </w:p>
    <w:p>
      <w:pPr>
        <w:pStyle w:val="4"/>
        <w:rPr>
          <w:rFonts w:hint="eastAsia" w:ascii="仿宋" w:hAnsi="仿宋" w:eastAsia="仿宋"/>
        </w:rPr>
      </w:pPr>
      <w:bookmarkStart w:id="94" w:name="_Toc15396628"/>
      <w:bookmarkStart w:id="95" w:name="_Toc11470"/>
      <w:r>
        <w:rPr>
          <w:rStyle w:val="28"/>
          <w:rFonts w:hint="eastAsia" w:ascii="仿宋" w:hAnsi="仿宋" w:eastAsia="仿宋"/>
          <w:b w:val="0"/>
          <w:bCs w:val="0"/>
        </w:rPr>
        <w:t>十、</w:t>
      </w:r>
      <w:bookmarkEnd w:id="94"/>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5"/>
    </w:p>
    <w:p>
      <w:pPr>
        <w:pStyle w:val="4"/>
        <w:rPr>
          <w:rFonts w:hint="eastAsia" w:ascii="仿宋" w:hAnsi="仿宋" w:eastAsia="仿宋"/>
        </w:rPr>
      </w:pPr>
      <w:bookmarkStart w:id="96" w:name="_Toc15396629"/>
      <w:bookmarkStart w:id="97" w:name="_Toc9409"/>
      <w:r>
        <w:rPr>
          <w:rStyle w:val="28"/>
          <w:rFonts w:hint="eastAsia" w:ascii="仿宋" w:hAnsi="仿宋" w:eastAsia="仿宋"/>
          <w:b w:val="0"/>
          <w:bCs w:val="0"/>
        </w:rPr>
        <w:t>十一、</w:t>
      </w:r>
      <w:bookmarkEnd w:id="96"/>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7"/>
    </w:p>
    <w:p>
      <w:pPr>
        <w:pStyle w:val="4"/>
        <w:rPr>
          <w:rFonts w:hint="eastAsia" w:ascii="仿宋" w:hAnsi="仿宋" w:eastAsia="仿宋"/>
        </w:rPr>
      </w:pPr>
      <w:bookmarkStart w:id="98" w:name="_Toc15396630"/>
      <w:bookmarkStart w:id="99" w:name="_Toc25591"/>
      <w:r>
        <w:rPr>
          <w:rStyle w:val="28"/>
          <w:rFonts w:hint="eastAsia" w:ascii="仿宋" w:hAnsi="仿宋" w:eastAsia="仿宋"/>
          <w:b w:val="0"/>
          <w:bCs w:val="0"/>
        </w:rPr>
        <w:t>十二、</w:t>
      </w:r>
      <w:bookmarkEnd w:id="98"/>
      <w:r>
        <w:rPr>
          <w:rStyle w:val="28"/>
          <w:rFonts w:hint="eastAsia" w:ascii="仿宋" w:hAnsi="仿宋" w:eastAsia="仿宋"/>
          <w:b w:val="0"/>
          <w:bCs w:val="0"/>
        </w:rPr>
        <w:t>国有资本经营预算财政拨款支出决算表</w:t>
      </w:r>
      <w:bookmarkEnd w:id="99"/>
    </w:p>
    <w:p>
      <w:pPr>
        <w:pStyle w:val="4"/>
        <w:rPr>
          <w:rStyle w:val="28"/>
          <w:rFonts w:hint="eastAsia" w:ascii="仿宋" w:hAnsi="仿宋" w:eastAsia="仿宋"/>
          <w:b w:val="0"/>
          <w:bCs w:val="0"/>
        </w:rPr>
      </w:pPr>
      <w:bookmarkStart w:id="100" w:name="_Toc15396631"/>
      <w:bookmarkStart w:id="101" w:name="_Toc2198"/>
      <w:r>
        <w:rPr>
          <w:rStyle w:val="28"/>
          <w:rFonts w:hint="eastAsia" w:ascii="仿宋" w:hAnsi="仿宋" w:eastAsia="仿宋"/>
          <w:b w:val="0"/>
          <w:bCs w:val="0"/>
        </w:rPr>
        <w:t>十三、</w:t>
      </w:r>
      <w:bookmarkEnd w:id="100"/>
      <w:r>
        <w:rPr>
          <w:rStyle w:val="28"/>
          <w:rFonts w:hint="eastAsia" w:ascii="仿宋" w:hAnsi="仿宋" w:eastAsia="仿宋"/>
          <w:b w:val="0"/>
          <w:bCs w:val="0"/>
        </w:rPr>
        <w:t>财政拨款“三公”经费支出决算表</w:t>
      </w:r>
      <w:bookmarkEnd w:id="101"/>
    </w:p>
    <w:p>
      <w:pPr>
        <w:pStyle w:val="2"/>
        <w:outlineLvl w:val="9"/>
        <w:rPr>
          <w:rStyle w:val="28"/>
          <w:rFonts w:hint="eastAsia" w:ascii="仿宋" w:hAnsi="仿宋" w:eastAsia="仿宋"/>
          <w:b w:val="0"/>
          <w:bCs w:val="0"/>
        </w:rPr>
      </w:pP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GViY2U5NzcxZmJlNmJmYTJiMzQ0YTQyYTRjY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3A80"/>
    <w:rsid w:val="00142216"/>
    <w:rsid w:val="00144D6A"/>
    <w:rsid w:val="0014729F"/>
    <w:rsid w:val="00157BAB"/>
    <w:rsid w:val="0016311A"/>
    <w:rsid w:val="001654D1"/>
    <w:rsid w:val="0017134D"/>
    <w:rsid w:val="00174518"/>
    <w:rsid w:val="0018106D"/>
    <w:rsid w:val="00184D90"/>
    <w:rsid w:val="001877A7"/>
    <w:rsid w:val="00191536"/>
    <w:rsid w:val="00196687"/>
    <w:rsid w:val="001A1DAD"/>
    <w:rsid w:val="001C0962"/>
    <w:rsid w:val="001D7531"/>
    <w:rsid w:val="001E1D02"/>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07FF"/>
    <w:rsid w:val="003A484F"/>
    <w:rsid w:val="003A4883"/>
    <w:rsid w:val="003B0BE0"/>
    <w:rsid w:val="003B0C1B"/>
    <w:rsid w:val="003B688C"/>
    <w:rsid w:val="003C0291"/>
    <w:rsid w:val="003C39AE"/>
    <w:rsid w:val="003C7B60"/>
    <w:rsid w:val="003D0C0F"/>
    <w:rsid w:val="003D1FB2"/>
    <w:rsid w:val="003D66DA"/>
    <w:rsid w:val="003E1310"/>
    <w:rsid w:val="003E6F55"/>
    <w:rsid w:val="00406120"/>
    <w:rsid w:val="00406254"/>
    <w:rsid w:val="004223DE"/>
    <w:rsid w:val="00425C50"/>
    <w:rsid w:val="0043177C"/>
    <w:rsid w:val="00434489"/>
    <w:rsid w:val="00437085"/>
    <w:rsid w:val="00443880"/>
    <w:rsid w:val="004464F4"/>
    <w:rsid w:val="00452235"/>
    <w:rsid w:val="0046049C"/>
    <w:rsid w:val="00471401"/>
    <w:rsid w:val="00473F31"/>
    <w:rsid w:val="0048263A"/>
    <w:rsid w:val="00485692"/>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19D"/>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25232"/>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96833"/>
    <w:rsid w:val="008A7C40"/>
    <w:rsid w:val="008B768C"/>
    <w:rsid w:val="008C29C9"/>
    <w:rsid w:val="008C4DB1"/>
    <w:rsid w:val="008C4EAF"/>
    <w:rsid w:val="008C5176"/>
    <w:rsid w:val="008C7FD0"/>
    <w:rsid w:val="008C7FD8"/>
    <w:rsid w:val="008D352E"/>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BD9"/>
    <w:rsid w:val="00955E37"/>
    <w:rsid w:val="0097099F"/>
    <w:rsid w:val="00971997"/>
    <w:rsid w:val="00971FFC"/>
    <w:rsid w:val="0098660A"/>
    <w:rsid w:val="009931C3"/>
    <w:rsid w:val="009B24AC"/>
    <w:rsid w:val="009B2C43"/>
    <w:rsid w:val="009B4EAE"/>
    <w:rsid w:val="009B7573"/>
    <w:rsid w:val="009C22F4"/>
    <w:rsid w:val="009C2A4B"/>
    <w:rsid w:val="009C2E98"/>
    <w:rsid w:val="009D3447"/>
    <w:rsid w:val="009D4711"/>
    <w:rsid w:val="009E3800"/>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0BB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173E"/>
    <w:rsid w:val="00B77EA6"/>
    <w:rsid w:val="00B81598"/>
    <w:rsid w:val="00B83964"/>
    <w:rsid w:val="00B841F1"/>
    <w:rsid w:val="00B944D6"/>
    <w:rsid w:val="00BB4DF0"/>
    <w:rsid w:val="00BC289F"/>
    <w:rsid w:val="00BC2D50"/>
    <w:rsid w:val="00BC477B"/>
    <w:rsid w:val="00BC5361"/>
    <w:rsid w:val="00BC5460"/>
    <w:rsid w:val="00BC6B50"/>
    <w:rsid w:val="00BD0E25"/>
    <w:rsid w:val="00BF5BD6"/>
    <w:rsid w:val="00C03E31"/>
    <w:rsid w:val="00C06430"/>
    <w:rsid w:val="00C33E72"/>
    <w:rsid w:val="00C354B2"/>
    <w:rsid w:val="00C35554"/>
    <w:rsid w:val="00C42709"/>
    <w:rsid w:val="00C533CC"/>
    <w:rsid w:val="00C5751C"/>
    <w:rsid w:val="00C61BFC"/>
    <w:rsid w:val="00C62B85"/>
    <w:rsid w:val="00C63003"/>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1E2"/>
    <w:rsid w:val="00D254F7"/>
    <w:rsid w:val="00D26091"/>
    <w:rsid w:val="00D2685C"/>
    <w:rsid w:val="00D306A8"/>
    <w:rsid w:val="00D31E6F"/>
    <w:rsid w:val="00D34E7C"/>
    <w:rsid w:val="00D35489"/>
    <w:rsid w:val="00D36AFE"/>
    <w:rsid w:val="00D51276"/>
    <w:rsid w:val="00D51BDF"/>
    <w:rsid w:val="00D7035F"/>
    <w:rsid w:val="00D8189B"/>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5F4"/>
    <w:rsid w:val="00ED1B63"/>
    <w:rsid w:val="00ED3C1F"/>
    <w:rsid w:val="00ED4085"/>
    <w:rsid w:val="00ED420E"/>
    <w:rsid w:val="00ED6FBE"/>
    <w:rsid w:val="00EE0BD6"/>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A4323ED"/>
    <w:rsid w:val="0B8A37D8"/>
    <w:rsid w:val="0ED55BB5"/>
    <w:rsid w:val="0F5FFB2F"/>
    <w:rsid w:val="0FFFCF60"/>
    <w:rsid w:val="10C055FF"/>
    <w:rsid w:val="118107EC"/>
    <w:rsid w:val="11DD6519"/>
    <w:rsid w:val="16BB723D"/>
    <w:rsid w:val="16D14689"/>
    <w:rsid w:val="18015F3F"/>
    <w:rsid w:val="1BE8440E"/>
    <w:rsid w:val="1D155CEE"/>
    <w:rsid w:val="1FDBBF84"/>
    <w:rsid w:val="20F57F95"/>
    <w:rsid w:val="240371BF"/>
    <w:rsid w:val="25711CC6"/>
    <w:rsid w:val="25C741E6"/>
    <w:rsid w:val="276F80C0"/>
    <w:rsid w:val="27842671"/>
    <w:rsid w:val="29A24C53"/>
    <w:rsid w:val="29FD04D3"/>
    <w:rsid w:val="2ABE7A3E"/>
    <w:rsid w:val="2AFF09B6"/>
    <w:rsid w:val="2CA234A8"/>
    <w:rsid w:val="2EFA178C"/>
    <w:rsid w:val="2EFDF86C"/>
    <w:rsid w:val="2F9D17E1"/>
    <w:rsid w:val="30667A9C"/>
    <w:rsid w:val="30B46D73"/>
    <w:rsid w:val="317C4FF8"/>
    <w:rsid w:val="319F7F4E"/>
    <w:rsid w:val="32E451E8"/>
    <w:rsid w:val="356A28F1"/>
    <w:rsid w:val="357C035A"/>
    <w:rsid w:val="368E000D"/>
    <w:rsid w:val="36B4394A"/>
    <w:rsid w:val="37EC4528"/>
    <w:rsid w:val="383D272C"/>
    <w:rsid w:val="39AE70AB"/>
    <w:rsid w:val="3A4DCE41"/>
    <w:rsid w:val="3BCB56FA"/>
    <w:rsid w:val="3C0C0783"/>
    <w:rsid w:val="3EE7C2F4"/>
    <w:rsid w:val="3F371B56"/>
    <w:rsid w:val="3F792ED8"/>
    <w:rsid w:val="3F9F3A96"/>
    <w:rsid w:val="3FECA4B2"/>
    <w:rsid w:val="3FF58C48"/>
    <w:rsid w:val="406D17FA"/>
    <w:rsid w:val="42FF6694"/>
    <w:rsid w:val="43815EF7"/>
    <w:rsid w:val="47D5062C"/>
    <w:rsid w:val="48BF60AB"/>
    <w:rsid w:val="493C27E9"/>
    <w:rsid w:val="496F39ED"/>
    <w:rsid w:val="49FF41D3"/>
    <w:rsid w:val="4B991ADC"/>
    <w:rsid w:val="4BE068DB"/>
    <w:rsid w:val="4BF6002B"/>
    <w:rsid w:val="4BFFC6BE"/>
    <w:rsid w:val="4ECE2238"/>
    <w:rsid w:val="51A34F22"/>
    <w:rsid w:val="51DB4B86"/>
    <w:rsid w:val="51F64DB0"/>
    <w:rsid w:val="55333C3E"/>
    <w:rsid w:val="5DE60909"/>
    <w:rsid w:val="5E8871D0"/>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emf"/><Relationship Id="rId17" Type="http://schemas.openxmlformats.org/officeDocument/2006/relationships/oleObject" Target="embeddings/oleObject3.bin"/><Relationship Id="rId16" Type="http://schemas.openxmlformats.org/officeDocument/2006/relationships/image" Target="media/image9.emf"/><Relationship Id="rId15" Type="http://schemas.openxmlformats.org/officeDocument/2006/relationships/oleObject" Target="embeddings/oleObject2.bin"/><Relationship Id="rId14" Type="http://schemas.openxmlformats.org/officeDocument/2006/relationships/image" Target="media/image8.e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4558</Words>
  <Characters>5143</Characters>
  <Lines>39</Lines>
  <Paragraphs>11</Paragraphs>
  <TotalTime>1</TotalTime>
  <ScaleCrop>false</ScaleCrop>
  <LinksUpToDate>false</LinksUpToDate>
  <CharactersWithSpaces>5211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2024-10-26T07:00:29Z</dcterms:modified>
  <dc:title>四川省***</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C7C7890E93934205AB695B8E102E423D_12</vt:lpwstr>
  </property>
</Properties>
</file>