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193"/>
      <w:bookmarkStart w:id="4" w:name="_Toc1537742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96598"/>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大竹县清河镇中心小学</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 xml:space="preserve">               ---------------------------------------------------------4</w:t>
      </w:r>
    </w:p>
    <w:p>
      <w:pPr>
        <w:pStyle w:val="13"/>
        <w:adjustRightInd w:val="0"/>
        <w:snapToGrid w:val="0"/>
        <w:spacing w:line="440" w:lineRule="exact"/>
        <w:jc w:val="left"/>
        <w:rPr>
          <w:rFonts w:hint="eastAsia" w:eastAsia="宋体"/>
          <w:lang w:eastAsia="zh-CN"/>
        </w:rPr>
      </w:pPr>
      <w:r>
        <w:rPr>
          <w:rFonts w:hint="eastAsia"/>
          <w:sz w:val="24"/>
        </w:rPr>
        <w:t>二、机构设置</w:t>
      </w:r>
      <w:r>
        <w:rPr>
          <w:rFonts w:hint="eastAsia"/>
          <w:sz w:val="24"/>
          <w:lang w:val="en-US" w:eastAsia="zh-CN"/>
        </w:rPr>
        <w:t xml:space="preserve">               ---------------------------------------------------------4</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sz w:val="24"/>
          <w:lang w:val="en-US" w:eastAsia="zh-CN"/>
        </w:rPr>
        <w:t xml:space="preserve">              ----------------------------------5</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sz w:val="24"/>
          <w:lang w:val="en-US" w:eastAsia="zh-CN"/>
        </w:rPr>
        <w:t xml:space="preserve">                      ----------------------------------5</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sz w:val="24"/>
          <w:lang w:val="en-US" w:eastAsia="zh-CN"/>
        </w:rPr>
        <w:t xml:space="preserve">                      ----------------------------------6</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sz w:val="24"/>
          <w:lang w:val="en-US" w:eastAsia="zh-CN"/>
        </w:rPr>
        <w:t xml:space="preserve">      ----------------------------------6</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sz w:val="24"/>
          <w:lang w:val="en-US" w:eastAsia="zh-CN"/>
        </w:rPr>
        <w:t xml:space="preserve">  ----------------------------------7</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sz w:val="24"/>
          <w:lang w:val="en-US" w:eastAsia="zh-CN"/>
        </w:rPr>
        <w:t xml:space="preserve">     ------------------------9</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sz w:val="24"/>
          <w:lang w:val="en-US" w:eastAsia="zh-CN"/>
        </w:rPr>
        <w:t xml:space="preserve">          ----------------------10</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sz w:val="24"/>
          <w:lang w:val="en-US" w:eastAsia="zh-CN"/>
        </w:rPr>
        <w:t xml:space="preserve">                ---------------------11</w:t>
      </w:r>
    </w:p>
    <w:p>
      <w:pPr>
        <w:pStyle w:val="13"/>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sz w:val="24"/>
          <w:lang w:val="en-US" w:eastAsia="zh-CN"/>
        </w:rPr>
        <w:t xml:space="preserve">             -----------------------11</w:t>
      </w:r>
    </w:p>
    <w:p>
      <w:pPr>
        <w:pStyle w:val="13"/>
        <w:adjustRightInd w:val="0"/>
        <w:snapToGrid w:val="0"/>
        <w:spacing w:line="440" w:lineRule="exact"/>
        <w:jc w:val="left"/>
        <w:rPr>
          <w:rFonts w:hint="default"/>
          <w:sz w:val="24"/>
          <w:lang w:val="en-US"/>
        </w:rPr>
      </w:pPr>
      <w:r>
        <w:rPr>
          <w:rFonts w:hint="eastAsia"/>
          <w:sz w:val="24"/>
        </w:rPr>
        <w:t>十、其他重要事项的情况说明</w:t>
      </w:r>
      <w:r>
        <w:rPr>
          <w:rFonts w:hint="eastAsia"/>
          <w:sz w:val="24"/>
          <w:lang w:val="en-US" w:eastAsia="zh-CN"/>
        </w:rPr>
        <w:t xml:space="preserve">                      ------------------------11</w:t>
      </w:r>
    </w:p>
    <w:p>
      <w:pPr>
        <w:pStyle w:val="12"/>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val="en-US" w:eastAsia="zh-CN"/>
        </w:rPr>
        <w:t xml:space="preserve">                ----------------------------------12</w:t>
      </w:r>
    </w:p>
    <w:p>
      <w:pPr>
        <w:pStyle w:val="12"/>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 xml:space="preserve">                    ----------------------------------15</w:t>
      </w:r>
    </w:p>
    <w:p>
      <w:pPr>
        <w:pStyle w:val="12"/>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sz w:val="24"/>
          <w:lang w:val="en-US" w:eastAsia="zh-CN"/>
        </w:rPr>
        <w:t xml:space="preserve">                 </w:t>
      </w:r>
    </w:p>
    <w:p>
      <w:pPr>
        <w:pStyle w:val="13"/>
        <w:adjustRightInd w:val="0"/>
        <w:snapToGrid w:val="0"/>
        <w:spacing w:line="440" w:lineRule="exact"/>
        <w:jc w:val="left"/>
        <w:rPr>
          <w:rFonts w:hint="eastAsia"/>
          <w:sz w:val="24"/>
          <w:lang w:val="en-US" w:eastAsia="zh-CN"/>
        </w:rPr>
      </w:pPr>
      <w:r>
        <w:rPr>
          <w:rFonts w:hint="eastAsia"/>
          <w:sz w:val="24"/>
        </w:rPr>
        <w:t>一、收入支出决算总表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二、收入决算表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三、支出决算表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四、财政拨款收入支出决算总表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五、财政拨款支出决算明细表</w:t>
      </w:r>
      <w:r>
        <w:rPr>
          <w:rFonts w:hint="eastAsia"/>
          <w:sz w:val="24"/>
          <w:lang w:val="en-US" w:eastAsia="zh-CN"/>
        </w:rPr>
        <w:t xml:space="preserve">                    ---------------------------21</w:t>
      </w:r>
    </w:p>
    <w:p>
      <w:pPr>
        <w:pStyle w:val="13"/>
        <w:adjustRightInd w:val="0"/>
        <w:snapToGrid w:val="0"/>
        <w:spacing w:line="440" w:lineRule="exact"/>
        <w:jc w:val="left"/>
        <w:rPr>
          <w:rFonts w:hint="eastAsia"/>
          <w:sz w:val="24"/>
          <w:lang w:val="en-US" w:eastAsia="zh-CN"/>
        </w:rPr>
      </w:pPr>
      <w:r>
        <w:rPr>
          <w:rFonts w:hint="eastAsia"/>
          <w:sz w:val="24"/>
        </w:rPr>
        <w:t>六、一般公共预算财政拨款支出决算表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七、一般公共预算财政拨款支出决算明细表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八、一般公共预算财政拨款基本支出决算明细表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九、一般公共预算财政拨款项目支出决算表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十、政府性基金预算财政拨款收入支出决算表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十一、国有资本经营预算财政拨款收入支出决算表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十二、国有资本经营预算财政拨款支出决算表</w:t>
      </w:r>
      <w:r>
        <w:rPr>
          <w:rFonts w:hint="eastAsia"/>
          <w:sz w:val="24"/>
          <w:lang w:val="en-US" w:eastAsia="zh-CN"/>
        </w:rPr>
        <w:t xml:space="preserve">      ---------------------------21</w:t>
      </w:r>
    </w:p>
    <w:p>
      <w:pPr>
        <w:pStyle w:val="13"/>
        <w:adjustRightInd w:val="0"/>
        <w:snapToGrid w:val="0"/>
        <w:spacing w:line="440" w:lineRule="exact"/>
        <w:jc w:val="left"/>
        <w:rPr>
          <w:sz w:val="24"/>
        </w:rPr>
      </w:pPr>
      <w:r>
        <w:rPr>
          <w:rFonts w:hint="eastAsia"/>
          <w:sz w:val="24"/>
        </w:rPr>
        <w:t>十三、财政拨款“三公”经费支出决算表</w:t>
      </w:r>
      <w:r>
        <w:rPr>
          <w:rFonts w:hint="eastAsia"/>
          <w:sz w:val="24"/>
          <w:lang w:val="en-US" w:eastAsia="zh-CN"/>
        </w:rPr>
        <w:t xml:space="preserve">          ---------------------------21</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6"/>
        <w:adjustRightInd w:val="0"/>
        <w:snapToGrid w:val="0"/>
        <w:spacing w:before="93" w:line="600" w:lineRule="exact"/>
        <w:ind w:firstLine="672" w:firstLineChars="210"/>
        <w:outlineLvl w:val="2"/>
        <w:rPr>
          <w:rStyle w:val="28"/>
          <w:rFonts w:hint="eastAsia" w:ascii="黑体" w:hAnsi="黑体" w:eastAsia="黑体"/>
          <w:b w:val="0"/>
          <w:bCs w:val="0"/>
        </w:rPr>
      </w:pPr>
      <w:bookmarkStart w:id="14" w:name="_Toc15377197"/>
      <w:bookmarkStart w:id="15"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bookmarkStart w:id="16" w:name="_Toc113455596"/>
      <w:bookmarkStart w:id="17" w:name="_Toc113455664"/>
      <w:bookmarkStart w:id="18" w:name="_Toc113455741"/>
      <w:bookmarkStart w:id="19" w:name="_Toc15377199"/>
      <w:bookmarkStart w:id="20" w:name="_Toc15378446"/>
    </w:p>
    <w:p>
      <w:pPr>
        <w:pStyle w:val="6"/>
        <w:adjustRightInd w:val="0"/>
        <w:snapToGrid w:val="0"/>
        <w:spacing w:before="93" w:line="600" w:lineRule="exact"/>
        <w:ind w:firstLine="672" w:firstLineChars="210"/>
        <w:outlineLvl w:val="2"/>
        <w:rPr>
          <w:rFonts w:hint="eastAsia" w:ascii="仿宋" w:hAnsi="仿宋" w:eastAsia="仿宋"/>
          <w:sz w:val="32"/>
          <w:szCs w:val="32"/>
        </w:rPr>
      </w:pPr>
      <w:r>
        <w:rPr>
          <w:rFonts w:hint="eastAsia" w:ascii="仿宋" w:hAnsi="仿宋" w:eastAsia="仿宋"/>
          <w:sz w:val="32"/>
          <w:szCs w:val="32"/>
        </w:rPr>
        <w:t>大竹县</w:t>
      </w:r>
      <w:r>
        <w:rPr>
          <w:rFonts w:hint="eastAsia" w:ascii="仿宋" w:hAnsi="仿宋" w:eastAsia="仿宋"/>
          <w:sz w:val="32"/>
          <w:szCs w:val="32"/>
          <w:lang w:eastAsia="zh-CN"/>
        </w:rPr>
        <w:t>清河镇</w:t>
      </w:r>
      <w:r>
        <w:rPr>
          <w:rFonts w:hint="eastAsia" w:ascii="仿宋" w:hAnsi="仿宋" w:eastAsia="仿宋"/>
          <w:sz w:val="32"/>
          <w:szCs w:val="32"/>
        </w:rPr>
        <w:t>中心小学是大竹县</w:t>
      </w:r>
      <w:r>
        <w:rPr>
          <w:rFonts w:hint="eastAsia" w:ascii="仿宋" w:hAnsi="仿宋" w:eastAsia="仿宋"/>
          <w:sz w:val="32"/>
          <w:szCs w:val="32"/>
          <w:lang w:eastAsia="zh-CN"/>
        </w:rPr>
        <w:t>清河镇</w:t>
      </w:r>
      <w:r>
        <w:rPr>
          <w:rFonts w:hint="eastAsia" w:ascii="仿宋" w:hAnsi="仿宋" w:eastAsia="仿宋"/>
          <w:sz w:val="32"/>
          <w:szCs w:val="32"/>
        </w:rPr>
        <w:t>街道辖区内的一所</w:t>
      </w:r>
      <w:r>
        <w:rPr>
          <w:rFonts w:hint="eastAsia" w:ascii="仿宋" w:hAnsi="仿宋" w:eastAsia="仿宋"/>
          <w:sz w:val="32"/>
          <w:szCs w:val="32"/>
          <w:lang w:eastAsia="zh-CN"/>
        </w:rPr>
        <w:t>完全小学</w:t>
      </w:r>
      <w:r>
        <w:rPr>
          <w:rFonts w:hint="eastAsia" w:ascii="仿宋" w:hAnsi="仿宋" w:eastAsia="仿宋"/>
          <w:sz w:val="32"/>
          <w:szCs w:val="32"/>
        </w:rPr>
        <w:t>，主要承担大竹县</w:t>
      </w:r>
      <w:r>
        <w:rPr>
          <w:rFonts w:hint="eastAsia" w:ascii="仿宋" w:hAnsi="仿宋" w:eastAsia="仿宋"/>
          <w:sz w:val="32"/>
          <w:szCs w:val="32"/>
          <w:lang w:eastAsia="zh-CN"/>
        </w:rPr>
        <w:t>清河镇</w:t>
      </w:r>
      <w:r>
        <w:rPr>
          <w:rFonts w:hint="eastAsia" w:ascii="仿宋" w:hAnsi="仿宋" w:eastAsia="仿宋"/>
          <w:sz w:val="32"/>
          <w:szCs w:val="32"/>
        </w:rPr>
        <w:t>的小学义务教育教学工作</w:t>
      </w:r>
      <w:r>
        <w:rPr>
          <w:rFonts w:ascii="仿宋" w:hAnsi="仿宋" w:eastAsia="仿宋"/>
          <w:sz w:val="32"/>
          <w:szCs w:val="32"/>
        </w:rPr>
        <w:t>,</w:t>
      </w:r>
      <w:r>
        <w:rPr>
          <w:rFonts w:hint="eastAsia" w:ascii="仿宋" w:hAnsi="仿宋" w:eastAsia="仿宋"/>
          <w:sz w:val="32"/>
          <w:szCs w:val="32"/>
        </w:rPr>
        <w:t>以及促进基础教育发展和小学学历教育及相关社会服务。</w:t>
      </w:r>
      <w:bookmarkEnd w:id="16"/>
      <w:bookmarkEnd w:id="17"/>
      <w:bookmarkEnd w:id="18"/>
    </w:p>
    <w:p>
      <w:pPr>
        <w:pStyle w:val="6"/>
        <w:adjustRightInd w:val="0"/>
        <w:snapToGrid w:val="0"/>
        <w:spacing w:before="93" w:line="600" w:lineRule="exact"/>
        <w:ind w:firstLine="672" w:firstLineChars="210"/>
        <w:outlineLvl w:val="2"/>
        <w:rPr>
          <w:rFonts w:hint="eastAsia"/>
          <w:sz w:val="32"/>
          <w:szCs w:val="32"/>
        </w:rPr>
      </w:pPr>
      <w:bookmarkStart w:id="21" w:name="_Toc113455665"/>
      <w:bookmarkStart w:id="22" w:name="_Toc113455742"/>
      <w:bookmarkStart w:id="23" w:name="_Toc113455597"/>
      <w:r>
        <w:rPr>
          <w:rFonts w:hint="eastAsia"/>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按照九年义务教育课程计划要求开齐课程开足课时，认真实施小学的教育教学管理，全面推进素质教育，全面提高教育教学质量。</w:t>
      </w:r>
      <w:bookmarkEnd w:id="19"/>
      <w:bookmarkEnd w:id="20"/>
      <w:bookmarkEnd w:id="21"/>
      <w:bookmarkEnd w:id="22"/>
      <w:bookmarkEnd w:id="23"/>
    </w:p>
    <w:p>
      <w:pPr>
        <w:pStyle w:val="6"/>
        <w:adjustRightInd w:val="0"/>
        <w:snapToGrid w:val="0"/>
        <w:spacing w:before="93" w:line="600" w:lineRule="exact"/>
        <w:ind w:firstLine="672" w:firstLineChars="210"/>
        <w:outlineLvl w:val="2"/>
        <w:rPr>
          <w:rFonts w:hint="default"/>
          <w:bCs/>
          <w:color w:val="000000"/>
          <w:sz w:val="32"/>
          <w:szCs w:val="32"/>
          <w:lang w:val="en-US" w:eastAsia="zh-CN"/>
        </w:rPr>
      </w:pPr>
      <w:r>
        <w:rPr>
          <w:rFonts w:hint="eastAsia" w:eastAsia="黑体"/>
          <w:sz w:val="32"/>
          <w:szCs w:val="32"/>
          <w:lang w:eastAsia="zh-CN"/>
        </w:rPr>
        <w:t>二、</w:t>
      </w:r>
      <w:r>
        <w:rPr>
          <w:rFonts w:hint="eastAsia" w:ascii="黑体" w:hAnsi="黑体" w:eastAsia="黑体"/>
          <w:b w:val="0"/>
        </w:rPr>
        <w:t>机构设置</w:t>
      </w:r>
    </w:p>
    <w:p>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清河镇中心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清河镇中心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年度部门决算编制范围的二级预算单位包括：</w:t>
      </w:r>
    </w:p>
    <w:p>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pPr>
        <w:numPr>
          <w:ilvl w:val="0"/>
          <w:numId w:val="0"/>
        </w:numPr>
        <w:rPr>
          <w:rFonts w:hint="default" w:eastAsia="宋体"/>
          <w:lang w:val="en-US" w:eastAsia="zh-CN"/>
        </w:r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24" w:name="_Toc15377204"/>
      <w:bookmarkStart w:id="25"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4"/>
      <w:bookmarkEnd w:id="25"/>
    </w:p>
    <w:p/>
    <w:p>
      <w:pPr>
        <w:pStyle w:val="26"/>
        <w:numPr>
          <w:ilvl w:val="0"/>
          <w:numId w:val="1"/>
        </w:numPr>
        <w:spacing w:line="600" w:lineRule="exact"/>
        <w:ind w:firstLineChars="0"/>
        <w:outlineLvl w:val="1"/>
        <w:rPr>
          <w:rStyle w:val="28"/>
          <w:rFonts w:ascii="黑体" w:hAnsi="黑体" w:eastAsia="黑体"/>
          <w:b w:val="0"/>
        </w:rPr>
      </w:pPr>
      <w:bookmarkStart w:id="26" w:name="_Toc15377205"/>
      <w:bookmarkStart w:id="27"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1452.90</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165.7</w:t>
      </w:r>
      <w:r>
        <w:rPr>
          <w:rFonts w:hint="eastAsia" w:ascii="仿宋" w:hAnsi="仿宋" w:eastAsia="仿宋"/>
          <w:sz w:val="32"/>
          <w:szCs w:val="32"/>
        </w:rPr>
        <w:t>万元，增长</w:t>
      </w:r>
      <w:r>
        <w:rPr>
          <w:rFonts w:hint="eastAsia" w:ascii="仿宋" w:hAnsi="仿宋" w:eastAsia="仿宋"/>
          <w:sz w:val="32"/>
          <w:szCs w:val="32"/>
          <w:lang w:val="en-US" w:eastAsia="zh-CN"/>
        </w:rPr>
        <w:t>12.87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r>
        <w:rPr>
          <w:rFonts w:hint="eastAsia" w:ascii="仿宋" w:hAnsi="仿宋" w:eastAsia="仿宋"/>
          <w:sz w:val="32"/>
          <w:szCs w:val="32"/>
        </w:rPr>
        <w:t>。</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550545</wp:posOffset>
            </wp:positionH>
            <wp:positionV relativeFrom="page">
              <wp:posOffset>3898900</wp:posOffset>
            </wp:positionV>
            <wp:extent cx="4010025" cy="2343150"/>
            <wp:effectExtent l="0" t="0" r="9525" b="0"/>
            <wp:wrapSquare wrapText="bothSides"/>
            <wp:docPr id="4" name="图片 4" descr="23决算公开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决算公开图1"/>
                    <pic:cNvPicPr>
                      <a:picLocks noChangeAspect="1"/>
                    </pic:cNvPicPr>
                  </pic:nvPicPr>
                  <pic:blipFill>
                    <a:blip r:embed="rId6"/>
                    <a:stretch>
                      <a:fillRect/>
                    </a:stretch>
                  </pic:blipFill>
                  <pic:spPr>
                    <a:xfrm>
                      <a:off x="0" y="0"/>
                      <a:ext cx="4010025" cy="2343150"/>
                    </a:xfrm>
                    <a:prstGeom prst="rect">
                      <a:avLst/>
                    </a:prstGeom>
                  </pic:spPr>
                </pic:pic>
              </a:graphicData>
            </a:graphic>
          </wp:anchor>
        </w:drawing>
      </w:r>
      <w:r>
        <w:rPr>
          <w:rFonts w:hint="eastAsia" w:ascii="仿宋" w:hAnsi="仿宋" w:eastAsia="仿宋"/>
          <w:sz w:val="32"/>
          <w:szCs w:val="32"/>
          <w:lang w:val="en-US" w:eastAsia="zh-CN"/>
        </w:rPr>
        <w:t xml:space="preserve">    </w:t>
      </w:r>
    </w:p>
    <w:p>
      <w:pPr>
        <w:spacing w:line="600" w:lineRule="exact"/>
        <w:ind w:firstLine="640" w:firstLineChars="200"/>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lang w:eastAsia="zh-CN"/>
        </w:rPr>
      </w:pPr>
    </w:p>
    <w:p>
      <w:pPr>
        <w:pStyle w:val="26"/>
        <w:numPr>
          <w:ilvl w:val="0"/>
          <w:numId w:val="1"/>
        </w:numPr>
        <w:spacing w:line="600" w:lineRule="exact"/>
        <w:ind w:firstLineChars="0"/>
        <w:outlineLvl w:val="1"/>
        <w:rPr>
          <w:rStyle w:val="28"/>
          <w:rFonts w:ascii="黑体" w:hAnsi="黑体" w:eastAsia="黑体"/>
          <w:b w:val="0"/>
        </w:rPr>
      </w:pPr>
      <w:bookmarkStart w:id="28" w:name="_Toc15396604"/>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rPr>
        <w:t>1,381.32</w:t>
      </w:r>
      <w:r>
        <w:rPr>
          <w:rFonts w:hint="eastAsia" w:ascii="仿宋" w:hAnsi="仿宋" w:eastAsia="仿宋"/>
          <w:sz w:val="32"/>
          <w:szCs w:val="32"/>
        </w:rPr>
        <w:t>万元，其中：一般公共预算财政拨款收入</w:t>
      </w:r>
      <w:r>
        <w:rPr>
          <w:rFonts w:hint="eastAsia" w:ascii="仿宋" w:hAnsi="仿宋" w:eastAsia="仿宋"/>
          <w:b/>
          <w:sz w:val="32"/>
          <w:szCs w:val="32"/>
        </w:rPr>
        <w:t>1,381.32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420" w:firstLineChars="200"/>
        <w:rPr>
          <w:rFonts w:ascii="仿宋_GB2312" w:eastAsia="仿宋_GB2312"/>
          <w:sz w:val="32"/>
          <w:szCs w:val="32"/>
        </w:rPr>
      </w:pPr>
      <w:r>
        <w:drawing>
          <wp:anchor distT="0" distB="0" distL="114300" distR="114300" simplePos="0" relativeHeight="251662336" behindDoc="0" locked="0" layoutInCell="1" allowOverlap="1">
            <wp:simplePos x="0" y="0"/>
            <wp:positionH relativeFrom="column">
              <wp:posOffset>292100</wp:posOffset>
            </wp:positionH>
            <wp:positionV relativeFrom="paragraph">
              <wp:posOffset>-706755</wp:posOffset>
            </wp:positionV>
            <wp:extent cx="4572000" cy="2743200"/>
            <wp:effectExtent l="4445" t="4445" r="1460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30" w:name="_Toc15377207"/>
      <w:bookmarkStart w:id="31" w:name="_Toc15396605"/>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rPr>
        <w:t>1,452.90</w:t>
      </w:r>
      <w:r>
        <w:rPr>
          <w:rFonts w:hint="eastAsia" w:ascii="仿宋" w:hAnsi="仿宋" w:eastAsia="仿宋"/>
          <w:sz w:val="32"/>
          <w:szCs w:val="32"/>
        </w:rPr>
        <w:t>万元，其中：基本支出</w:t>
      </w:r>
      <w:r>
        <w:rPr>
          <w:rFonts w:hint="eastAsia" w:ascii="仿宋" w:hAnsi="仿宋" w:eastAsia="仿宋"/>
          <w:b/>
          <w:sz w:val="32"/>
          <w:szCs w:val="32"/>
        </w:rPr>
        <w:t>1,340.65</w:t>
      </w:r>
      <w:r>
        <w:rPr>
          <w:rFonts w:hint="eastAsia" w:ascii="仿宋" w:hAnsi="仿宋" w:eastAsia="仿宋"/>
          <w:sz w:val="32"/>
          <w:szCs w:val="32"/>
        </w:rPr>
        <w:t>万元，占</w:t>
      </w:r>
      <w:r>
        <w:rPr>
          <w:rFonts w:ascii="仿宋" w:hAnsi="仿宋" w:eastAsia="仿宋"/>
          <w:b/>
          <w:sz w:val="32"/>
          <w:szCs w:val="32"/>
        </w:rPr>
        <w:t>92.</w:t>
      </w:r>
      <w:r>
        <w:rPr>
          <w:rFonts w:hint="eastAsia" w:ascii="仿宋" w:hAnsi="仿宋" w:eastAsia="仿宋"/>
          <w:b/>
          <w:sz w:val="32"/>
          <w:szCs w:val="32"/>
          <w:lang w:val="en-US" w:eastAsia="zh-CN"/>
        </w:rPr>
        <w:t>2</w:t>
      </w:r>
      <w:r>
        <w:rPr>
          <w:rFonts w:ascii="仿宋" w:hAnsi="仿宋" w:eastAsia="仿宋"/>
          <w:b/>
          <w:sz w:val="32"/>
          <w:szCs w:val="32"/>
        </w:rPr>
        <w:t>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w:t>
      </w:r>
      <w:r>
        <w:rPr>
          <w:rFonts w:hint="eastAsia" w:ascii="仿宋" w:hAnsi="仿宋" w:eastAsia="仿宋"/>
          <w:b/>
          <w:sz w:val="32"/>
          <w:szCs w:val="32"/>
          <w:lang w:val="en-US" w:eastAsia="zh-CN"/>
        </w:rPr>
        <w:t>12.25</w:t>
      </w:r>
      <w:r>
        <w:rPr>
          <w:rFonts w:hint="eastAsia" w:ascii="仿宋" w:hAnsi="仿宋" w:eastAsia="仿宋"/>
          <w:sz w:val="32"/>
          <w:szCs w:val="32"/>
        </w:rPr>
        <w:t>万元，占</w:t>
      </w:r>
      <w:r>
        <w:rPr>
          <w:rFonts w:ascii="仿宋" w:hAnsi="仿宋" w:eastAsia="仿宋"/>
          <w:b/>
          <w:sz w:val="32"/>
          <w:szCs w:val="32"/>
        </w:rPr>
        <w:t>7.</w:t>
      </w:r>
      <w:r>
        <w:rPr>
          <w:rFonts w:hint="eastAsia" w:ascii="仿宋" w:hAnsi="仿宋" w:eastAsia="仿宋"/>
          <w:b/>
          <w:sz w:val="32"/>
          <w:szCs w:val="32"/>
          <w:lang w:val="en-US" w:eastAsia="zh-CN"/>
        </w:rPr>
        <w:t>73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_GB2312" w:eastAsia="仿宋_GB2312"/>
          <w:sz w:val="32"/>
          <w:szCs w:val="32"/>
        </w:rPr>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420" w:firstLineChars="200"/>
      </w:pPr>
    </w:p>
    <w:p>
      <w:pPr>
        <w:spacing w:line="600" w:lineRule="exact"/>
        <w:ind w:firstLine="640" w:firstLineChars="200"/>
        <w:outlineLvl w:val="1"/>
        <w:rPr>
          <w:rStyle w:val="28"/>
          <w:rFonts w:ascii="黑体" w:hAnsi="黑体" w:eastAsia="黑体"/>
          <w:b w:val="0"/>
        </w:rPr>
      </w:pPr>
      <w:bookmarkStart w:id="32" w:name="_Toc15377208"/>
      <w:bookmarkStart w:id="33"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2"/>
      <w:bookmarkEnd w:id="33"/>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1452.90</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165.7</w:t>
      </w:r>
      <w:r>
        <w:rPr>
          <w:rFonts w:hint="eastAsia" w:ascii="仿宋" w:hAnsi="仿宋" w:eastAsia="仿宋"/>
          <w:sz w:val="32"/>
          <w:szCs w:val="32"/>
        </w:rPr>
        <w:t>万元，增长</w:t>
      </w:r>
      <w:r>
        <w:rPr>
          <w:rFonts w:hint="eastAsia" w:ascii="仿宋" w:hAnsi="仿宋" w:eastAsia="仿宋"/>
          <w:sz w:val="32"/>
          <w:szCs w:val="32"/>
          <w:lang w:val="en-US" w:eastAsia="zh-CN"/>
        </w:rPr>
        <w:t>12.87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420" w:firstLineChars="200"/>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outlineLvl w:val="1"/>
        <w:rPr>
          <w:rStyle w:val="28"/>
          <w:rFonts w:ascii="黑体" w:hAnsi="黑体" w:eastAsia="黑体"/>
          <w:b w:val="0"/>
        </w:rPr>
      </w:pPr>
      <w:bookmarkStart w:id="34" w:name="_Toc15396607"/>
      <w:bookmarkStart w:id="35"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1452.90</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165.7</w:t>
      </w:r>
      <w:r>
        <w:rPr>
          <w:rFonts w:hint="eastAsia" w:ascii="仿宋" w:hAnsi="仿宋" w:eastAsia="仿宋"/>
          <w:sz w:val="32"/>
          <w:szCs w:val="32"/>
        </w:rPr>
        <w:t>万元，增长</w:t>
      </w:r>
      <w:r>
        <w:rPr>
          <w:rFonts w:hint="eastAsia" w:ascii="仿宋" w:hAnsi="仿宋" w:eastAsia="仿宋"/>
          <w:sz w:val="32"/>
          <w:szCs w:val="32"/>
          <w:lang w:val="en-US" w:eastAsia="zh-CN"/>
        </w:rPr>
        <w:t>12.87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p>
    <w:p>
      <w:pPr>
        <w:spacing w:line="600" w:lineRule="exact"/>
        <w:ind w:firstLine="320" w:firstLineChars="100"/>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320" w:firstLineChars="100"/>
        <w:rPr>
          <w:rFonts w:hint="eastAsia" w:ascii="仿宋" w:hAnsi="仿宋" w:eastAsia="仿宋"/>
          <w:sz w:val="32"/>
          <w:szCs w:val="32"/>
        </w:rPr>
      </w:pPr>
    </w:p>
    <w:p>
      <w:pPr>
        <w:spacing w:line="600" w:lineRule="exact"/>
        <w:ind w:firstLine="320" w:firstLineChars="100"/>
        <w:rPr>
          <w:rFonts w:hint="eastAsia" w:ascii="仿宋" w:hAnsi="仿宋" w:eastAsia="仿宋"/>
          <w:sz w:val="32"/>
          <w:szCs w:val="32"/>
        </w:rPr>
      </w:pPr>
    </w:p>
    <w:p>
      <w:pPr>
        <w:spacing w:line="600" w:lineRule="exact"/>
        <w:ind w:firstLine="210" w:firstLineChars="1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206375</wp:posOffset>
            </wp:positionH>
            <wp:positionV relativeFrom="paragraph">
              <wp:posOffset>49530</wp:posOffset>
            </wp:positionV>
            <wp:extent cx="5185410" cy="2249170"/>
            <wp:effectExtent l="4445" t="4445" r="10795" b="13335"/>
            <wp:wrapNone/>
            <wp:docPr id="102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320" w:firstLineChars="100"/>
        <w:rPr>
          <w:rFonts w:hint="eastAsia" w:ascii="仿宋" w:hAnsi="仿宋" w:eastAsia="仿宋"/>
          <w:sz w:val="32"/>
          <w:szCs w:val="32"/>
        </w:rPr>
      </w:pPr>
    </w:p>
    <w:p>
      <w:pPr>
        <w:spacing w:line="600" w:lineRule="exact"/>
        <w:ind w:firstLine="320" w:firstLineChars="100"/>
        <w:rPr>
          <w:rFonts w:hint="eastAsia" w:ascii="仿宋" w:hAnsi="仿宋" w:eastAsia="仿宋"/>
          <w:sz w:val="32"/>
          <w:szCs w:val="32"/>
        </w:rPr>
      </w:pPr>
    </w:p>
    <w:p>
      <w:pPr>
        <w:spacing w:line="600" w:lineRule="exact"/>
        <w:ind w:firstLine="320" w:firstLineChars="100"/>
        <w:rPr>
          <w:rFonts w:hint="eastAsia" w:ascii="仿宋" w:hAnsi="仿宋" w:eastAsia="仿宋"/>
          <w:sz w:val="32"/>
          <w:szCs w:val="32"/>
        </w:rPr>
      </w:pPr>
    </w:p>
    <w:p>
      <w:pPr>
        <w:spacing w:line="600" w:lineRule="exact"/>
        <w:ind w:firstLine="320" w:firstLineChars="100"/>
        <w:rPr>
          <w:rFonts w:hint="eastAsia"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1452.90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1,095.38</w:t>
      </w:r>
      <w:r>
        <w:rPr>
          <w:rFonts w:hint="eastAsia" w:ascii="仿宋" w:hAnsi="仿宋" w:eastAsia="仿宋"/>
          <w:sz w:val="32"/>
          <w:szCs w:val="32"/>
        </w:rPr>
        <w:t>万元，占</w:t>
      </w:r>
      <w:r>
        <w:rPr>
          <w:rFonts w:hint="eastAsia" w:ascii="仿宋" w:hAnsi="仿宋" w:eastAsia="仿宋"/>
          <w:sz w:val="32"/>
          <w:szCs w:val="32"/>
          <w:lang w:val="en-US" w:eastAsia="zh-CN"/>
        </w:rPr>
        <w:t>75.39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284.86</w:t>
      </w:r>
      <w:r>
        <w:rPr>
          <w:rFonts w:hint="eastAsia" w:ascii="仿宋" w:hAnsi="仿宋" w:eastAsia="仿宋"/>
          <w:sz w:val="32"/>
          <w:szCs w:val="32"/>
        </w:rPr>
        <w:t>万元，占</w:t>
      </w:r>
      <w:r>
        <w:rPr>
          <w:rFonts w:hint="eastAsia" w:ascii="仿宋" w:hAnsi="仿宋" w:eastAsia="仿宋"/>
          <w:sz w:val="32"/>
          <w:szCs w:val="32"/>
          <w:lang w:val="en-US" w:eastAsia="zh-CN"/>
        </w:rPr>
        <w:t>19.61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42.89</w:t>
      </w:r>
      <w:r>
        <w:rPr>
          <w:rFonts w:hint="eastAsia" w:ascii="仿宋" w:hAnsi="仿宋" w:eastAsia="仿宋"/>
          <w:sz w:val="32"/>
          <w:szCs w:val="32"/>
        </w:rPr>
        <w:t>万元，占</w:t>
      </w:r>
      <w:r>
        <w:rPr>
          <w:rFonts w:hint="eastAsia" w:ascii="仿宋" w:hAnsi="仿宋" w:eastAsia="仿宋"/>
          <w:sz w:val="32"/>
          <w:szCs w:val="32"/>
          <w:lang w:val="en-US" w:eastAsia="zh-CN"/>
        </w:rPr>
        <w:t>3.00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29.77</w:t>
      </w:r>
      <w:r>
        <w:rPr>
          <w:rFonts w:hint="eastAsia" w:ascii="仿宋" w:hAnsi="仿宋" w:eastAsia="仿宋"/>
          <w:sz w:val="32"/>
          <w:szCs w:val="32"/>
        </w:rPr>
        <w:t>万元，占</w:t>
      </w:r>
      <w:r>
        <w:rPr>
          <w:rFonts w:hint="eastAsia" w:ascii="仿宋" w:hAnsi="仿宋" w:eastAsia="仿宋"/>
          <w:sz w:val="32"/>
          <w:szCs w:val="32"/>
          <w:lang w:val="en-US" w:eastAsia="zh-CN"/>
        </w:rPr>
        <w:t>2.00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420" w:firstLineChars="200"/>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column">
              <wp:posOffset>408940</wp:posOffset>
            </wp:positionH>
            <wp:positionV relativeFrom="paragraph">
              <wp:posOffset>172720</wp:posOffset>
            </wp:positionV>
            <wp:extent cx="4572000" cy="2743200"/>
            <wp:effectExtent l="4445" t="4445" r="14605" b="14605"/>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8" w:name="_Toc15377212"/>
      <w:r>
        <w:rPr>
          <w:rFonts w:hint="eastAsia" w:ascii="仿宋" w:hAnsi="仿宋" w:eastAsia="仿宋"/>
          <w:b/>
          <w:sz w:val="32"/>
          <w:szCs w:val="32"/>
        </w:rPr>
        <w:t>（</w:t>
      </w:r>
      <w:r>
        <w:rPr>
          <w:rFonts w:hint="eastAsia" w:ascii="仿宋" w:hAnsi="仿宋" w:eastAsia="仿宋"/>
          <w:b/>
          <w:sz w:val="32"/>
          <w:szCs w:val="32"/>
          <w:lang w:eastAsia="zh-CN"/>
        </w:rPr>
        <w:t>（</w:t>
      </w:r>
      <w:r>
        <w:rPr>
          <w:rFonts w:hint="eastAsia" w:ascii="仿宋" w:hAnsi="仿宋" w:eastAsia="仿宋"/>
          <w:b/>
          <w:sz w:val="32"/>
          <w:szCs w:val="32"/>
        </w:rPr>
        <w:t>三）一般公共预算财政拨款支出决算具体情况</w:t>
      </w:r>
      <w:bookmarkEnd w:id="38"/>
    </w:p>
    <w:p>
      <w:pPr>
        <w:spacing w:line="600" w:lineRule="exact"/>
        <w:ind w:firstLine="643" w:firstLineChars="200"/>
        <w:outlineLvl w:val="2"/>
        <w:rPr>
          <w:rFonts w:ascii="仿宋" w:hAnsi="仿宋" w:eastAsia="仿宋"/>
          <w:sz w:val="32"/>
          <w:szCs w:val="32"/>
        </w:rPr>
      </w:pPr>
      <w:bookmarkStart w:id="39" w:name="_Toc15377444"/>
      <w:bookmarkStart w:id="40" w:name="_Toc15377213"/>
      <w:bookmarkStart w:id="41" w:name="_Toc15378460"/>
      <w:r>
        <w:rPr>
          <w:rFonts w:hint="eastAsia" w:ascii="仿宋" w:hAnsi="仿宋" w:eastAsia="仿宋"/>
          <w:b/>
          <w:sz w:val="32"/>
          <w:szCs w:val="32"/>
        </w:rPr>
        <w:t>2023年度一般公共预算支出决算数为</w:t>
      </w:r>
      <w:r>
        <w:rPr>
          <w:rFonts w:hint="eastAsia" w:ascii="仿宋" w:hAnsi="仿宋" w:eastAsia="仿宋"/>
          <w:b/>
          <w:sz w:val="32"/>
          <w:szCs w:val="32"/>
          <w:lang w:val="en-US" w:eastAsia="zh-CN"/>
        </w:rPr>
        <w:t>1452.90万元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9"/>
      <w:bookmarkEnd w:id="40"/>
      <w:bookmarkEnd w:id="41"/>
    </w:p>
    <w:p>
      <w:pPr>
        <w:numPr>
          <w:ilvl w:val="0"/>
          <w:numId w:val="2"/>
        </w:numPr>
        <w:spacing w:line="600" w:lineRule="exact"/>
        <w:ind w:firstLine="643"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rPr>
        <w:t>教育</w:t>
      </w:r>
      <w:r>
        <w:rPr>
          <w:rStyle w:val="17"/>
          <w:rFonts w:hint="eastAsia" w:ascii="仿宋" w:hAnsi="仿宋" w:eastAsia="仿宋"/>
          <w:bCs/>
          <w:sz w:val="32"/>
          <w:szCs w:val="32"/>
          <w:lang w:val="en-US" w:eastAsia="zh-CN"/>
        </w:rPr>
        <w:t>205</w:t>
      </w:r>
      <w:r>
        <w:rPr>
          <w:rStyle w:val="17"/>
          <w:rFonts w:hint="eastAsia" w:ascii="仿宋" w:hAnsi="仿宋" w:eastAsia="仿宋"/>
          <w:bCs/>
          <w:sz w:val="32"/>
          <w:szCs w:val="32"/>
          <w:lang w:eastAsia="zh-CN"/>
        </w:rPr>
        <w:t>普通教育</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lang w:eastAsia="zh-CN"/>
        </w:rPr>
        <w:t>学前教育</w:t>
      </w:r>
      <w:r>
        <w:rPr>
          <w:rStyle w:val="17"/>
          <w:rFonts w:hint="eastAsia" w:ascii="仿宋" w:hAnsi="仿宋" w:eastAsia="仿宋"/>
          <w:bCs/>
          <w:sz w:val="32"/>
          <w:szCs w:val="32"/>
          <w:lang w:val="en-US" w:eastAsia="zh-CN"/>
        </w:rPr>
        <w:t>01</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11.14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firstLine="643" w:firstLineChars="200"/>
        <w:rPr>
          <w:rStyle w:val="17"/>
          <w:rFonts w:hint="eastAsia" w:ascii="仿宋" w:hAnsi="仿宋" w:eastAsia="仿宋"/>
          <w:b w:val="0"/>
          <w:bCs/>
          <w:sz w:val="32"/>
          <w:szCs w:val="32"/>
          <w:lang w:val="en-US" w:eastAsia="zh-CN"/>
        </w:rPr>
      </w:pPr>
      <w:r>
        <w:rPr>
          <w:rStyle w:val="17"/>
          <w:rFonts w:hint="eastAsia" w:ascii="仿宋" w:hAnsi="仿宋" w:eastAsia="仿宋"/>
          <w:b/>
          <w:bCs/>
          <w:sz w:val="32"/>
          <w:szCs w:val="32"/>
        </w:rPr>
        <w:t>教育</w:t>
      </w:r>
      <w:r>
        <w:rPr>
          <w:rStyle w:val="17"/>
          <w:rFonts w:hint="eastAsia" w:ascii="仿宋" w:hAnsi="仿宋" w:eastAsia="仿宋"/>
          <w:b/>
          <w:bCs/>
          <w:sz w:val="32"/>
          <w:szCs w:val="32"/>
          <w:lang w:val="en-US" w:eastAsia="zh-CN"/>
        </w:rPr>
        <w:t>205</w:t>
      </w:r>
      <w:r>
        <w:rPr>
          <w:rStyle w:val="17"/>
          <w:rFonts w:hint="eastAsia" w:ascii="仿宋" w:hAnsi="仿宋" w:eastAsia="仿宋"/>
          <w:b/>
          <w:bCs/>
          <w:sz w:val="32"/>
          <w:szCs w:val="32"/>
          <w:lang w:eastAsia="zh-CN"/>
        </w:rPr>
        <w:t>普通教育</w:t>
      </w:r>
      <w:r>
        <w:rPr>
          <w:rStyle w:val="17"/>
          <w:rFonts w:hint="eastAsia" w:ascii="仿宋" w:hAnsi="仿宋" w:eastAsia="仿宋"/>
          <w:b/>
          <w:bCs/>
          <w:sz w:val="32"/>
          <w:szCs w:val="32"/>
          <w:lang w:val="en-US" w:eastAsia="zh-CN"/>
        </w:rPr>
        <w:t>02</w:t>
      </w:r>
      <w:r>
        <w:rPr>
          <w:rStyle w:val="17"/>
          <w:rFonts w:hint="eastAsia" w:ascii="仿宋" w:hAnsi="仿宋" w:eastAsia="仿宋"/>
          <w:b/>
          <w:bCs/>
          <w:sz w:val="32"/>
          <w:szCs w:val="32"/>
          <w:lang w:eastAsia="zh-CN"/>
        </w:rPr>
        <w:t>小学教育</w:t>
      </w:r>
      <w:r>
        <w:rPr>
          <w:rStyle w:val="17"/>
          <w:rFonts w:hint="eastAsia" w:ascii="仿宋" w:hAnsi="仿宋" w:eastAsia="仿宋"/>
          <w:b/>
          <w:bCs/>
          <w:sz w:val="32"/>
          <w:szCs w:val="32"/>
          <w:lang w:val="en-US" w:eastAsia="zh-CN"/>
        </w:rPr>
        <w:t>02：</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1084.24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p>
    <w:p>
      <w:pPr>
        <w:numPr>
          <w:ilvl w:val="0"/>
          <w:numId w:val="2"/>
        </w:numPr>
        <w:spacing w:line="600" w:lineRule="exact"/>
        <w:ind w:left="0" w:leftChars="0" w:firstLine="643" w:firstLineChars="200"/>
        <w:rPr>
          <w:rStyle w:val="17"/>
          <w:rFonts w:hint="eastAsia" w:ascii="仿宋" w:hAnsi="仿宋" w:eastAsia="仿宋"/>
          <w:b w:val="0"/>
          <w:bCs/>
          <w:sz w:val="32"/>
          <w:szCs w:val="32"/>
          <w:lang w:eastAsia="zh-CN"/>
        </w:rPr>
      </w:pPr>
      <w:r>
        <w:rPr>
          <w:rStyle w:val="17"/>
          <w:rFonts w:hint="eastAsia" w:ascii="仿宋" w:hAnsi="仿宋" w:eastAsia="仿宋"/>
          <w:bCs/>
          <w:sz w:val="32"/>
          <w:szCs w:val="32"/>
        </w:rPr>
        <w:t>社会保障和就业</w:t>
      </w:r>
      <w:r>
        <w:rPr>
          <w:rStyle w:val="17"/>
          <w:rFonts w:hint="eastAsia" w:ascii="仿宋" w:hAnsi="仿宋" w:eastAsia="仿宋"/>
          <w:bCs/>
          <w:sz w:val="32"/>
          <w:szCs w:val="32"/>
          <w:lang w:val="en-US" w:eastAsia="zh-CN"/>
        </w:rPr>
        <w:t>208</w:t>
      </w:r>
      <w:r>
        <w:rPr>
          <w:rStyle w:val="17"/>
          <w:rFonts w:hint="eastAsia" w:ascii="仿宋" w:hAnsi="仿宋" w:eastAsia="仿宋"/>
          <w:bCs/>
          <w:sz w:val="32"/>
          <w:szCs w:val="32"/>
          <w:lang w:eastAsia="zh-CN"/>
        </w:rPr>
        <w:t>行政事业单位养老</w:t>
      </w:r>
      <w:r>
        <w:rPr>
          <w:rStyle w:val="17"/>
          <w:rFonts w:hint="eastAsia" w:ascii="仿宋" w:hAnsi="仿宋" w:eastAsia="仿宋"/>
          <w:bCs/>
          <w:sz w:val="32"/>
          <w:szCs w:val="32"/>
          <w:lang w:val="en-US" w:eastAsia="zh-CN"/>
        </w:rPr>
        <w:t>05事业单位离退休02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11.53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left="0" w:leftChars="0" w:firstLine="643" w:firstLineChars="200"/>
        <w:rPr>
          <w:rFonts w:hint="default" w:ascii="仿宋" w:hAnsi="仿宋" w:eastAsia="仿宋"/>
          <w:b w:val="0"/>
          <w:bCs w:val="0"/>
          <w:sz w:val="32"/>
          <w:szCs w:val="32"/>
          <w:lang w:val="en-US" w:eastAsia="zh-CN"/>
        </w:rPr>
      </w:pPr>
      <w:r>
        <w:rPr>
          <w:rStyle w:val="17"/>
          <w:rFonts w:hint="eastAsia" w:ascii="仿宋" w:hAnsi="仿宋" w:eastAsia="仿宋"/>
          <w:b/>
          <w:bCs/>
          <w:sz w:val="32"/>
          <w:szCs w:val="32"/>
        </w:rPr>
        <w:t>社会保障和就业</w:t>
      </w:r>
      <w:r>
        <w:rPr>
          <w:rStyle w:val="17"/>
          <w:rFonts w:hint="eastAsia" w:ascii="仿宋" w:hAnsi="仿宋" w:eastAsia="仿宋"/>
          <w:b/>
          <w:bCs/>
          <w:sz w:val="32"/>
          <w:szCs w:val="32"/>
          <w:lang w:val="en-US" w:eastAsia="zh-CN"/>
        </w:rPr>
        <w:t>208</w:t>
      </w:r>
      <w:r>
        <w:rPr>
          <w:rStyle w:val="17"/>
          <w:rFonts w:hint="eastAsia" w:ascii="仿宋" w:hAnsi="仿宋" w:eastAsia="仿宋"/>
          <w:b/>
          <w:bCs/>
          <w:sz w:val="32"/>
          <w:szCs w:val="32"/>
          <w:lang w:eastAsia="zh-CN"/>
        </w:rPr>
        <w:t>行政事业单位养老</w:t>
      </w:r>
      <w:r>
        <w:rPr>
          <w:rStyle w:val="17"/>
          <w:rFonts w:hint="eastAsia" w:ascii="仿宋" w:hAnsi="仿宋" w:eastAsia="仿宋"/>
          <w:b/>
          <w:bCs/>
          <w:sz w:val="32"/>
          <w:szCs w:val="32"/>
          <w:lang w:val="en-US" w:eastAsia="zh-CN"/>
        </w:rPr>
        <w:t>05</w:t>
      </w:r>
      <w:r>
        <w:rPr>
          <w:rStyle w:val="17"/>
          <w:rFonts w:hint="eastAsia" w:ascii="仿宋" w:hAnsi="仿宋" w:eastAsia="仿宋"/>
          <w:b/>
          <w:bCs/>
          <w:sz w:val="32"/>
          <w:szCs w:val="32"/>
          <w:lang w:eastAsia="zh-CN"/>
        </w:rPr>
        <w:t>机关事业单位基本养老保险缴费</w:t>
      </w:r>
      <w:r>
        <w:rPr>
          <w:rStyle w:val="17"/>
          <w:rFonts w:hint="eastAsia" w:ascii="仿宋" w:hAnsi="仿宋" w:eastAsia="仿宋"/>
          <w:b/>
          <w:bCs/>
          <w:sz w:val="32"/>
          <w:szCs w:val="32"/>
          <w:lang w:val="en-US" w:eastAsia="zh-CN"/>
        </w:rPr>
        <w:t>05</w:t>
      </w:r>
      <w:r>
        <w:rPr>
          <w:rStyle w:val="17"/>
          <w:rFonts w:hint="eastAsia" w:ascii="仿宋" w:hAnsi="仿宋" w:eastAsia="仿宋"/>
          <w:b w:val="0"/>
          <w:bCs/>
          <w:sz w:val="32"/>
          <w:szCs w:val="32"/>
          <w:lang w:val="en-US"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73.27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left="0" w:leftChars="0" w:firstLine="643" w:firstLineChars="200"/>
        <w:rPr>
          <w:rFonts w:hint="default" w:ascii="仿宋" w:hAnsi="仿宋" w:eastAsia="仿宋"/>
          <w:b w:val="0"/>
          <w:bCs w:val="0"/>
          <w:sz w:val="32"/>
          <w:szCs w:val="32"/>
          <w:lang w:val="en-US" w:eastAsia="zh-CN"/>
        </w:rPr>
      </w:pPr>
      <w:r>
        <w:rPr>
          <w:rStyle w:val="17"/>
          <w:rFonts w:hint="eastAsia" w:ascii="仿宋" w:hAnsi="仿宋" w:eastAsia="仿宋"/>
          <w:b/>
          <w:bCs/>
          <w:sz w:val="32"/>
          <w:szCs w:val="32"/>
        </w:rPr>
        <w:t>社会保障和就业</w:t>
      </w:r>
      <w:r>
        <w:rPr>
          <w:rStyle w:val="17"/>
          <w:rFonts w:hint="eastAsia" w:ascii="仿宋" w:hAnsi="仿宋" w:eastAsia="仿宋"/>
          <w:b/>
          <w:bCs/>
          <w:sz w:val="32"/>
          <w:szCs w:val="32"/>
          <w:lang w:val="en-US" w:eastAsia="zh-CN"/>
        </w:rPr>
        <w:t>208</w:t>
      </w:r>
      <w:r>
        <w:rPr>
          <w:rStyle w:val="17"/>
          <w:rFonts w:hint="eastAsia" w:ascii="仿宋" w:hAnsi="仿宋" w:eastAsia="仿宋"/>
          <w:b/>
          <w:bCs/>
          <w:sz w:val="32"/>
          <w:szCs w:val="32"/>
          <w:lang w:eastAsia="zh-CN"/>
        </w:rPr>
        <w:t>行政事业单位养老</w:t>
      </w:r>
      <w:r>
        <w:rPr>
          <w:rStyle w:val="17"/>
          <w:rFonts w:hint="eastAsia" w:ascii="仿宋" w:hAnsi="仿宋" w:eastAsia="仿宋"/>
          <w:b/>
          <w:bCs/>
          <w:sz w:val="32"/>
          <w:szCs w:val="32"/>
          <w:lang w:val="en-US" w:eastAsia="zh-CN"/>
        </w:rPr>
        <w:t>05</w:t>
      </w:r>
      <w:r>
        <w:rPr>
          <w:rStyle w:val="17"/>
          <w:rFonts w:hint="eastAsia" w:ascii="仿宋" w:hAnsi="仿宋" w:eastAsia="仿宋"/>
          <w:b/>
          <w:bCs/>
          <w:sz w:val="32"/>
          <w:szCs w:val="32"/>
          <w:lang w:eastAsia="zh-CN"/>
        </w:rPr>
        <w:t>机关事业单位职业年金缴费</w:t>
      </w:r>
      <w:r>
        <w:rPr>
          <w:rStyle w:val="17"/>
          <w:rFonts w:hint="eastAsia" w:ascii="仿宋" w:hAnsi="仿宋" w:eastAsia="仿宋"/>
          <w:b/>
          <w:bCs/>
          <w:sz w:val="32"/>
          <w:szCs w:val="32"/>
          <w:lang w:val="en-US" w:eastAsia="zh-CN"/>
        </w:rPr>
        <w:t>06</w:t>
      </w:r>
      <w:r>
        <w:rPr>
          <w:rStyle w:val="17"/>
          <w:rFonts w:hint="eastAsia" w:ascii="仿宋" w:hAnsi="仿宋" w:eastAsia="仿宋"/>
          <w:b w:val="0"/>
          <w:bCs/>
          <w:sz w:val="32"/>
          <w:szCs w:val="32"/>
          <w:lang w:val="en-US"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:21.64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left="0" w:leftChars="0" w:firstLine="643" w:firstLineChars="200"/>
        <w:rPr>
          <w:rFonts w:hint="default" w:ascii="仿宋" w:hAnsi="仿宋" w:eastAsia="仿宋"/>
          <w:b w:val="0"/>
          <w:bCs w:val="0"/>
          <w:sz w:val="32"/>
          <w:szCs w:val="32"/>
          <w:lang w:val="en-US" w:eastAsia="zh-CN"/>
        </w:rPr>
      </w:pPr>
      <w:r>
        <w:rPr>
          <w:rStyle w:val="17"/>
          <w:rFonts w:hint="eastAsia" w:ascii="仿宋" w:hAnsi="仿宋" w:eastAsia="仿宋"/>
          <w:b/>
          <w:bCs/>
          <w:sz w:val="32"/>
          <w:szCs w:val="32"/>
        </w:rPr>
        <w:t>社会保障和就业</w:t>
      </w:r>
      <w:r>
        <w:rPr>
          <w:rStyle w:val="17"/>
          <w:rFonts w:hint="eastAsia" w:ascii="仿宋" w:hAnsi="仿宋" w:eastAsia="仿宋"/>
          <w:b/>
          <w:bCs/>
          <w:sz w:val="32"/>
          <w:szCs w:val="32"/>
          <w:lang w:val="en-US" w:eastAsia="zh-CN"/>
        </w:rPr>
        <w:t>208</w:t>
      </w:r>
      <w:r>
        <w:rPr>
          <w:rStyle w:val="17"/>
          <w:rFonts w:hint="eastAsia" w:ascii="仿宋" w:hAnsi="仿宋" w:eastAsia="仿宋"/>
          <w:b/>
          <w:bCs/>
          <w:sz w:val="32"/>
          <w:szCs w:val="32"/>
          <w:lang w:eastAsia="zh-CN"/>
        </w:rPr>
        <w:t>行政事业单位养老</w:t>
      </w:r>
      <w:r>
        <w:rPr>
          <w:rStyle w:val="17"/>
          <w:rFonts w:hint="eastAsia" w:ascii="仿宋" w:hAnsi="仿宋" w:eastAsia="仿宋"/>
          <w:b/>
          <w:bCs/>
          <w:sz w:val="32"/>
          <w:szCs w:val="32"/>
          <w:lang w:val="en-US" w:eastAsia="zh-CN"/>
        </w:rPr>
        <w:t>05</w:t>
      </w:r>
      <w:r>
        <w:rPr>
          <w:rStyle w:val="17"/>
          <w:rFonts w:hint="eastAsia" w:ascii="仿宋" w:hAnsi="仿宋" w:eastAsia="仿宋"/>
          <w:b/>
          <w:bCs/>
          <w:sz w:val="32"/>
          <w:szCs w:val="32"/>
          <w:lang w:eastAsia="zh-CN"/>
        </w:rPr>
        <w:t>其他行政事业单位养老</w:t>
      </w:r>
      <w:r>
        <w:rPr>
          <w:rStyle w:val="17"/>
          <w:rFonts w:hint="eastAsia" w:ascii="仿宋" w:hAnsi="仿宋" w:eastAsia="仿宋"/>
          <w:b/>
          <w:bCs/>
          <w:sz w:val="32"/>
          <w:szCs w:val="32"/>
          <w:lang w:val="en-US" w:eastAsia="zh-CN"/>
        </w:rPr>
        <w:t>99</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139.61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left="0" w:leftChars="0" w:firstLine="643" w:firstLineChars="200"/>
        <w:rPr>
          <w:rStyle w:val="17"/>
          <w:rFonts w:ascii="仿宋" w:hAnsi="仿宋" w:eastAsia="仿宋"/>
          <w:bCs/>
          <w:sz w:val="32"/>
          <w:szCs w:val="32"/>
        </w:rPr>
      </w:pPr>
      <w:r>
        <w:rPr>
          <w:rStyle w:val="17"/>
          <w:rFonts w:hint="eastAsia" w:ascii="仿宋" w:hAnsi="仿宋" w:eastAsia="仿宋"/>
          <w:b/>
          <w:bCs/>
          <w:sz w:val="32"/>
          <w:szCs w:val="32"/>
        </w:rPr>
        <w:t>社会保障和就业</w:t>
      </w:r>
      <w:r>
        <w:rPr>
          <w:rStyle w:val="17"/>
          <w:rFonts w:hint="eastAsia" w:ascii="仿宋" w:hAnsi="仿宋" w:eastAsia="仿宋"/>
          <w:b/>
          <w:bCs/>
          <w:sz w:val="32"/>
          <w:szCs w:val="32"/>
          <w:lang w:val="en-US" w:eastAsia="zh-CN"/>
        </w:rPr>
        <w:t>208抚恤08死亡抚恤01</w:t>
      </w:r>
      <w:r>
        <w:rPr>
          <w:rStyle w:val="17"/>
          <w:rFonts w:hint="eastAsia" w:ascii="仿宋" w:hAnsi="仿宋" w:eastAsia="仿宋"/>
          <w:b w:val="0"/>
          <w:bCs w:val="0"/>
          <w:sz w:val="32"/>
          <w:szCs w:val="32"/>
          <w:lang w:val="en-US" w:eastAsia="zh-CN"/>
        </w:rPr>
        <w:t>：支出决算为38.80万元，完成预算100%。</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lang w:val="en-US" w:eastAsia="zh-CN"/>
        </w:rPr>
        <w:t>210行政事业单位医疗11事业单位医疗02</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42.89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firstLineChars="200"/>
        <w:rPr>
          <w:rStyle w:val="17"/>
          <w:rFonts w:hint="default" w:ascii="仿宋" w:hAnsi="仿宋" w:eastAsia="仿宋"/>
          <w:b w:val="0"/>
          <w:bCs/>
          <w:sz w:val="32"/>
          <w:szCs w:val="32"/>
          <w:lang w:val="en-US" w:eastAsia="zh-CN"/>
        </w:rPr>
      </w:pPr>
      <w:r>
        <w:rPr>
          <w:rStyle w:val="17"/>
          <w:rFonts w:hint="eastAsia" w:ascii="仿宋" w:hAnsi="仿宋" w:eastAsia="仿宋"/>
          <w:b w:val="0"/>
          <w:bCs/>
          <w:sz w:val="32"/>
          <w:szCs w:val="32"/>
          <w:lang w:val="en-US" w:eastAsia="zh-CN"/>
        </w:rPr>
        <w:t>9.</w:t>
      </w:r>
      <w:r>
        <w:rPr>
          <w:rStyle w:val="17"/>
          <w:rFonts w:hint="eastAsia" w:ascii="仿宋" w:hAnsi="仿宋" w:eastAsia="仿宋"/>
          <w:b/>
          <w:bCs w:val="0"/>
          <w:sz w:val="32"/>
          <w:szCs w:val="32"/>
          <w:lang w:val="en-US" w:eastAsia="zh-CN"/>
        </w:rPr>
        <w:t>住房保障221住房改革02住房公积金01：</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29.77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tabs>
          <w:tab w:val="right" w:pos="8306"/>
        </w:tabs>
        <w:spacing w:line="600" w:lineRule="exact"/>
        <w:ind w:firstLine="640"/>
        <w:outlineLvl w:val="1"/>
        <w:rPr>
          <w:rStyle w:val="28"/>
        </w:rPr>
      </w:pPr>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2"/>
      <w:bookmarkEnd w:id="43"/>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1452.90</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rPr>
        <w:t>1150.34</w:t>
      </w:r>
      <w:r>
        <w:rPr>
          <w:rFonts w:hint="eastAsia" w:ascii="仿宋" w:hAnsi="仿宋" w:eastAsia="仿宋"/>
          <w:sz w:val="32"/>
          <w:szCs w:val="32"/>
        </w:rPr>
        <w:t>万元，主要包括：基本工资</w:t>
      </w:r>
      <w:r>
        <w:rPr>
          <w:rFonts w:hint="eastAsia" w:ascii="仿宋" w:hAnsi="仿宋" w:eastAsia="仿宋"/>
          <w:sz w:val="32"/>
          <w:szCs w:val="32"/>
          <w:lang w:val="en-US" w:eastAsia="zh-CN"/>
        </w:rPr>
        <w:t>362.49万元</w:t>
      </w:r>
      <w:r>
        <w:rPr>
          <w:rFonts w:hint="eastAsia" w:ascii="仿宋" w:hAnsi="仿宋" w:eastAsia="仿宋"/>
          <w:sz w:val="32"/>
          <w:szCs w:val="32"/>
        </w:rPr>
        <w:t>、津贴补贴</w:t>
      </w:r>
      <w:r>
        <w:rPr>
          <w:rFonts w:hint="eastAsia" w:ascii="仿宋" w:hAnsi="仿宋" w:eastAsia="仿宋"/>
          <w:sz w:val="32"/>
          <w:szCs w:val="32"/>
          <w:lang w:val="en-US" w:eastAsia="zh-CN"/>
        </w:rPr>
        <w:t>43.26万元</w:t>
      </w:r>
      <w:r>
        <w:rPr>
          <w:rFonts w:hint="eastAsia" w:ascii="仿宋" w:hAnsi="仿宋" w:eastAsia="仿宋"/>
          <w:sz w:val="32"/>
          <w:szCs w:val="32"/>
        </w:rPr>
        <w:t>、绩效工资</w:t>
      </w:r>
      <w:r>
        <w:rPr>
          <w:rFonts w:hint="eastAsia" w:ascii="仿宋" w:hAnsi="仿宋" w:eastAsia="仿宋"/>
          <w:sz w:val="32"/>
          <w:szCs w:val="32"/>
          <w:lang w:val="en-US" w:eastAsia="zh-CN"/>
        </w:rPr>
        <w:t>166.95万元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73.27万元</w:t>
      </w:r>
      <w:r>
        <w:rPr>
          <w:rFonts w:hint="eastAsia" w:ascii="仿宋" w:hAnsi="仿宋" w:eastAsia="仿宋"/>
          <w:sz w:val="32"/>
          <w:szCs w:val="32"/>
        </w:rPr>
        <w:t>、职业年金缴费</w:t>
      </w:r>
      <w:r>
        <w:rPr>
          <w:rFonts w:hint="eastAsia" w:ascii="仿宋" w:hAnsi="仿宋" w:eastAsia="仿宋"/>
          <w:sz w:val="32"/>
          <w:szCs w:val="32"/>
          <w:lang w:val="en-US" w:eastAsia="zh-CN"/>
        </w:rPr>
        <w:t>21.64万元</w:t>
      </w:r>
      <w:r>
        <w:rPr>
          <w:rFonts w:hint="eastAsia" w:ascii="仿宋" w:hAnsi="仿宋" w:eastAsia="仿宋"/>
          <w:sz w:val="32"/>
          <w:szCs w:val="32"/>
        </w:rPr>
        <w:t>、</w:t>
      </w:r>
      <w:r>
        <w:rPr>
          <w:rFonts w:hint="eastAsia" w:ascii="仿宋" w:hAnsi="仿宋" w:eastAsia="仿宋"/>
          <w:sz w:val="32"/>
          <w:szCs w:val="32"/>
          <w:lang w:eastAsia="zh-CN"/>
        </w:rPr>
        <w:t>职工基本医疗保险</w:t>
      </w:r>
      <w:r>
        <w:rPr>
          <w:rFonts w:hint="eastAsia" w:ascii="仿宋" w:hAnsi="仿宋" w:eastAsia="仿宋"/>
          <w:sz w:val="32"/>
          <w:szCs w:val="32"/>
        </w:rPr>
        <w:t>缴费</w:t>
      </w:r>
      <w:r>
        <w:rPr>
          <w:rFonts w:hint="eastAsia" w:ascii="仿宋" w:hAnsi="仿宋" w:eastAsia="仿宋"/>
          <w:sz w:val="32"/>
          <w:szCs w:val="32"/>
          <w:lang w:val="en-US" w:eastAsia="zh-CN"/>
        </w:rPr>
        <w:t>42.89万元</w:t>
      </w:r>
      <w:r>
        <w:rPr>
          <w:rFonts w:hint="eastAsia" w:ascii="仿宋" w:hAnsi="仿宋" w:eastAsia="仿宋"/>
          <w:sz w:val="32"/>
          <w:szCs w:val="32"/>
        </w:rPr>
        <w:t>、住房公积金</w:t>
      </w:r>
      <w:r>
        <w:rPr>
          <w:rFonts w:hint="eastAsia" w:ascii="仿宋" w:hAnsi="仿宋" w:eastAsia="仿宋"/>
          <w:sz w:val="32"/>
          <w:szCs w:val="32"/>
          <w:lang w:val="en-US" w:eastAsia="zh-CN"/>
        </w:rPr>
        <w:t>29.77万元、</w:t>
      </w:r>
      <w:r>
        <w:rPr>
          <w:rFonts w:hint="eastAsia" w:ascii="仿宋" w:hAnsi="仿宋" w:eastAsia="仿宋"/>
          <w:sz w:val="32"/>
          <w:szCs w:val="32"/>
        </w:rPr>
        <w:t>其他工资福利支出</w:t>
      </w:r>
      <w:r>
        <w:rPr>
          <w:rFonts w:hint="eastAsia" w:ascii="仿宋" w:hAnsi="仿宋" w:eastAsia="仿宋"/>
          <w:sz w:val="32"/>
          <w:szCs w:val="32"/>
          <w:lang w:val="en-US" w:eastAsia="zh-CN"/>
        </w:rPr>
        <w:t>220.06万元</w:t>
      </w:r>
      <w:r>
        <w:rPr>
          <w:rFonts w:hint="eastAsia" w:ascii="仿宋" w:hAnsi="仿宋" w:eastAsia="仿宋"/>
          <w:sz w:val="32"/>
          <w:szCs w:val="32"/>
        </w:rPr>
        <w:t>、抚恤金</w:t>
      </w:r>
      <w:r>
        <w:rPr>
          <w:rFonts w:hint="eastAsia" w:ascii="仿宋" w:hAnsi="仿宋" w:eastAsia="仿宋"/>
          <w:sz w:val="32"/>
          <w:szCs w:val="32"/>
          <w:lang w:val="en-US" w:eastAsia="zh-CN"/>
        </w:rPr>
        <w:t>38.80万元</w:t>
      </w:r>
      <w:r>
        <w:rPr>
          <w:rFonts w:hint="eastAsia" w:ascii="仿宋" w:hAnsi="仿宋" w:eastAsia="仿宋"/>
          <w:sz w:val="32"/>
          <w:szCs w:val="32"/>
        </w:rPr>
        <w:t>、生活补助</w:t>
      </w:r>
      <w:r>
        <w:rPr>
          <w:rFonts w:hint="eastAsia" w:ascii="仿宋" w:hAnsi="仿宋" w:eastAsia="仿宋"/>
          <w:sz w:val="32"/>
          <w:szCs w:val="32"/>
          <w:lang w:val="en-US" w:eastAsia="zh-CN"/>
        </w:rPr>
        <w:t>151.14万元</w:t>
      </w:r>
      <w:r>
        <w:rPr>
          <w:rFonts w:hint="eastAsia" w:ascii="仿宋" w:hAnsi="仿宋" w:eastAsia="仿宋"/>
          <w:sz w:val="32"/>
          <w:szCs w:val="32"/>
        </w:rPr>
        <w:t>、</w:t>
      </w:r>
      <w:r>
        <w:rPr>
          <w:rFonts w:hint="eastAsia" w:ascii="仿宋" w:hAnsi="仿宋" w:eastAsia="仿宋"/>
          <w:sz w:val="32"/>
          <w:szCs w:val="32"/>
          <w:lang w:val="en-US" w:eastAsia="zh-CN"/>
        </w:rPr>
        <w:t>奖励金0.07万元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188.04</w:t>
      </w:r>
      <w:r>
        <w:rPr>
          <w:rFonts w:hint="eastAsia" w:ascii="仿宋" w:hAnsi="仿宋" w:eastAsia="仿宋"/>
          <w:sz w:val="32"/>
          <w:szCs w:val="32"/>
        </w:rPr>
        <w:t>万元，主要包括：办公费</w:t>
      </w:r>
      <w:r>
        <w:rPr>
          <w:rFonts w:hint="eastAsia" w:ascii="仿宋" w:hAnsi="仿宋" w:eastAsia="仿宋"/>
          <w:sz w:val="32"/>
          <w:szCs w:val="32"/>
          <w:lang w:val="en-US" w:eastAsia="zh-CN"/>
        </w:rPr>
        <w:t>53.7万元</w:t>
      </w:r>
      <w:r>
        <w:rPr>
          <w:rFonts w:hint="eastAsia" w:ascii="仿宋" w:hAnsi="仿宋" w:eastAsia="仿宋"/>
          <w:sz w:val="32"/>
          <w:szCs w:val="32"/>
        </w:rPr>
        <w:t>、水费</w:t>
      </w:r>
      <w:r>
        <w:rPr>
          <w:rFonts w:hint="eastAsia" w:ascii="仿宋" w:hAnsi="仿宋" w:eastAsia="仿宋"/>
          <w:sz w:val="32"/>
          <w:szCs w:val="32"/>
          <w:lang w:val="en-US" w:eastAsia="zh-CN"/>
        </w:rPr>
        <w:t>3万元</w:t>
      </w:r>
      <w:r>
        <w:rPr>
          <w:rFonts w:hint="eastAsia" w:ascii="仿宋" w:hAnsi="仿宋" w:eastAsia="仿宋"/>
          <w:sz w:val="32"/>
          <w:szCs w:val="32"/>
        </w:rPr>
        <w:t>、电费</w:t>
      </w:r>
      <w:r>
        <w:rPr>
          <w:rFonts w:hint="eastAsia" w:ascii="仿宋" w:hAnsi="仿宋" w:eastAsia="仿宋"/>
          <w:sz w:val="32"/>
          <w:szCs w:val="32"/>
          <w:lang w:val="en-US" w:eastAsia="zh-CN"/>
        </w:rPr>
        <w:t>5.5万元</w:t>
      </w:r>
      <w:r>
        <w:rPr>
          <w:rFonts w:hint="eastAsia" w:ascii="仿宋" w:hAnsi="仿宋" w:eastAsia="仿宋"/>
          <w:sz w:val="32"/>
          <w:szCs w:val="32"/>
        </w:rPr>
        <w:t>、邮电费</w:t>
      </w:r>
      <w:r>
        <w:rPr>
          <w:rFonts w:hint="eastAsia" w:ascii="仿宋" w:hAnsi="仿宋" w:eastAsia="仿宋"/>
          <w:sz w:val="32"/>
          <w:szCs w:val="32"/>
          <w:lang w:val="en-US" w:eastAsia="zh-CN"/>
        </w:rPr>
        <w:t>5.3万元</w:t>
      </w:r>
      <w:r>
        <w:rPr>
          <w:rFonts w:hint="eastAsia" w:ascii="仿宋" w:hAnsi="仿宋" w:eastAsia="仿宋"/>
          <w:sz w:val="32"/>
          <w:szCs w:val="32"/>
        </w:rPr>
        <w:t>、差旅费</w:t>
      </w:r>
      <w:r>
        <w:rPr>
          <w:rFonts w:hint="eastAsia" w:ascii="仿宋" w:hAnsi="仿宋" w:eastAsia="仿宋"/>
          <w:sz w:val="32"/>
          <w:szCs w:val="32"/>
          <w:lang w:val="en-US" w:eastAsia="zh-CN"/>
        </w:rPr>
        <w:t>12万</w:t>
      </w:r>
      <w:r>
        <w:rPr>
          <w:rFonts w:hint="eastAsia" w:ascii="仿宋" w:hAnsi="仿宋" w:eastAsia="仿宋"/>
          <w:sz w:val="32"/>
          <w:szCs w:val="32"/>
        </w:rPr>
        <w:t>、维修（护）费</w:t>
      </w:r>
      <w:r>
        <w:rPr>
          <w:rFonts w:hint="eastAsia" w:ascii="仿宋" w:hAnsi="仿宋" w:eastAsia="仿宋"/>
          <w:sz w:val="32"/>
          <w:szCs w:val="32"/>
          <w:lang w:val="en-US" w:eastAsia="zh-CN"/>
        </w:rPr>
        <w:t>14.21万元</w:t>
      </w:r>
      <w:r>
        <w:rPr>
          <w:rFonts w:hint="eastAsia" w:ascii="仿宋" w:hAnsi="仿宋" w:eastAsia="仿宋"/>
          <w:sz w:val="32"/>
          <w:szCs w:val="32"/>
        </w:rPr>
        <w:t>、会议费</w:t>
      </w:r>
      <w:r>
        <w:rPr>
          <w:rFonts w:hint="eastAsia" w:ascii="仿宋" w:hAnsi="仿宋" w:eastAsia="仿宋"/>
          <w:sz w:val="32"/>
          <w:szCs w:val="32"/>
          <w:lang w:val="en-US" w:eastAsia="zh-CN"/>
        </w:rPr>
        <w:t>0.18万元</w:t>
      </w:r>
      <w:r>
        <w:rPr>
          <w:rFonts w:hint="eastAsia" w:ascii="仿宋" w:hAnsi="仿宋" w:eastAsia="仿宋"/>
          <w:sz w:val="32"/>
          <w:szCs w:val="32"/>
        </w:rPr>
        <w:t>、培训费</w:t>
      </w:r>
      <w:r>
        <w:rPr>
          <w:rFonts w:hint="eastAsia" w:ascii="仿宋" w:hAnsi="仿宋" w:eastAsia="仿宋"/>
          <w:sz w:val="32"/>
          <w:szCs w:val="32"/>
          <w:lang w:val="en-US" w:eastAsia="zh-CN"/>
        </w:rPr>
        <w:t>1.99万元</w:t>
      </w:r>
      <w:r>
        <w:rPr>
          <w:rFonts w:hint="eastAsia" w:ascii="仿宋" w:hAnsi="仿宋" w:eastAsia="仿宋"/>
          <w:sz w:val="32"/>
          <w:szCs w:val="32"/>
        </w:rPr>
        <w:t>、</w:t>
      </w:r>
      <w:r>
        <w:rPr>
          <w:rFonts w:hint="eastAsia" w:ascii="仿宋" w:hAnsi="仿宋" w:eastAsia="仿宋"/>
          <w:sz w:val="32"/>
          <w:szCs w:val="32"/>
          <w:lang w:val="en-US" w:eastAsia="zh-CN"/>
        </w:rPr>
        <w:t>劳务</w:t>
      </w:r>
      <w:r>
        <w:rPr>
          <w:rFonts w:hint="eastAsia" w:ascii="仿宋" w:hAnsi="仿宋" w:eastAsia="仿宋"/>
          <w:sz w:val="32"/>
          <w:szCs w:val="32"/>
        </w:rPr>
        <w:t>费</w:t>
      </w:r>
      <w:r>
        <w:rPr>
          <w:rFonts w:hint="eastAsia" w:ascii="仿宋" w:hAnsi="仿宋" w:eastAsia="仿宋"/>
          <w:sz w:val="32"/>
          <w:szCs w:val="32"/>
          <w:lang w:val="en-US" w:eastAsia="zh-CN"/>
        </w:rPr>
        <w:t>0.2万元</w:t>
      </w:r>
      <w:r>
        <w:rPr>
          <w:rFonts w:hint="eastAsia" w:ascii="仿宋" w:hAnsi="仿宋" w:eastAsia="仿宋"/>
          <w:sz w:val="32"/>
          <w:szCs w:val="32"/>
        </w:rPr>
        <w:t>、工会经费</w:t>
      </w:r>
      <w:r>
        <w:rPr>
          <w:rFonts w:hint="eastAsia" w:ascii="仿宋" w:hAnsi="仿宋" w:eastAsia="仿宋"/>
          <w:sz w:val="32"/>
          <w:szCs w:val="32"/>
          <w:lang w:val="en-US" w:eastAsia="zh-CN"/>
        </w:rPr>
        <w:t>19.54万元</w:t>
      </w:r>
      <w:r>
        <w:rPr>
          <w:rFonts w:hint="eastAsia" w:ascii="仿宋" w:hAnsi="仿宋" w:eastAsia="仿宋"/>
          <w:sz w:val="32"/>
          <w:szCs w:val="32"/>
        </w:rPr>
        <w:t>、福利费</w:t>
      </w:r>
      <w:r>
        <w:rPr>
          <w:rFonts w:hint="eastAsia" w:ascii="仿宋" w:hAnsi="仿宋" w:eastAsia="仿宋"/>
          <w:sz w:val="32"/>
          <w:szCs w:val="32"/>
          <w:lang w:val="en-US" w:eastAsia="zh-CN"/>
        </w:rPr>
        <w:t>32.04万元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40.39万元</w:t>
      </w:r>
      <w:r>
        <w:rPr>
          <w:rFonts w:hint="eastAsia" w:ascii="仿宋" w:hAnsi="仿宋" w:eastAsia="仿宋"/>
          <w:sz w:val="32"/>
          <w:szCs w:val="32"/>
        </w:rPr>
        <w:t>等。</w:t>
      </w:r>
    </w:p>
    <w:p>
      <w:pPr>
        <w:spacing w:line="600" w:lineRule="exact"/>
        <w:ind w:firstLine="640"/>
        <w:outlineLvl w:val="1"/>
        <w:rPr>
          <w:rStyle w:val="28"/>
          <w:rFonts w:ascii="黑体" w:hAnsi="黑体" w:eastAsia="黑体"/>
          <w:b w:val="0"/>
        </w:rPr>
      </w:pPr>
      <w:bookmarkStart w:id="44" w:name="_Toc15377215"/>
      <w:bookmarkStart w:id="45"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b/>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b/>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column">
              <wp:posOffset>272415</wp:posOffset>
            </wp:positionH>
            <wp:positionV relativeFrom="paragraph">
              <wp:posOffset>179705</wp:posOffset>
            </wp:positionV>
            <wp:extent cx="5185410" cy="1893570"/>
            <wp:effectExtent l="4445" t="4445" r="10795" b="6985"/>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ascii="仿宋_GB2312" w:eastAsia="仿宋_GB2312"/>
          <w:sz w:val="32"/>
          <w:szCs w:val="32"/>
        </w:rPr>
      </w:pPr>
      <w:bookmarkStart w:id="48" w:name="_Toc15396610"/>
      <w:bookmarkStart w:id="49"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hint="eastAsia" w:ascii="仿宋_GB2312" w:eastAsia="仿宋_GB2312"/>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eastAsia="zh-CN"/>
        </w:rPr>
        <w:t>持平。</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hint="default" w:ascii="仿宋_GB2312" w:eastAsia="仿宋_GB2312"/>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 w:hAnsi="仿宋" w:eastAsia="仿宋"/>
          <w:b/>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firstLineChars="20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left="-10" w:leftChars="0" w:firstLine="640" w:firstLineChars="0"/>
        <w:outlineLvl w:val="1"/>
        <w:rPr>
          <w:rStyle w:val="28"/>
          <w:rFonts w:ascii="黑体" w:hAnsi="黑体" w:eastAsia="黑体"/>
          <w:b w:val="0"/>
        </w:rPr>
      </w:pPr>
      <w:bookmarkStart w:id="50" w:name="_Toc15396611"/>
      <w:bookmarkStart w:id="51" w:name="_Toc15377219"/>
      <w:r>
        <w:rPr>
          <w:rStyle w:val="28"/>
          <w:rFonts w:hint="eastAsia" w:ascii="黑体" w:hAnsi="黑体" w:eastAsia="黑体"/>
          <w:b w:val="0"/>
        </w:rPr>
        <w:t>国有资本经营预算支出决算情况说明</w:t>
      </w:r>
      <w:bookmarkEnd w:id="50"/>
      <w:bookmarkEnd w:id="5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3"/>
          <w:rFonts w:hint="eastAsia" w:ascii="黑体" w:hAnsi="黑体" w:eastAsia="黑体"/>
          <w:b w:val="0"/>
          <w:color w:val="auto"/>
          <w:highlight w:val="none"/>
        </w:rPr>
      </w:pPr>
      <w:bookmarkStart w:id="52" w:name="_Toc15377221"/>
      <w:bookmarkStart w:id="53" w:name="_Toc31091"/>
      <w:bookmarkStart w:id="54" w:name="_Toc15396612"/>
      <w:bookmarkStart w:id="55" w:name="_Toc15377225"/>
      <w:bookmarkStart w:id="56" w:name="_Toc15396613"/>
      <w:r>
        <w:rPr>
          <w:rStyle w:val="33"/>
          <w:rFonts w:hint="eastAsia" w:ascii="黑体" w:hAnsi="黑体" w:eastAsia="黑体"/>
          <w:b w:val="0"/>
          <w:color w:val="auto"/>
          <w:highlight w:val="none"/>
        </w:rPr>
        <w:t>其他重要事项的情况说明</w:t>
      </w:r>
      <w:bookmarkEnd w:id="52"/>
      <w:bookmarkEnd w:id="53"/>
      <w:bookmarkEnd w:id="54"/>
    </w:p>
    <w:p>
      <w:pPr>
        <w:spacing w:line="600" w:lineRule="exact"/>
        <w:ind w:firstLine="643" w:firstLineChars="200"/>
        <w:outlineLvl w:val="2"/>
        <w:rPr>
          <w:rFonts w:ascii="仿宋" w:hAnsi="仿宋" w:eastAsia="仿宋"/>
          <w:color w:val="auto"/>
          <w:sz w:val="32"/>
          <w:szCs w:val="32"/>
          <w:highlight w:val="none"/>
        </w:rPr>
      </w:pPr>
      <w:bookmarkStart w:id="57" w:name="_Toc15377222"/>
      <w:r>
        <w:rPr>
          <w:rFonts w:hint="eastAsia" w:ascii="仿宋" w:hAnsi="仿宋" w:eastAsia="仿宋"/>
          <w:b/>
          <w:color w:val="auto"/>
          <w:sz w:val="32"/>
          <w:szCs w:val="32"/>
          <w:highlight w:val="none"/>
        </w:rPr>
        <w:t>（一）机关运行经费支出情况</w:t>
      </w:r>
      <w:bookmarkEnd w:id="57"/>
    </w:p>
    <w:p>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8" w:name="_Toc15377223"/>
      <w:r>
        <w:rPr>
          <w:rFonts w:hint="eastAsia" w:ascii="仿宋" w:hAnsi="仿宋" w:eastAsia="仿宋"/>
          <w:b/>
          <w:color w:val="auto"/>
          <w:sz w:val="32"/>
          <w:szCs w:val="32"/>
          <w:highlight w:val="none"/>
        </w:rPr>
        <w:t>（二）政府采购支出情况</w:t>
      </w:r>
      <w:bookmarkEnd w:id="58"/>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清河镇中心</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9" w:name="_Toc15377224"/>
      <w:r>
        <w:rPr>
          <w:rFonts w:hint="eastAsia" w:ascii="仿宋" w:hAnsi="仿宋" w:eastAsia="仿宋"/>
          <w:b/>
          <w:color w:val="auto"/>
          <w:sz w:val="32"/>
          <w:szCs w:val="32"/>
          <w:highlight w:val="none"/>
        </w:rPr>
        <w:t>（三）国有资产占有使用情况</w:t>
      </w:r>
      <w:bookmarkEnd w:id="5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清河镇中心</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pPr>
        <w:spacing w:line="580" w:lineRule="exact"/>
        <w:ind w:firstLine="640" w:firstLineChars="200"/>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rPr>
      </w:pPr>
    </w:p>
    <w:p>
      <w:pPr>
        <w:numPr>
          <w:ilvl w:val="0"/>
          <w:numId w:val="4"/>
        </w:numPr>
        <w:spacing w:line="600" w:lineRule="exact"/>
        <w:ind w:firstLine="660" w:firstLineChars="150"/>
        <w:jc w:val="center"/>
        <w:outlineLvl w:val="0"/>
        <w:rPr>
          <w:rStyle w:val="27"/>
          <w:rFonts w:ascii="黑体" w:hAnsi="黑体" w:eastAsia="黑体"/>
          <w:b w:val="0"/>
        </w:rPr>
      </w:pPr>
      <w:r>
        <w:rPr>
          <w:rFonts w:hint="eastAsia" w:ascii="黑体" w:hAnsi="黑体" w:eastAsia="黑体"/>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sz w:val="44"/>
          <w:szCs w:val="44"/>
        </w:rPr>
      </w:pPr>
    </w:p>
    <w:p>
      <w:pPr>
        <w:pStyle w:val="25"/>
        <w:spacing w:line="560" w:lineRule="exact"/>
        <w:ind w:firstLine="560" w:firstLineChars="200"/>
        <w:rPr>
          <w:rFonts w:hint="eastAsia" w:ascii="宋体" w:hAnsi="宋体" w:eastAsia="宋体" w:cs="宋体"/>
          <w:color w:val="auto"/>
          <w:sz w:val="28"/>
          <w:szCs w:val="28"/>
        </w:rPr>
      </w:pPr>
      <w:bookmarkStart w:id="60" w:name="_Toc15396614"/>
      <w:bookmarkStart w:id="61" w:name="_Toc15377226"/>
      <w:r>
        <w:rPr>
          <w:rFonts w:hint="eastAsia" w:ascii="宋体" w:hAnsi="宋体" w:eastAsia="宋体" w:cs="宋体"/>
          <w:color w:val="auto"/>
          <w:sz w:val="28"/>
          <w:szCs w:val="28"/>
        </w:rPr>
        <w:t>1.财政拨款收入：指单位从同级财政部门取得的财政预算资金。</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2.事业收入：指事业单位开展专业业务活动及辅助活动取得的收入。如…（二级预算单位事业收入情况）等。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3.经营收入：指事业单位在专业业务活动及其辅助活动之外开展非独立核算经营活动取得的收入。如…（二级预算单位经营收入情况）等。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4.其他收入：指单位取得的除上述收入以外的各项收入。主要是…（收入类型）等。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sz w:val="28"/>
          <w:szCs w:val="28"/>
        </w:rPr>
        <w:t>使用非财政拨款结余（含专用结余）</w:t>
      </w:r>
      <w:r>
        <w:rPr>
          <w:rFonts w:hint="eastAsia" w:ascii="宋体" w:hAnsi="宋体" w:eastAsia="宋体" w:cs="宋体"/>
          <w:color w:val="auto"/>
          <w:sz w:val="28"/>
          <w:szCs w:val="28"/>
        </w:rPr>
        <w:t xml:space="preserve">：指事业单位使用以前年度积累的非财政拨款结余弥补当年收支差额的金额。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6.年初结转和结余：指以前年度尚未完成、结转到本年按有关规定继续使用的资金。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7.结余分配：指事业单位按照会计制度规定缴纳的所得税、提取的专用结余以及转入非财政拨款结余的金额等。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8.年末结转和结余：指单位按有关规定结转到下年或以后年度继续使用的资金。</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学前教育</w:t>
      </w:r>
      <w:r>
        <w:rPr>
          <w:rFonts w:hint="eastAsia" w:ascii="宋体" w:hAnsi="宋体" w:eastAsia="宋体" w:cs="宋体"/>
          <w:sz w:val="28"/>
          <w:szCs w:val="28"/>
        </w:rPr>
        <w:t>（项）：指</w:t>
      </w:r>
      <w:r>
        <w:rPr>
          <w:rFonts w:hint="eastAsia" w:ascii="宋体" w:hAnsi="宋体" w:eastAsia="宋体" w:cs="宋体"/>
          <w:sz w:val="28"/>
          <w:szCs w:val="28"/>
          <w:lang w:eastAsia="zh-CN"/>
        </w:rPr>
        <w:t>学前教育的办公经费</w:t>
      </w:r>
      <w:r>
        <w:rPr>
          <w:rFonts w:hint="eastAsia" w:ascii="宋体" w:hAnsi="宋体" w:eastAsia="宋体" w:cs="宋体"/>
          <w:sz w:val="28"/>
          <w:szCs w:val="28"/>
        </w:rPr>
        <w:t>。</w:t>
      </w:r>
    </w:p>
    <w:p>
      <w:pPr>
        <w:ind w:left="0" w:leftChars="0"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10</w:t>
      </w:r>
      <w:r>
        <w:rPr>
          <w:rFonts w:hint="eastAsia" w:ascii="宋体" w:hAnsi="宋体" w:eastAsia="宋体" w:cs="宋体"/>
          <w:b w:val="0"/>
          <w:bCs/>
          <w:sz w:val="28"/>
          <w:szCs w:val="28"/>
        </w:rPr>
        <w:t>.教育（类）</w:t>
      </w:r>
      <w:r>
        <w:rPr>
          <w:rFonts w:hint="eastAsia" w:ascii="宋体" w:hAnsi="宋体" w:eastAsia="宋体" w:cs="宋体"/>
          <w:b w:val="0"/>
          <w:bCs/>
          <w:sz w:val="28"/>
          <w:szCs w:val="28"/>
          <w:lang w:eastAsia="zh-CN"/>
        </w:rPr>
        <w:t>普通教育</w:t>
      </w:r>
      <w:r>
        <w:rPr>
          <w:rFonts w:hint="eastAsia" w:ascii="宋体" w:hAnsi="宋体" w:eastAsia="宋体" w:cs="宋体"/>
          <w:b w:val="0"/>
          <w:bCs/>
          <w:sz w:val="28"/>
          <w:szCs w:val="28"/>
        </w:rPr>
        <w:t>（款）</w:t>
      </w:r>
      <w:r>
        <w:rPr>
          <w:rFonts w:hint="eastAsia" w:ascii="宋体" w:hAnsi="宋体" w:eastAsia="宋体" w:cs="宋体"/>
          <w:b w:val="0"/>
          <w:bCs/>
          <w:sz w:val="28"/>
          <w:szCs w:val="28"/>
          <w:lang w:eastAsia="zh-CN"/>
        </w:rPr>
        <w:t>小学教育</w:t>
      </w:r>
      <w:r>
        <w:rPr>
          <w:rFonts w:hint="eastAsia" w:ascii="宋体" w:hAnsi="宋体" w:eastAsia="宋体" w:cs="宋体"/>
          <w:b w:val="0"/>
          <w:bCs/>
          <w:sz w:val="28"/>
          <w:szCs w:val="28"/>
        </w:rPr>
        <w:t>（项）:</w:t>
      </w:r>
      <w:r>
        <w:rPr>
          <w:rFonts w:hint="eastAsia" w:ascii="宋体" w:hAnsi="宋体" w:eastAsia="宋体" w:cs="宋体"/>
          <w:b w:val="0"/>
          <w:bCs/>
          <w:sz w:val="28"/>
          <w:szCs w:val="28"/>
          <w:lang w:eastAsia="zh-CN"/>
        </w:rPr>
        <w:t>指进行小学学历教育的人员和办公经费。</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初中教育</w:t>
      </w:r>
      <w:r>
        <w:rPr>
          <w:rFonts w:hint="eastAsia" w:ascii="宋体" w:hAnsi="宋体" w:eastAsia="宋体" w:cs="宋体"/>
          <w:sz w:val="28"/>
          <w:szCs w:val="28"/>
        </w:rPr>
        <w:t>（项）:</w:t>
      </w:r>
      <w:r>
        <w:rPr>
          <w:rFonts w:hint="eastAsia" w:ascii="宋体" w:hAnsi="宋体" w:eastAsia="宋体" w:cs="宋体"/>
          <w:b w:val="0"/>
          <w:bCs/>
          <w:sz w:val="28"/>
          <w:szCs w:val="28"/>
          <w:lang w:eastAsia="zh-CN"/>
        </w:rPr>
        <w:t>指进行初中学历教育的人员和办公经费。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其他普通教育支出</w:t>
      </w:r>
      <w:r>
        <w:rPr>
          <w:rFonts w:hint="eastAsia" w:ascii="宋体" w:hAnsi="宋体" w:eastAsia="宋体" w:cs="宋体"/>
          <w:sz w:val="28"/>
          <w:szCs w:val="28"/>
        </w:rPr>
        <w:t>（项）:</w:t>
      </w:r>
      <w:r>
        <w:rPr>
          <w:rFonts w:hint="eastAsia" w:ascii="宋体" w:hAnsi="宋体" w:eastAsia="宋体" w:cs="宋体"/>
          <w:sz w:val="28"/>
          <w:szCs w:val="28"/>
          <w:lang w:eastAsia="zh-CN"/>
        </w:rPr>
        <w:t>指以前年度实施的校舍安全强制达标项目。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rPr>
        <w:t>.</w:t>
      </w:r>
      <w:r>
        <w:rPr>
          <w:rFonts w:hint="eastAsia" w:ascii="宋体" w:hAnsi="宋体" w:eastAsia="宋体" w:cs="宋体"/>
          <w:sz w:val="28"/>
          <w:szCs w:val="28"/>
          <w:lang w:eastAsia="zh-CN"/>
        </w:rPr>
        <w:t>文化旅游体育与传媒</w:t>
      </w:r>
      <w:r>
        <w:rPr>
          <w:rFonts w:hint="eastAsia" w:ascii="宋体" w:hAnsi="宋体" w:eastAsia="宋体" w:cs="宋体"/>
          <w:sz w:val="28"/>
          <w:szCs w:val="28"/>
        </w:rPr>
        <w:t>（类）</w:t>
      </w:r>
      <w:r>
        <w:rPr>
          <w:rFonts w:hint="eastAsia" w:ascii="宋体" w:hAnsi="宋体" w:eastAsia="宋体" w:cs="宋体"/>
          <w:sz w:val="28"/>
          <w:szCs w:val="28"/>
          <w:lang w:eastAsia="zh-CN"/>
        </w:rPr>
        <w:t>文化旅游体育与传媒支出</w:t>
      </w:r>
      <w:r>
        <w:rPr>
          <w:rFonts w:hint="eastAsia" w:ascii="宋体" w:hAnsi="宋体" w:eastAsia="宋体" w:cs="宋体"/>
          <w:sz w:val="28"/>
          <w:szCs w:val="28"/>
        </w:rPr>
        <w:t>（款）</w:t>
      </w:r>
      <w:r>
        <w:rPr>
          <w:rFonts w:hint="eastAsia" w:ascii="宋体" w:hAnsi="宋体" w:eastAsia="宋体" w:cs="宋体"/>
          <w:sz w:val="28"/>
          <w:szCs w:val="28"/>
          <w:lang w:eastAsia="zh-CN"/>
        </w:rPr>
        <w:t>其他文化旅游体育与传媒支出</w:t>
      </w:r>
      <w:r>
        <w:rPr>
          <w:rFonts w:hint="eastAsia" w:ascii="宋体" w:hAnsi="宋体" w:eastAsia="宋体" w:cs="宋体"/>
          <w:sz w:val="28"/>
          <w:szCs w:val="28"/>
        </w:rPr>
        <w:t>（项）:</w:t>
      </w:r>
      <w:r>
        <w:rPr>
          <w:rFonts w:hint="eastAsia" w:ascii="宋体" w:hAnsi="宋体" w:eastAsia="宋体" w:cs="宋体"/>
          <w:sz w:val="28"/>
          <w:szCs w:val="28"/>
          <w:lang w:eastAsia="zh-CN"/>
        </w:rPr>
        <w:t>指乡村少年宫运行费。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14</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事业单位离退休</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退休人员地区生活补助。</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机关事业单位基本养老保险缴费支出</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单位为职工缴纳的医疗保险费。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16</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机关事业单位职业年金缴费支出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单位为职工缴纳的职业年金。</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17</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其他行政事业单位养老支出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退休生活补助。</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.卫生健康（类）</w:t>
      </w:r>
      <w:r>
        <w:rPr>
          <w:rFonts w:hint="eastAsia" w:ascii="宋体" w:hAnsi="宋体" w:eastAsia="宋体" w:cs="宋体"/>
          <w:sz w:val="28"/>
          <w:szCs w:val="28"/>
          <w:lang w:eastAsia="zh-CN"/>
        </w:rPr>
        <w:t>行政事业单位医疗</w:t>
      </w:r>
      <w:r>
        <w:rPr>
          <w:rFonts w:hint="eastAsia" w:ascii="宋体" w:hAnsi="宋体" w:eastAsia="宋体" w:cs="宋体"/>
          <w:sz w:val="28"/>
          <w:szCs w:val="28"/>
        </w:rPr>
        <w:t>（款）</w:t>
      </w:r>
      <w:r>
        <w:rPr>
          <w:rFonts w:hint="eastAsia" w:ascii="宋体" w:hAnsi="宋体" w:eastAsia="宋体" w:cs="宋体"/>
          <w:sz w:val="28"/>
          <w:szCs w:val="28"/>
          <w:lang w:eastAsia="zh-CN"/>
        </w:rPr>
        <w:t>事业单位医疗</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单位为职工缴纳的养老保险。</w:t>
      </w:r>
    </w:p>
    <w:p>
      <w:pPr>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lang w:val="en-US" w:eastAsia="zh-CN"/>
        </w:rPr>
        <w:t>19</w:t>
      </w:r>
      <w:r>
        <w:rPr>
          <w:rFonts w:hint="eastAsia" w:ascii="宋体" w:hAnsi="宋体" w:eastAsia="宋体" w:cs="宋体"/>
          <w:sz w:val="28"/>
          <w:szCs w:val="28"/>
        </w:rPr>
        <w:t>.</w:t>
      </w:r>
      <w:r>
        <w:rPr>
          <w:rFonts w:hint="eastAsia" w:ascii="宋体" w:hAnsi="宋体" w:eastAsia="宋体" w:cs="宋体"/>
          <w:sz w:val="28"/>
          <w:szCs w:val="28"/>
          <w:lang w:eastAsia="zh-CN"/>
        </w:rPr>
        <w:t>住房保障支出</w:t>
      </w:r>
      <w:r>
        <w:rPr>
          <w:rFonts w:hint="eastAsia" w:ascii="宋体" w:hAnsi="宋体" w:eastAsia="宋体" w:cs="宋体"/>
          <w:sz w:val="28"/>
          <w:szCs w:val="28"/>
        </w:rPr>
        <w:t>（类）</w:t>
      </w:r>
      <w:r>
        <w:rPr>
          <w:rFonts w:hint="eastAsia" w:ascii="宋体" w:hAnsi="宋体" w:eastAsia="宋体" w:cs="宋体"/>
          <w:sz w:val="28"/>
          <w:szCs w:val="28"/>
          <w:lang w:eastAsia="zh-CN"/>
        </w:rPr>
        <w:t>住房改革支出</w:t>
      </w:r>
      <w:r>
        <w:rPr>
          <w:rFonts w:hint="eastAsia" w:ascii="宋体" w:hAnsi="宋体" w:eastAsia="宋体" w:cs="宋体"/>
          <w:sz w:val="28"/>
          <w:szCs w:val="28"/>
        </w:rPr>
        <w:t>（款）</w:t>
      </w:r>
      <w:r>
        <w:rPr>
          <w:rFonts w:hint="eastAsia" w:ascii="宋体" w:hAnsi="宋体" w:eastAsia="宋体" w:cs="宋体"/>
          <w:sz w:val="28"/>
          <w:szCs w:val="28"/>
          <w:lang w:eastAsia="zh-CN"/>
        </w:rPr>
        <w:t>住房公积金</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单位为职工缴纳的住房公积金。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27.基本支出：指为保障机构正常运转、完成日常工作任务而发生的人员支出和公用支出。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28.项目支出：指在基本支出之外为完成特定行政任务和事业发展目标所发生的支出。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29.经营支出：指事业单位在专业业务活动及其辅助活动之外开展非独立核算经营活动发生的支出。</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76" w:name="_GoBack"/>
      <w:bookmarkEnd w:id="7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bookmarkEnd w:id="60"/>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p>
    <w:p>
      <w:pPr>
        <w:spacing w:line="600" w:lineRule="exact"/>
        <w:jc w:val="center"/>
        <w:outlineLvl w:val="0"/>
        <w:rPr>
          <w:rStyle w:val="27"/>
          <w:rFonts w:ascii="黑体" w:hAnsi="黑体" w:eastAsia="黑体"/>
          <w:b w:val="0"/>
        </w:rPr>
      </w:pPr>
    </w:p>
    <w:tbl>
      <w:tblPr>
        <w:tblStyle w:val="15"/>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57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r>
              <w:rPr>
                <w:rStyle w:val="34"/>
                <w:rFonts w:eastAsia="宋体"/>
                <w:lang w:val="en-US" w:eastAsia="zh-CN" w:bidi="ar"/>
              </w:rPr>
              <w:t>2023</w:t>
            </w:r>
            <w:r>
              <w:rPr>
                <w:rStyle w:val="3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年度部门整体支出预算</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1194</w:t>
            </w:r>
            <w:r>
              <w:rPr>
                <w:rFonts w:hint="eastAsia" w:cs="Times New Roman"/>
                <w:i w:val="0"/>
                <w:iCs w:val="0"/>
                <w:color w:val="000000"/>
                <w:kern w:val="0"/>
                <w:sz w:val="20"/>
                <w:szCs w:val="20"/>
                <w:u w:val="none"/>
                <w:lang w:val="en-US" w:eastAsia="zh-CN" w:bidi="ar"/>
              </w:rPr>
              <w:t>.00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1194</w:t>
            </w:r>
            <w:r>
              <w:rPr>
                <w:rFonts w:hint="eastAsia" w:cs="Times New Roman"/>
                <w:i w:val="0"/>
                <w:iCs w:val="0"/>
                <w:color w:val="000000"/>
                <w:kern w:val="0"/>
                <w:sz w:val="20"/>
                <w:szCs w:val="20"/>
                <w:u w:val="none"/>
                <w:lang w:val="en-US" w:eastAsia="zh-CN" w:bidi="ar"/>
              </w:rPr>
              <w:t>.00</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9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坚决执行党和国家的 教育方针政策；管好用好国家教育资金，改善和优化农村的办学条件；把教职工服务和管理质量放在首位，提高教职工的幸福感，办人民满意的教育，提高学生的获得感、成就感。保障单位在职人员</w:t>
            </w:r>
            <w:r>
              <w:rPr>
                <w:rStyle w:val="36"/>
                <w:rFonts w:eastAsia="宋体"/>
                <w:lang w:val="en-US" w:eastAsia="zh-CN" w:bidi="ar"/>
              </w:rPr>
              <w:t>72</w:t>
            </w:r>
            <w:r>
              <w:rPr>
                <w:rStyle w:val="37"/>
                <w:lang w:val="en-US" w:eastAsia="zh-CN" w:bidi="ar"/>
              </w:rPr>
              <w:t>人、退休</w:t>
            </w:r>
            <w:r>
              <w:rPr>
                <w:rStyle w:val="36"/>
                <w:rFonts w:eastAsia="宋体"/>
                <w:lang w:val="en-US" w:eastAsia="zh-CN" w:bidi="ar"/>
              </w:rPr>
              <w:t>63</w:t>
            </w:r>
            <w:r>
              <w:rPr>
                <w:rStyle w:val="37"/>
                <w:lang w:val="en-US" w:eastAsia="zh-CN" w:bidi="ar"/>
              </w:rPr>
              <w:t>人，遗属</w:t>
            </w:r>
            <w:r>
              <w:rPr>
                <w:rStyle w:val="36"/>
                <w:rFonts w:eastAsia="宋体"/>
                <w:lang w:val="en-US" w:eastAsia="zh-CN" w:bidi="ar"/>
              </w:rPr>
              <w:t>15</w:t>
            </w:r>
            <w:r>
              <w:rPr>
                <w:rStyle w:val="37"/>
                <w:lang w:val="en-US" w:eastAsia="zh-CN" w:bidi="ar"/>
              </w:rPr>
              <w:t>人，正常办公、生活秩序井然。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年度主要</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任务名称</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完成教育教学工作</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指导、协调和监督教师经营绩效工资，指导、管理资助经济困难学生工作，完成年度教育教学任务。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保障学校工作正常运行</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依法办学，严格执行党的教育方针，确保各项工作正常开展。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帮助教师全面发展</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督促、指导学校教师的思想政治工作、德育工作、体育卫生与艺术教育、国防教育工作、安全稳定工作。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加强人才队伍建设</w:t>
            </w: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贯彻实施各类教师资格标准，会同有关部门研究制定人才队伍j建设。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绩效指标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实际完成</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控辍保学（辍学率）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适龄儿童全部入学，小学生毕业率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教学质量稳步提升，同层次排名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校园安全，无安全事故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完成贫困学生资助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让社会、家长、学生满意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学校知名度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学校绿化面积绿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节能减排，持续下降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教师、学生、家长认可度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社会认可度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经费全部用于保障教育教学，合理控制预算，保证各项支出在预算范围内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1194</w:t>
            </w:r>
            <w:r>
              <w:rPr>
                <w:rFonts w:hint="eastAsia" w:ascii="宋体" w:hAnsi="宋体" w:cs="宋体"/>
                <w:i w:val="0"/>
                <w:iCs w:val="0"/>
                <w:color w:val="000000"/>
                <w:kern w:val="0"/>
                <w:sz w:val="20"/>
                <w:szCs w:val="20"/>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1194.00</w:t>
            </w:r>
          </w:p>
        </w:tc>
      </w:tr>
    </w:tbl>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p>
    <w:tbl>
      <w:tblPr>
        <w:tblStyle w:val="15"/>
        <w:tblW w:w="9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721"/>
        <w:gridCol w:w="1099"/>
        <w:gridCol w:w="1206"/>
        <w:gridCol w:w="500"/>
        <w:gridCol w:w="736"/>
        <w:gridCol w:w="1037"/>
        <w:gridCol w:w="645"/>
        <w:gridCol w:w="585"/>
        <w:gridCol w:w="76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62"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140.03</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140.03</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严格执行相关政策，保障基本养老保险费及时、足额缴纳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严格执行相关政策，保障基本养老保险费及时、足额缴纳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73.27</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73.27</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严格执行相关政策，保障基本医疗保险费及时、足额缴纳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按照相关政策，保障基本医疗保险费及时、足额缴纳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40.71</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40.71</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严格执行相关政策，保障补充医疗保险费及时、足额缴纳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严格执行相关政策，保障补充医疗保险费及时、足额缴纳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严格执行相关政策，保障住房公积金及时、足额缴纳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按照相关政策，保障住房公积金及时、足额缴纳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51172421R000000068139-小学教育人员经费（事业）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750.72</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750.72</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保障小学教育工作正常开展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保障小学教育工作正常开展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保障小学教育工作正常开展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保障小学教育工作正常开展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保障工会工作正常开展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保障工会工作正常开展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保障职工福利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为加强党的建设提供保障力，引领思想意识形态。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为加强党的建设提供保障力，引领思想意识形态。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保障学前教育有序开展，为幼儿正常活动提供必要物资。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保障学前教育有序开展，为幼儿正常活动提供必要物资。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保障小学教育工作正常开展，学生健康成长。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保障小学教育工作正常开展，学生健康成长。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112.45</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112.45</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11.11</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11.11</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严格执行相关政策，保障职业年金及时、足额缴纳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严格执行相关政策，保障职业年金及时、足额缴纳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51172422T000005669010-校舍维修（存量）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推进教师一号宿舍楼的屋顶改造，排除校舍隐患，保证安全，营造师生舒适环境。</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通过维修校舍，保障学校校舍安全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完成维修投入</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师生、家长认可</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保证质量降低费用</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51172422T000005669240-芳草教学楼排危工程（存量）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打造校园面貌，提升办学条件，美好育人环境，</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通过维修校舍，保障学校校舍安全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房屋修缮面积</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修缮改造任务完成率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改变校舍面貌，树学校育人环境</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预算造价内</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51172422T000005669413-学生食堂场地硬化及教学楼维修（存量）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食堂外场地硬化、美化350平方米。</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通过维修校舍，保障学校校舍安全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农村学校校舍日常维修改造质量达标率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美好师生就餐环境</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保证质量下降低费用</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51172422T000005722391-营养餐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31.14</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51172423T000008009842-校舍维修改造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 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通过维修校舍，保障学校校舍安全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本年度部门预算支出绩效情况良好，完成学校发展总体目标任务，.校园文化建设整体设计，力求达到主题鲜明，条理清晰，既有共性又各具特色。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大竹县清河镇中心小学部门</w:t>
            </w:r>
          </w:p>
        </w:tc>
        <w:tc>
          <w:tcPr>
            <w:tcW w:w="6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大竹县清河镇中心小学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部门预算支出绩效情况良好，完成学校发展总体目标任务。1.充分利用可用条件，学习先进经验，突破发展瓶颈，加快学校自身发展。2.深化校本课程建设，在形成系统的校本教材的基础上，充分体现序列化和本土化。3.充分利用信息化建设平台，不断提高教师的信息技术应用水平,促进信息技术与学科教学的融合，加快学校管理信息化的进程。4.校园文化建设整体设计，力求达到主题鲜明，条理清晰，既有共性又各具特色。5.修改完善学校管理制度，细化管理内容。6.加强师德师风建设，树立新时期教师良好形象。7、加强人文关怀，提升教师的职业幸福感和归宿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建议上级有关部门加快完善相关制度建设，确保各项工作顺利开展，加大对业务人员业务培训，逐步提升账务处理能力。同时我们将继续努力，科学、依法编制预决算，进行绩效评价，加强精细化管理，不断提高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项目负责人：宁玉玲</w:t>
            </w:r>
          </w:p>
        </w:tc>
        <w:tc>
          <w:tcPr>
            <w:tcW w:w="4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财务负责人：刘代江</w:t>
            </w:r>
          </w:p>
        </w:tc>
      </w:tr>
    </w:tbl>
    <w:p>
      <w:pPr>
        <w:pStyle w:val="14"/>
        <w:spacing w:line="560" w:lineRule="exact"/>
        <w:ind w:left="0" w:leftChars="0" w:firstLine="0" w:firstLineChars="0"/>
        <w:jc w:val="center"/>
        <w:rPr>
          <w:sz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61"/>
      <w:bookmarkEnd w:id="62"/>
      <w:bookmarkStart w:id="63"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3"/>
    </w:p>
    <w:p>
      <w:pPr>
        <w:pStyle w:val="4"/>
        <w:rPr>
          <w:rFonts w:ascii="仿宋" w:hAnsi="仿宋" w:eastAsia="仿宋"/>
        </w:rPr>
      </w:pPr>
      <w:bookmarkStart w:id="64" w:name="_Toc15396620"/>
      <w:r>
        <w:rPr>
          <w:rFonts w:hint="eastAsia" w:ascii="仿宋" w:hAnsi="仿宋" w:eastAsia="仿宋"/>
          <w:b w:val="0"/>
        </w:rPr>
        <w:t>二、收</w:t>
      </w:r>
      <w:r>
        <w:rPr>
          <w:rStyle w:val="28"/>
          <w:rFonts w:hint="eastAsia" w:ascii="仿宋" w:hAnsi="仿宋" w:eastAsia="仿宋"/>
          <w:b w:val="0"/>
          <w:bCs w:val="0"/>
        </w:rPr>
        <w:t>入决算表</w:t>
      </w:r>
      <w:bookmarkEnd w:id="64"/>
    </w:p>
    <w:p>
      <w:pPr>
        <w:pStyle w:val="4"/>
        <w:rPr>
          <w:rFonts w:ascii="仿宋" w:hAnsi="仿宋" w:eastAsia="仿宋"/>
        </w:rPr>
      </w:pPr>
      <w:bookmarkStart w:id="6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5"/>
    </w:p>
    <w:p>
      <w:pPr>
        <w:pStyle w:val="4"/>
        <w:rPr>
          <w:rFonts w:ascii="仿宋" w:hAnsi="仿宋" w:eastAsia="仿宋"/>
          <w:b w:val="0"/>
        </w:rPr>
      </w:pPr>
      <w:bookmarkStart w:id="66"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6"/>
    </w:p>
    <w:p>
      <w:pPr>
        <w:pStyle w:val="4"/>
        <w:rPr>
          <w:rStyle w:val="28"/>
          <w:rFonts w:ascii="仿宋" w:hAnsi="仿宋" w:eastAsia="仿宋"/>
          <w:b w:val="0"/>
          <w:bCs w:val="0"/>
        </w:rPr>
      </w:pPr>
      <w:bookmarkStart w:id="6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7"/>
      <w:bookmarkStart w:id="68"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8"/>
    </w:p>
    <w:p>
      <w:pPr>
        <w:pStyle w:val="4"/>
        <w:rPr>
          <w:rFonts w:ascii="仿宋" w:hAnsi="仿宋" w:eastAsia="仿宋"/>
        </w:rPr>
      </w:pPr>
      <w:bookmarkStart w:id="69"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9"/>
    </w:p>
    <w:p>
      <w:pPr>
        <w:pStyle w:val="4"/>
        <w:rPr>
          <w:rFonts w:ascii="仿宋" w:hAnsi="仿宋" w:eastAsia="仿宋"/>
        </w:rPr>
      </w:pPr>
      <w:bookmarkStart w:id="70"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70"/>
    </w:p>
    <w:p>
      <w:pPr>
        <w:pStyle w:val="4"/>
        <w:rPr>
          <w:rFonts w:ascii="仿宋" w:hAnsi="仿宋" w:eastAsia="仿宋"/>
        </w:rPr>
      </w:pPr>
      <w:bookmarkStart w:id="7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71"/>
    </w:p>
    <w:p>
      <w:pPr>
        <w:pStyle w:val="4"/>
        <w:rPr>
          <w:rFonts w:ascii="仿宋" w:hAnsi="仿宋" w:eastAsia="仿宋"/>
        </w:rPr>
      </w:pPr>
      <w:bookmarkStart w:id="72" w:name="_Toc15396628"/>
      <w:r>
        <w:rPr>
          <w:rStyle w:val="28"/>
          <w:rFonts w:hint="eastAsia" w:ascii="仿宋" w:hAnsi="仿宋" w:eastAsia="仿宋"/>
          <w:b w:val="0"/>
          <w:bCs w:val="0"/>
        </w:rPr>
        <w:t>十、</w:t>
      </w:r>
      <w:bookmarkEnd w:id="72"/>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73" w:name="_Toc15396629"/>
      <w:r>
        <w:rPr>
          <w:rStyle w:val="28"/>
          <w:rFonts w:hint="eastAsia" w:ascii="仿宋" w:hAnsi="仿宋" w:eastAsia="仿宋"/>
          <w:b w:val="0"/>
          <w:bCs w:val="0"/>
        </w:rPr>
        <w:t>十一、</w:t>
      </w:r>
      <w:bookmarkEnd w:id="73"/>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74" w:name="_Toc15396630"/>
      <w:r>
        <w:rPr>
          <w:rStyle w:val="28"/>
          <w:rFonts w:hint="eastAsia" w:ascii="仿宋" w:hAnsi="仿宋" w:eastAsia="仿宋"/>
          <w:b w:val="0"/>
          <w:bCs w:val="0"/>
        </w:rPr>
        <w:t>十二、</w:t>
      </w:r>
      <w:bookmarkEnd w:id="74"/>
      <w:r>
        <w:rPr>
          <w:rStyle w:val="28"/>
          <w:rFonts w:hint="eastAsia" w:ascii="仿宋" w:hAnsi="仿宋" w:eastAsia="仿宋"/>
          <w:b w:val="0"/>
          <w:bCs w:val="0"/>
        </w:rPr>
        <w:t>国有资本经营预算财政拨款支出决算表</w:t>
      </w:r>
    </w:p>
    <w:p>
      <w:pPr>
        <w:pStyle w:val="4"/>
        <w:rPr>
          <w:rFonts w:eastAsia="仿宋"/>
        </w:rPr>
      </w:pPr>
      <w:bookmarkStart w:id="75" w:name="_Toc15396631"/>
      <w:r>
        <w:rPr>
          <w:rStyle w:val="28"/>
          <w:rFonts w:hint="eastAsia" w:ascii="仿宋" w:hAnsi="仿宋" w:eastAsia="仿宋"/>
          <w:b w:val="0"/>
          <w:bCs w:val="0"/>
        </w:rPr>
        <w:t>十三、</w:t>
      </w:r>
      <w:bookmarkEnd w:id="75"/>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157" w:right="1576" w:bottom="1157" w:left="1293"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9EF67ED"/>
    <w:multiLevelType w:val="singleLevel"/>
    <w:tmpl w:val="F9EF67ED"/>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mVjYzdkNjY3YzhhN2ZmYTJjZjBhYTA3Y2M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64EB8"/>
    <w:rsid w:val="03DC2831"/>
    <w:rsid w:val="03EA08A3"/>
    <w:rsid w:val="04AA70A4"/>
    <w:rsid w:val="081B5E94"/>
    <w:rsid w:val="0A2032A3"/>
    <w:rsid w:val="0B8A37D8"/>
    <w:rsid w:val="0C8C012E"/>
    <w:rsid w:val="0DE34399"/>
    <w:rsid w:val="0F5FFB2F"/>
    <w:rsid w:val="0FFFCF60"/>
    <w:rsid w:val="10C055FF"/>
    <w:rsid w:val="118107EC"/>
    <w:rsid w:val="11DD6519"/>
    <w:rsid w:val="15A3591F"/>
    <w:rsid w:val="16BB723D"/>
    <w:rsid w:val="17882093"/>
    <w:rsid w:val="18015F3F"/>
    <w:rsid w:val="182D65B9"/>
    <w:rsid w:val="1A503113"/>
    <w:rsid w:val="1BE8440E"/>
    <w:rsid w:val="1D155CEE"/>
    <w:rsid w:val="1E6E0273"/>
    <w:rsid w:val="1FDBBF84"/>
    <w:rsid w:val="20F57F95"/>
    <w:rsid w:val="227926AB"/>
    <w:rsid w:val="240371BF"/>
    <w:rsid w:val="25711CC6"/>
    <w:rsid w:val="25C741E6"/>
    <w:rsid w:val="26D07273"/>
    <w:rsid w:val="276F80C0"/>
    <w:rsid w:val="27842671"/>
    <w:rsid w:val="29736AC1"/>
    <w:rsid w:val="29CF4456"/>
    <w:rsid w:val="29FD04D3"/>
    <w:rsid w:val="2AB21E20"/>
    <w:rsid w:val="2ABE7A3E"/>
    <w:rsid w:val="2AFF09B6"/>
    <w:rsid w:val="2B485D2C"/>
    <w:rsid w:val="2CA234A8"/>
    <w:rsid w:val="2DBB53EA"/>
    <w:rsid w:val="2EFA178C"/>
    <w:rsid w:val="2EFDF86C"/>
    <w:rsid w:val="2F136472"/>
    <w:rsid w:val="2F9D17E1"/>
    <w:rsid w:val="30B46D73"/>
    <w:rsid w:val="3100242E"/>
    <w:rsid w:val="319F7F4E"/>
    <w:rsid w:val="356A28F1"/>
    <w:rsid w:val="357C035A"/>
    <w:rsid w:val="368E000D"/>
    <w:rsid w:val="37F2005F"/>
    <w:rsid w:val="383D272C"/>
    <w:rsid w:val="399B5D16"/>
    <w:rsid w:val="39AE70AB"/>
    <w:rsid w:val="3A4DCE41"/>
    <w:rsid w:val="3BCB56FA"/>
    <w:rsid w:val="3C0C0783"/>
    <w:rsid w:val="3EE7C2F4"/>
    <w:rsid w:val="3F371B56"/>
    <w:rsid w:val="3F792ED8"/>
    <w:rsid w:val="3F9F3A96"/>
    <w:rsid w:val="3FECA4B2"/>
    <w:rsid w:val="3FF58C48"/>
    <w:rsid w:val="42FF6694"/>
    <w:rsid w:val="47EC1AA8"/>
    <w:rsid w:val="48BF60AB"/>
    <w:rsid w:val="493C27E9"/>
    <w:rsid w:val="496F39ED"/>
    <w:rsid w:val="49FF41D3"/>
    <w:rsid w:val="4BE068DB"/>
    <w:rsid w:val="4BF6002B"/>
    <w:rsid w:val="4BFFC6BE"/>
    <w:rsid w:val="4CE92295"/>
    <w:rsid w:val="4ECE2238"/>
    <w:rsid w:val="50131BB5"/>
    <w:rsid w:val="51DB4B86"/>
    <w:rsid w:val="51F64DB0"/>
    <w:rsid w:val="55333C3E"/>
    <w:rsid w:val="565B40B5"/>
    <w:rsid w:val="5D6D4555"/>
    <w:rsid w:val="5E244B79"/>
    <w:rsid w:val="5F67802D"/>
    <w:rsid w:val="5F7DC4F2"/>
    <w:rsid w:val="5FB36814"/>
    <w:rsid w:val="5FBB8E56"/>
    <w:rsid w:val="5FFB5535"/>
    <w:rsid w:val="64CA39A1"/>
    <w:rsid w:val="69630ADE"/>
    <w:rsid w:val="69BD5F13"/>
    <w:rsid w:val="69FB0B4B"/>
    <w:rsid w:val="6BFFE1FB"/>
    <w:rsid w:val="6C4A05C8"/>
    <w:rsid w:val="6D3B1A89"/>
    <w:rsid w:val="6DB7D8A3"/>
    <w:rsid w:val="6E891568"/>
    <w:rsid w:val="6EC78701"/>
    <w:rsid w:val="6F7A5481"/>
    <w:rsid w:val="6FFE07A9"/>
    <w:rsid w:val="71BF4EC2"/>
    <w:rsid w:val="72734D90"/>
    <w:rsid w:val="73E75B71"/>
    <w:rsid w:val="7412278C"/>
    <w:rsid w:val="75DDCDA9"/>
    <w:rsid w:val="75FF44B1"/>
    <w:rsid w:val="761107C1"/>
    <w:rsid w:val="77670518"/>
    <w:rsid w:val="777FA627"/>
    <w:rsid w:val="77DF1B5F"/>
    <w:rsid w:val="77EF2D9D"/>
    <w:rsid w:val="79E7B28D"/>
    <w:rsid w:val="7A146FD4"/>
    <w:rsid w:val="7ACFF0C2"/>
    <w:rsid w:val="7AFB9108"/>
    <w:rsid w:val="7BD5340C"/>
    <w:rsid w:val="7BFB19D2"/>
    <w:rsid w:val="7BFD1750"/>
    <w:rsid w:val="7BFDAA1B"/>
    <w:rsid w:val="7C8D7446"/>
    <w:rsid w:val="7CDF9A82"/>
    <w:rsid w:val="7CFFA1BD"/>
    <w:rsid w:val="7D0C0F37"/>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34">
    <w:name w:val="font61"/>
    <w:basedOn w:val="16"/>
    <w:qFormat/>
    <w:uiPriority w:val="0"/>
    <w:rPr>
      <w:rFonts w:hint="default" w:ascii="Times New Roman" w:hAnsi="Times New Roman" w:cs="Times New Roman"/>
      <w:color w:val="000000"/>
      <w:sz w:val="28"/>
      <w:szCs w:val="28"/>
      <w:u w:val="none"/>
    </w:rPr>
  </w:style>
  <w:style w:type="character" w:customStyle="1" w:styleId="35">
    <w:name w:val="font21"/>
    <w:basedOn w:val="16"/>
    <w:qFormat/>
    <w:uiPriority w:val="0"/>
    <w:rPr>
      <w:rFonts w:hint="eastAsia" w:ascii="宋体" w:hAnsi="宋体" w:eastAsia="宋体" w:cs="宋体"/>
      <w:color w:val="000000"/>
      <w:sz w:val="28"/>
      <w:szCs w:val="28"/>
      <w:u w:val="none"/>
    </w:rPr>
  </w:style>
  <w:style w:type="character" w:customStyle="1" w:styleId="36">
    <w:name w:val="font51"/>
    <w:basedOn w:val="16"/>
    <w:qFormat/>
    <w:uiPriority w:val="0"/>
    <w:rPr>
      <w:rFonts w:hint="default" w:ascii="Times New Roman" w:hAnsi="Times New Roman" w:cs="Times New Roman"/>
      <w:color w:val="000000"/>
      <w:sz w:val="20"/>
      <w:szCs w:val="20"/>
      <w:u w:val="none"/>
    </w:rPr>
  </w:style>
  <w:style w:type="character" w:customStyle="1" w:styleId="37">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4&#24180;\&#36130;&#25919;&#23616;\2023&#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4&#24180;\&#36130;&#25919;&#23616;\2023&#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2024&#24180;\&#36130;&#25919;&#23616;\2023&#20915;&#31639;&#20844;&#24320;\&#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4&#24180;\&#36130;&#25919;&#23616;\2023&#20915;&#31639;&#20844;&#24320;\&#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          </a:t>
            </a:r>
            <a:r>
              <a:rPr sz="1100" b="1"/>
              <a:t>万元</a:t>
            </a:r>
            <a:endParaRPr sz="1100" b="1"/>
          </a:p>
        </c:rich>
      </c:tx>
      <c:layout>
        <c:manualLayout>
          <c:xMode val="edge"/>
          <c:yMode val="edge"/>
          <c:x val="0.264444444444444"/>
          <c:y val="0.016898148148148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工作表.xlsx]Sheet1'!$I$16:$K$16</c:f>
              <c:strCache>
                <c:ptCount val="3"/>
                <c:pt idx="0">
                  <c:v>财政拨款收入</c:v>
                </c:pt>
                <c:pt idx="1">
                  <c:v>事业收入</c:v>
                </c:pt>
                <c:pt idx="2">
                  <c:v>其他收入</c:v>
                </c:pt>
              </c:strCache>
            </c:strRef>
          </c:cat>
          <c:val>
            <c:numRef>
              <c:f>'[新建 XLSX 工作表.xlsx]Sheet1'!$I$17:$K$17</c:f>
              <c:numCache>
                <c:formatCode>#,##0.00</c:formatCode>
                <c:ptCount val="3"/>
                <c:pt idx="0">
                  <c:v>1381.32</c:v>
                </c:pt>
                <c:pt idx="1" c:formatCode="General">
                  <c:v>0</c:v>
                </c:pt>
                <c:pt idx="2" c:formatCode="General">
                  <c:v>0</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工作表.xlsx]Sheet1'!$I$16:$K$16</c:f>
              <c:strCache>
                <c:ptCount val="3"/>
                <c:pt idx="0">
                  <c:v>财政拨款收入</c:v>
                </c:pt>
                <c:pt idx="1">
                  <c:v>事业收入</c:v>
                </c:pt>
                <c:pt idx="2">
                  <c:v>其他收入</c:v>
                </c:pt>
              </c:strCache>
            </c:strRef>
          </c:cat>
          <c:val>
            <c:numRef>
              <c:f>'[新建 XLSX 工作表.xlsx]Sheet1'!$I$18:$K$18</c:f>
              <c:numCache>
                <c:formatCode>0%</c:formatCode>
                <c:ptCount val="3"/>
                <c:pt idx="0">
                  <c:v>1</c:v>
                </c:pt>
                <c:pt idx="1" c:formatCode="General">
                  <c:v>0</c:v>
                </c:pt>
                <c:pt idx="2"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结构图支出决算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工作表.xlsx]Sheet1'!$C$37:$E$39</c:f>
              <c:multiLvlStrCache>
                <c:ptCount val="3"/>
                <c:lvl>
                  <c:pt idx="0" c:formatCode="#,##0.00">
                    <c:v>1,340.65</c:v>
                  </c:pt>
                  <c:pt idx="1">
                    <c:v>112.25</c:v>
                  </c:pt>
                </c:lvl>
                <c:lvl/>
                <c:lvl>
                  <c:pt idx="0" c:formatCode="#,##0.000000">
                    <c:v>基本支出</c:v>
                  </c:pt>
                  <c:pt idx="1" c:formatCode="#,##0.000000">
                    <c:v>项目支出</c:v>
                  </c:pt>
                  <c:pt idx="2" c:formatCode="#,##0.000000">
                    <c:v>上缴上级支出</c:v>
                  </c:pt>
                </c:lvl>
              </c:multiLvlStrCache>
            </c:multiLvlStrRef>
          </c:cat>
          <c:val>
            <c:numRef>
              <c:f>'[新建 XLSX 工作表.xlsx]Sheet1'!$C$40:$E$40</c:f>
              <c:numCache>
                <c:formatCode>0.00%</c:formatCode>
                <c:ptCount val="3"/>
                <c:pt idx="0">
                  <c:v>0.9227</c:v>
                </c:pt>
                <c:pt idx="1">
                  <c:v>0.0773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a:t>
            </a:r>
          </a:p>
        </c:rich>
      </c:tx>
      <c:layout/>
      <c:overlay val="0"/>
      <c:spPr>
        <a:noFill/>
        <a:ln>
          <a:noFill/>
        </a:ln>
        <a:effectLst/>
      </c:spPr>
    </c:title>
    <c:autoTitleDeleted val="0"/>
    <c:plotArea>
      <c:layout/>
      <c:barChart>
        <c:barDir val="col"/>
        <c:grouping val="clustered"/>
        <c:varyColors val="0"/>
        <c:ser>
          <c:idx val="0"/>
          <c:order val="0"/>
          <c:tx>
            <c:strRef>
              <c:f>'[新建 XLSX 工作表.xlsx]Sheet1'!$K$52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工作表.xlsx]Sheet1'!$L$51:$M$51</c:f>
              <c:strCache>
                <c:ptCount val="2"/>
                <c:pt idx="0">
                  <c:v>财政拨款收入</c:v>
                </c:pt>
                <c:pt idx="1">
                  <c:v>财政拨款支出</c:v>
                </c:pt>
              </c:strCache>
            </c:strRef>
          </c:cat>
          <c:val>
            <c:numRef>
              <c:f>'[新建 XLSX 工作表.xlsx]Sheet1'!$L$52:$M$52</c:f>
              <c:numCache>
                <c:formatCode>#,##0.00</c:formatCode>
                <c:ptCount val="2"/>
                <c:pt idx="0">
                  <c:v>1452.9</c:v>
                </c:pt>
                <c:pt idx="1">
                  <c:v>1452.9</c:v>
                </c:pt>
              </c:numCache>
            </c:numRef>
          </c:val>
        </c:ser>
        <c:ser>
          <c:idx val="1"/>
          <c:order val="1"/>
          <c:tx>
            <c:strRef>
              <c:f>'[新建 XLSX 工作表.xlsx]Sheet1'!$K$53</c:f>
              <c:strCache>
                <c:ptCount val="1"/>
                <c:pt idx="0">
                  <c:v>2022年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工作表.xlsx]Sheet1'!$L$51:$M$51</c:f>
              <c:strCache>
                <c:ptCount val="2"/>
                <c:pt idx="0">
                  <c:v>财政拨款收入</c:v>
                </c:pt>
                <c:pt idx="1">
                  <c:v>财政拨款支出</c:v>
                </c:pt>
              </c:strCache>
            </c:strRef>
          </c:cat>
          <c:val>
            <c:numRef>
              <c:f>'[新建 XLSX 工作表.xlsx]Sheet1'!$L$53:$M$53</c:f>
              <c:numCache>
                <c:formatCode>General</c:formatCode>
                <c:ptCount val="2"/>
                <c:pt idx="0">
                  <c:v>1287.2</c:v>
                </c:pt>
                <c:pt idx="1">
                  <c:v>1287.2</c:v>
                </c:pt>
              </c:numCache>
            </c:numRef>
          </c:val>
        </c:ser>
        <c:dLbls>
          <c:showLegendKey val="0"/>
          <c:showVal val="1"/>
          <c:showCatName val="0"/>
          <c:showSerName val="0"/>
          <c:showPercent val="0"/>
          <c:showBubbleSize val="0"/>
        </c:dLbls>
        <c:gapWidth val="219"/>
        <c:overlap val="-27"/>
        <c:axId val="568745710"/>
        <c:axId val="461617758"/>
      </c:barChart>
      <c:catAx>
        <c:axId val="5687457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617758"/>
        <c:crosses val="autoZero"/>
        <c:auto val="1"/>
        <c:lblAlgn val="ctr"/>
        <c:lblOffset val="100"/>
        <c:noMultiLvlLbl val="0"/>
      </c:catAx>
      <c:valAx>
        <c:axId val="46161775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7457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8329659564046"/>
          <c:y val="0.13086498563677"/>
          <c:w val="0.668919911829537"/>
          <c:h val="0.775422917331631"/>
        </c:manualLayout>
      </c:layout>
      <c:barChart>
        <c:barDir val="col"/>
        <c:grouping val="clustered"/>
        <c:varyColors val="0"/>
        <c:ser>
          <c:idx val="0"/>
          <c:order val="0"/>
          <c:tx>
            <c:strRef>
              <c:f>[决算公开饼状图.xlsx]Sheet1!$A$68</c:f>
              <c:strCache>
                <c:ptCount val="1"/>
                <c:pt idx="0">
                  <c:v>支出合计（万元）</c:v>
                </c:pt>
              </c:strCache>
            </c:strRef>
          </c:tx>
          <c:spPr>
            <a:solidFill>
              <a:srgbClr val="4F81B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996.31</c:v>
                </c:pt>
                <c:pt idx="1">
                  <c:v>1321.37</c:v>
                </c:pt>
              </c:numCache>
            </c:numRef>
          </c:val>
        </c:ser>
        <c:dLbls>
          <c:showLegendKey val="0"/>
          <c:showVal val="1"/>
          <c:showCatName val="0"/>
          <c:showSerName val="0"/>
          <c:showPercent val="0"/>
          <c:showBubbleSize val="0"/>
        </c:dLbls>
        <c:gapWidth val="75"/>
        <c:axId val="57035392"/>
        <c:axId val="57045376"/>
      </c:barChart>
      <c:catAx>
        <c:axId val="5703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45376"/>
        <c:crosses val="autoZero"/>
        <c:auto val="1"/>
        <c:lblAlgn val="ctr"/>
        <c:lblOffset val="100"/>
        <c:noMultiLvlLbl val="0"/>
      </c:catAx>
      <c:valAx>
        <c:axId val="57045376"/>
        <c:scaling>
          <c:orientation val="minMax"/>
          <c:max val="1400"/>
          <c:min val="600"/>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5392"/>
        <c:crosses val="autoZero"/>
        <c:crossBetween val="between"/>
        <c:majorUnit val="50"/>
        <c:minorUnit val="10"/>
      </c:valAx>
      <c:spPr>
        <a:noFill/>
        <a:ln w="25400">
          <a:noFill/>
        </a:ln>
      </c:spPr>
    </c:plotArea>
    <c:legend>
      <c:legendPos val="r"/>
      <c:layout>
        <c:manualLayout>
          <c:xMode val="edge"/>
          <c:yMode val="edge"/>
          <c:x val="0.262321144674086"/>
          <c:y val="0.00954861111111111"/>
          <c:w val="0.488076311605723"/>
          <c:h val="0.0729166666666667"/>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20833333333333"/>
                  <c:y val="0.0138888888888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83333333333333"/>
                  <c:y val="-0.006944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4166666666667"/>
                  <c:y val="-0.02430555555555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29166666666667"/>
                  <c:y val="-0.01736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工作表.xlsx]Sheet1'!$B$71:$B$74</c:f>
              <c:strCache>
                <c:ptCount val="4"/>
                <c:pt idx="0">
                  <c:v>教育支出</c:v>
                </c:pt>
                <c:pt idx="1">
                  <c:v>社会保障和就业支出</c:v>
                </c:pt>
                <c:pt idx="2">
                  <c:v>卫生健康支出</c:v>
                </c:pt>
                <c:pt idx="3">
                  <c:v>住房保障支出</c:v>
                </c:pt>
              </c:strCache>
            </c:strRef>
          </c:cat>
          <c:val>
            <c:numRef>
              <c:f>'[新建 XLSX 工作表.xlsx]Sheet1'!$C$71:$C$74</c:f>
              <c:numCache>
                <c:formatCode>0.00%</c:formatCode>
                <c:ptCount val="4"/>
                <c:pt idx="0">
                  <c:v>0.753926629499622</c:v>
                </c:pt>
                <c:pt idx="1">
                  <c:v>0.196063046321151</c:v>
                </c:pt>
                <c:pt idx="2">
                  <c:v>0.0295202698052172</c:v>
                </c:pt>
                <c:pt idx="3">
                  <c:v>0.0204900543740106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三公经费支出（万元）</c:v>
                </c:pt>
              </c:strCache>
            </c:strRef>
          </c:tx>
          <c:explosion val="25"/>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[决算公开饼状图.xlsx]Sheet1!$B$2:$C$2</c:f>
              <c:strCache>
                <c:ptCount val="2"/>
                <c:pt idx="0">
                  <c:v>公务接待费</c:v>
                </c:pt>
                <c:pt idx="1">
                  <c:v>其他支出</c:v>
                </c:pt>
              </c:strCache>
            </c:strRef>
          </c:cat>
          <c:val>
            <c:numRef>
              <c:f>[决算公开饼状图.xlsx]Sheet1!$B$3:$C$3</c:f>
              <c:numCache>
                <c:formatCode>General</c:formatCode>
                <c:ptCount val="2"/>
                <c:pt idx="0">
                  <c:v>0.28</c:v>
                </c:pt>
                <c:pt idx="1">
                  <c:v>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53</Pages>
  <Words>5333</Words>
  <Characters>7019</Characters>
  <Lines>54</Lines>
  <Paragraphs>15</Paragraphs>
  <TotalTime>0</TotalTime>
  <ScaleCrop>false</ScaleCrop>
  <LinksUpToDate>false</LinksUpToDate>
  <CharactersWithSpaces>7439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2024-10-26T07:01:17Z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29BDF1CE255A49FEA305321F1C81E2B4_13</vt:lpwstr>
  </property>
</Properties>
</file>